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E27" w:rsidRPr="00D2110D" w:rsidRDefault="00136E27">
      <w:pPr>
        <w:pStyle w:val="Hemstlrubrik"/>
        <w:shd w:val="clear" w:color="000000" w:fill="auto"/>
      </w:pPr>
      <w:r w:rsidRPr="00D2110D">
        <w:t>Förslag till riksdagsbeslut</w:t>
      </w:r>
    </w:p>
    <w:p w:rsidR="001D1B69" w:rsidRPr="00D2110D" w:rsidRDefault="001D1B69">
      <w:pPr>
        <w:pStyle w:val="Hemstlatt"/>
        <w:shd w:val="clear" w:color="000000" w:fill="auto"/>
        <w:ind w:left="0"/>
      </w:pPr>
      <w:r w:rsidRPr="00D2110D">
        <w:t>Riksdagen tillkännager för regeringen som sin mening vad i motionen anförs om vuxenutbildningen.</w:t>
      </w:r>
    </w:p>
    <w:p w:rsidR="00A60F98" w:rsidRPr="00D2110D" w:rsidRDefault="00A60F98">
      <w:pPr>
        <w:pStyle w:val="Rubrik1"/>
        <w:shd w:val="clear" w:color="000000" w:fill="auto"/>
      </w:pPr>
      <w:r w:rsidRPr="00D2110D">
        <w:t>Motivering</w:t>
      </w:r>
    </w:p>
    <w:p w:rsidR="00A60F98" w:rsidRPr="00D2110D" w:rsidRDefault="00A60F98">
      <w:pPr>
        <w:shd w:val="clear" w:color="000000" w:fill="auto"/>
      </w:pPr>
      <w:r w:rsidRPr="00D2110D">
        <w:t>I regeringsförklaringen sa Fredrik Reinfeldt att ”</w:t>
      </w:r>
      <w:r w:rsidR="000933EC" w:rsidRPr="00D2110D">
        <w:t xml:space="preserve">arbetslinjen </w:t>
      </w:r>
      <w:r w:rsidRPr="00D2110D">
        <w:t>och arbetets värde ska återupprättas” samt ”</w:t>
      </w:r>
      <w:r w:rsidR="000933EC" w:rsidRPr="00D2110D">
        <w:t xml:space="preserve">att </w:t>
      </w:r>
      <w:r w:rsidRPr="00D2110D">
        <w:t>satsa på kunskap är att investera i Sveriges framtid, i en värld där konkurrensen mellan länder och regioner blir allt stö</w:t>
      </w:r>
      <w:r w:rsidRPr="00D2110D">
        <w:t>r</w:t>
      </w:r>
      <w:r w:rsidRPr="00D2110D">
        <w:t>re”. De kraftfulla neddragningarna i vuxenutbildningen går helt emot dessa två konstateranden.</w:t>
      </w:r>
    </w:p>
    <w:p w:rsidR="00A60F98" w:rsidRPr="00D2110D" w:rsidRDefault="00A60F98">
      <w:pPr>
        <w:pStyle w:val="Normaltindrag"/>
        <w:shd w:val="clear" w:color="000000" w:fill="auto"/>
      </w:pPr>
      <w:r w:rsidRPr="00D2110D">
        <w:t>Konsekvenser av sänkt statsbidrag till vuxenutbildningen i Malmö 2007:</w:t>
      </w:r>
    </w:p>
    <w:p w:rsidR="00A60F98" w:rsidRPr="00D2110D" w:rsidRDefault="00A60F98">
      <w:pPr>
        <w:shd w:val="clear" w:color="000000" w:fill="auto"/>
        <w:jc w:val="left"/>
        <w:rPr>
          <w:b/>
        </w:rPr>
      </w:pPr>
      <w:r w:rsidRPr="00D2110D">
        <w:rPr>
          <w:b/>
        </w:rPr>
        <w:t>Jämförelse av sta</w:t>
      </w:r>
      <w:r w:rsidR="006259B6" w:rsidRPr="00D2110D">
        <w:rPr>
          <w:b/>
        </w:rPr>
        <w:t>tsbidrag för åren 2006 och 2007</w:t>
      </w:r>
    </w:p>
    <w:tbl>
      <w:tblPr>
        <w:tblW w:w="6000" w:type="dxa"/>
        <w:tblInd w:w="70" w:type="dxa"/>
        <w:tblLayout w:type="fixed"/>
        <w:tblCellMar>
          <w:left w:w="70" w:type="dxa"/>
          <w:right w:w="70" w:type="dxa"/>
        </w:tblCellMar>
        <w:tblLook w:val="00BF" w:firstRow="1" w:lastRow="0" w:firstColumn="1" w:lastColumn="0" w:noHBand="0" w:noVBand="0"/>
      </w:tblPr>
      <w:tblGrid>
        <w:gridCol w:w="2160"/>
        <w:gridCol w:w="1320"/>
        <w:gridCol w:w="1320"/>
        <w:gridCol w:w="1200"/>
      </w:tblGrid>
      <w:tr w:rsidR="00A60F98" w:rsidRPr="00D2110D" w:rsidTr="00C45739">
        <w:tc>
          <w:tcPr>
            <w:tcW w:w="2160" w:type="dxa"/>
            <w:tcBorders>
              <w:top w:val="single" w:sz="4" w:space="0" w:color="auto"/>
              <w:bottom w:val="single" w:sz="4" w:space="0" w:color="auto"/>
            </w:tcBorders>
            <w:vAlign w:val="bottom"/>
          </w:tcPr>
          <w:p w:rsidR="00A60F98" w:rsidRPr="00D2110D" w:rsidRDefault="00A60F98">
            <w:pPr>
              <w:shd w:val="clear" w:color="000000" w:fill="auto"/>
              <w:spacing w:before="60" w:line="200" w:lineRule="exact"/>
              <w:jc w:val="left"/>
              <w:rPr>
                <w:b/>
                <w:sz w:val="16"/>
                <w:szCs w:val="16"/>
              </w:rPr>
            </w:pPr>
          </w:p>
        </w:tc>
        <w:tc>
          <w:tcPr>
            <w:tcW w:w="1320" w:type="dxa"/>
            <w:tcBorders>
              <w:top w:val="single" w:sz="4" w:space="0" w:color="auto"/>
              <w:bottom w:val="single" w:sz="4" w:space="0" w:color="auto"/>
            </w:tcBorders>
            <w:vAlign w:val="bottom"/>
          </w:tcPr>
          <w:p w:rsidR="00A60F98" w:rsidRPr="00D2110D" w:rsidRDefault="00A60F98">
            <w:pPr>
              <w:shd w:val="clear" w:color="000000" w:fill="auto"/>
              <w:spacing w:before="60" w:line="200" w:lineRule="exact"/>
              <w:jc w:val="right"/>
              <w:rPr>
                <w:b/>
                <w:sz w:val="16"/>
                <w:szCs w:val="16"/>
              </w:rPr>
            </w:pPr>
            <w:r w:rsidRPr="00D2110D">
              <w:rPr>
                <w:b/>
                <w:sz w:val="16"/>
                <w:szCs w:val="16"/>
              </w:rPr>
              <w:t>2006 Riktat</w:t>
            </w:r>
          </w:p>
        </w:tc>
        <w:tc>
          <w:tcPr>
            <w:tcW w:w="1320" w:type="dxa"/>
            <w:tcBorders>
              <w:top w:val="single" w:sz="4" w:space="0" w:color="auto"/>
              <w:bottom w:val="single" w:sz="4" w:space="0" w:color="auto"/>
            </w:tcBorders>
            <w:vAlign w:val="bottom"/>
          </w:tcPr>
          <w:p w:rsidR="00A60F98" w:rsidRPr="00D2110D" w:rsidRDefault="00A60F98">
            <w:pPr>
              <w:shd w:val="clear" w:color="000000" w:fill="auto"/>
              <w:spacing w:before="60" w:line="200" w:lineRule="exact"/>
              <w:jc w:val="right"/>
              <w:rPr>
                <w:b/>
                <w:sz w:val="16"/>
                <w:szCs w:val="16"/>
              </w:rPr>
            </w:pPr>
            <w:r w:rsidRPr="00D2110D">
              <w:rPr>
                <w:b/>
                <w:sz w:val="16"/>
                <w:szCs w:val="16"/>
              </w:rPr>
              <w:t>2007 Generellt</w:t>
            </w:r>
          </w:p>
        </w:tc>
        <w:tc>
          <w:tcPr>
            <w:tcW w:w="1200" w:type="dxa"/>
            <w:tcBorders>
              <w:top w:val="single" w:sz="4" w:space="0" w:color="auto"/>
              <w:bottom w:val="single" w:sz="4" w:space="0" w:color="auto"/>
            </w:tcBorders>
            <w:vAlign w:val="bottom"/>
          </w:tcPr>
          <w:p w:rsidR="00A60F98" w:rsidRPr="00D2110D" w:rsidRDefault="00A60F98">
            <w:pPr>
              <w:shd w:val="clear" w:color="000000" w:fill="auto"/>
              <w:spacing w:before="60" w:line="200" w:lineRule="exact"/>
              <w:jc w:val="right"/>
              <w:rPr>
                <w:b/>
                <w:sz w:val="16"/>
                <w:szCs w:val="16"/>
              </w:rPr>
            </w:pPr>
            <w:r w:rsidRPr="00D2110D">
              <w:rPr>
                <w:b/>
                <w:sz w:val="16"/>
                <w:szCs w:val="16"/>
              </w:rPr>
              <w:t>Differens</w:t>
            </w:r>
          </w:p>
        </w:tc>
      </w:tr>
      <w:tr w:rsidR="00A60F98" w:rsidRPr="00D2110D" w:rsidTr="000933EC">
        <w:tc>
          <w:tcPr>
            <w:tcW w:w="2160" w:type="dxa"/>
            <w:tcBorders>
              <w:top w:val="single" w:sz="4" w:space="0" w:color="auto"/>
            </w:tcBorders>
            <w:vAlign w:val="bottom"/>
          </w:tcPr>
          <w:p w:rsidR="00A60F98" w:rsidRPr="00D2110D" w:rsidRDefault="00A60F98">
            <w:pPr>
              <w:shd w:val="clear" w:color="000000" w:fill="auto"/>
              <w:spacing w:before="60" w:line="200" w:lineRule="exact"/>
              <w:jc w:val="left"/>
              <w:rPr>
                <w:sz w:val="16"/>
                <w:szCs w:val="16"/>
              </w:rPr>
            </w:pPr>
            <w:r w:rsidRPr="00D2110D">
              <w:rPr>
                <w:sz w:val="16"/>
                <w:szCs w:val="16"/>
              </w:rPr>
              <w:t>Beviljat statsbidrag totalt</w:t>
            </w:r>
          </w:p>
        </w:tc>
        <w:tc>
          <w:tcPr>
            <w:tcW w:w="1320" w:type="dxa"/>
            <w:tcBorders>
              <w:top w:val="single" w:sz="4" w:space="0" w:color="auto"/>
            </w:tcBorders>
            <w:vAlign w:val="bottom"/>
          </w:tcPr>
          <w:p w:rsidR="00A60F98" w:rsidRPr="00D2110D" w:rsidRDefault="00A60F98">
            <w:pPr>
              <w:shd w:val="clear" w:color="000000" w:fill="auto"/>
              <w:spacing w:before="60" w:line="200" w:lineRule="exact"/>
              <w:jc w:val="right"/>
              <w:rPr>
                <w:sz w:val="16"/>
                <w:szCs w:val="16"/>
              </w:rPr>
            </w:pPr>
            <w:r w:rsidRPr="00D2110D">
              <w:rPr>
                <w:sz w:val="16"/>
                <w:szCs w:val="16"/>
              </w:rPr>
              <w:t>1 800 mnkr</w:t>
            </w:r>
          </w:p>
        </w:tc>
        <w:tc>
          <w:tcPr>
            <w:tcW w:w="1320" w:type="dxa"/>
            <w:tcBorders>
              <w:top w:val="single" w:sz="4" w:space="0" w:color="auto"/>
            </w:tcBorders>
            <w:vAlign w:val="bottom"/>
          </w:tcPr>
          <w:p w:rsidR="00A60F98" w:rsidRPr="00D2110D" w:rsidRDefault="00A60F98">
            <w:pPr>
              <w:shd w:val="clear" w:color="000000" w:fill="auto"/>
              <w:spacing w:before="60" w:line="200" w:lineRule="exact"/>
              <w:jc w:val="right"/>
              <w:rPr>
                <w:sz w:val="16"/>
                <w:szCs w:val="16"/>
              </w:rPr>
            </w:pPr>
            <w:r w:rsidRPr="00D2110D">
              <w:rPr>
                <w:sz w:val="16"/>
                <w:szCs w:val="16"/>
              </w:rPr>
              <w:t>1 200 mnkr</w:t>
            </w:r>
          </w:p>
        </w:tc>
        <w:tc>
          <w:tcPr>
            <w:tcW w:w="1200" w:type="dxa"/>
            <w:tcBorders>
              <w:top w:val="single" w:sz="4" w:space="0" w:color="auto"/>
            </w:tcBorders>
            <w:vAlign w:val="bottom"/>
          </w:tcPr>
          <w:p w:rsidR="00A60F98" w:rsidRPr="00D2110D" w:rsidRDefault="000933EC">
            <w:pPr>
              <w:shd w:val="clear" w:color="000000" w:fill="auto"/>
              <w:spacing w:before="60" w:line="200" w:lineRule="exact"/>
              <w:jc w:val="right"/>
              <w:rPr>
                <w:sz w:val="16"/>
                <w:szCs w:val="16"/>
              </w:rPr>
            </w:pPr>
            <w:r w:rsidRPr="00D2110D">
              <w:rPr>
                <w:sz w:val="16"/>
                <w:szCs w:val="16"/>
              </w:rPr>
              <w:t>–</w:t>
            </w:r>
            <w:r w:rsidR="00A60F98" w:rsidRPr="00D2110D">
              <w:rPr>
                <w:sz w:val="16"/>
                <w:szCs w:val="16"/>
              </w:rPr>
              <w:t>600 mnkr</w:t>
            </w:r>
          </w:p>
        </w:tc>
      </w:tr>
      <w:tr w:rsidR="00A60F98" w:rsidRPr="00D2110D" w:rsidTr="000933EC">
        <w:trPr>
          <w:trHeight w:val="74"/>
        </w:trPr>
        <w:tc>
          <w:tcPr>
            <w:tcW w:w="2160" w:type="dxa"/>
            <w:tcBorders>
              <w:bottom w:val="single" w:sz="4" w:space="0" w:color="auto"/>
            </w:tcBorders>
            <w:vAlign w:val="bottom"/>
          </w:tcPr>
          <w:p w:rsidR="00A60F98" w:rsidRPr="00D2110D" w:rsidRDefault="00A60F98">
            <w:pPr>
              <w:shd w:val="clear" w:color="000000" w:fill="auto"/>
              <w:spacing w:before="60" w:line="200" w:lineRule="exact"/>
              <w:jc w:val="left"/>
              <w:rPr>
                <w:sz w:val="16"/>
                <w:szCs w:val="16"/>
              </w:rPr>
            </w:pPr>
            <w:r w:rsidRPr="00D2110D">
              <w:rPr>
                <w:sz w:val="16"/>
                <w:szCs w:val="16"/>
              </w:rPr>
              <w:t>Beviljat statsbidrag Malmö</w:t>
            </w:r>
          </w:p>
        </w:tc>
        <w:tc>
          <w:tcPr>
            <w:tcW w:w="1320" w:type="dxa"/>
            <w:tcBorders>
              <w:bottom w:val="single" w:sz="4" w:space="0" w:color="auto"/>
            </w:tcBorders>
            <w:vAlign w:val="bottom"/>
          </w:tcPr>
          <w:p w:rsidR="00A60F98" w:rsidRPr="00D2110D" w:rsidRDefault="00A60F98">
            <w:pPr>
              <w:shd w:val="clear" w:color="000000" w:fill="auto"/>
              <w:spacing w:before="60" w:line="200" w:lineRule="exact"/>
              <w:jc w:val="right"/>
              <w:rPr>
                <w:sz w:val="16"/>
                <w:szCs w:val="16"/>
              </w:rPr>
            </w:pPr>
            <w:r w:rsidRPr="00D2110D">
              <w:rPr>
                <w:sz w:val="16"/>
                <w:szCs w:val="16"/>
              </w:rPr>
              <w:t>84,6 mnkr</w:t>
            </w:r>
          </w:p>
        </w:tc>
        <w:tc>
          <w:tcPr>
            <w:tcW w:w="1320" w:type="dxa"/>
            <w:tcBorders>
              <w:bottom w:val="single" w:sz="4" w:space="0" w:color="auto"/>
            </w:tcBorders>
            <w:vAlign w:val="bottom"/>
          </w:tcPr>
          <w:p w:rsidR="00A60F98" w:rsidRPr="00D2110D" w:rsidRDefault="00A60F98">
            <w:pPr>
              <w:shd w:val="clear" w:color="000000" w:fill="auto"/>
              <w:spacing w:before="60" w:line="200" w:lineRule="exact"/>
              <w:jc w:val="right"/>
              <w:rPr>
                <w:sz w:val="16"/>
                <w:szCs w:val="16"/>
              </w:rPr>
            </w:pPr>
            <w:r w:rsidRPr="00D2110D">
              <w:rPr>
                <w:sz w:val="16"/>
                <w:szCs w:val="16"/>
              </w:rPr>
              <w:t>36 mnkr</w:t>
            </w:r>
          </w:p>
        </w:tc>
        <w:tc>
          <w:tcPr>
            <w:tcW w:w="1200" w:type="dxa"/>
            <w:tcBorders>
              <w:bottom w:val="single" w:sz="4" w:space="0" w:color="auto"/>
            </w:tcBorders>
            <w:vAlign w:val="bottom"/>
          </w:tcPr>
          <w:p w:rsidR="00A60F98" w:rsidRPr="00D2110D" w:rsidRDefault="000933EC">
            <w:pPr>
              <w:shd w:val="clear" w:color="000000" w:fill="auto"/>
              <w:spacing w:before="60" w:line="200" w:lineRule="exact"/>
              <w:jc w:val="right"/>
              <w:rPr>
                <w:sz w:val="16"/>
                <w:szCs w:val="16"/>
              </w:rPr>
            </w:pPr>
            <w:r w:rsidRPr="00D2110D">
              <w:rPr>
                <w:sz w:val="16"/>
                <w:szCs w:val="16"/>
              </w:rPr>
              <w:t>–</w:t>
            </w:r>
            <w:r w:rsidR="00A60F98" w:rsidRPr="00D2110D">
              <w:rPr>
                <w:sz w:val="16"/>
                <w:szCs w:val="16"/>
              </w:rPr>
              <w:t>48,6 mnkr</w:t>
            </w:r>
          </w:p>
        </w:tc>
      </w:tr>
    </w:tbl>
    <w:p w:rsidR="00A60F98" w:rsidRPr="00D2110D" w:rsidRDefault="00A60F98">
      <w:pPr>
        <w:shd w:val="clear" w:color="000000" w:fill="auto"/>
        <w:spacing w:before="0"/>
        <w:rPr>
          <w:sz w:val="16"/>
          <w:szCs w:val="16"/>
        </w:rPr>
      </w:pPr>
      <w:r w:rsidRPr="00D2110D">
        <w:rPr>
          <w:sz w:val="16"/>
          <w:szCs w:val="16"/>
        </w:rPr>
        <w:t>Malmös andel av det generella bidraget beräknas som 3 % av 1 200 mnkr = 36 mnkr.</w:t>
      </w:r>
    </w:p>
    <w:p w:rsidR="006259B6" w:rsidRPr="00D2110D" w:rsidRDefault="00A60F98">
      <w:pPr>
        <w:shd w:val="clear" w:color="000000" w:fill="auto"/>
      </w:pPr>
      <w:r w:rsidRPr="00D2110D">
        <w:t>Verksamhetsvolymen under första halvåret 2007 kan endast påverkas marg</w:t>
      </w:r>
      <w:r w:rsidRPr="00D2110D">
        <w:t>i</w:t>
      </w:r>
      <w:r w:rsidRPr="00D2110D">
        <w:t>nellt. En total minskning av storleksordningen 48 mnkr måste nästan helt fördelas på verksamheterna under andra halvåret.</w:t>
      </w:r>
    </w:p>
    <w:p w:rsidR="00A60F98" w:rsidRPr="00D2110D" w:rsidRDefault="006259B6">
      <w:pPr>
        <w:shd w:val="clear" w:color="000000" w:fill="auto"/>
      </w:pPr>
      <w:r w:rsidRPr="00D2110D">
        <w:br w:type="page"/>
      </w:r>
    </w:p>
    <w:tbl>
      <w:tblPr>
        <w:tblW w:w="5880" w:type="dxa"/>
        <w:tblInd w:w="70" w:type="dxa"/>
        <w:tblLayout w:type="fixed"/>
        <w:tblCellMar>
          <w:left w:w="70" w:type="dxa"/>
          <w:right w:w="70" w:type="dxa"/>
        </w:tblCellMar>
        <w:tblLook w:val="0000" w:firstRow="0" w:lastRow="0" w:firstColumn="0" w:lastColumn="0" w:noHBand="0" w:noVBand="0"/>
      </w:tblPr>
      <w:tblGrid>
        <w:gridCol w:w="2880"/>
        <w:gridCol w:w="1440"/>
        <w:gridCol w:w="1560"/>
      </w:tblGrid>
      <w:tr w:rsidR="00A60F98" w:rsidRPr="00D2110D" w:rsidTr="006259B6">
        <w:tc>
          <w:tcPr>
            <w:tcW w:w="2880" w:type="dxa"/>
            <w:tcBorders>
              <w:top w:val="single" w:sz="6" w:space="0" w:color="auto"/>
              <w:bottom w:val="single" w:sz="6" w:space="0" w:color="auto"/>
            </w:tcBorders>
          </w:tcPr>
          <w:p w:rsidR="00A60F98" w:rsidRPr="00D2110D" w:rsidRDefault="00A60F98">
            <w:pPr>
              <w:shd w:val="clear" w:color="000000" w:fill="auto"/>
              <w:spacing w:before="60" w:line="200" w:lineRule="exact"/>
              <w:rPr>
                <w:b/>
                <w:sz w:val="16"/>
                <w:szCs w:val="16"/>
              </w:rPr>
            </w:pPr>
            <w:r w:rsidRPr="00D2110D">
              <w:rPr>
                <w:b/>
                <w:sz w:val="16"/>
                <w:szCs w:val="16"/>
              </w:rPr>
              <w:t>Planerade verksamheter 2007</w:t>
            </w:r>
          </w:p>
        </w:tc>
        <w:tc>
          <w:tcPr>
            <w:tcW w:w="1440" w:type="dxa"/>
            <w:tcBorders>
              <w:top w:val="single" w:sz="6" w:space="0" w:color="auto"/>
              <w:bottom w:val="single" w:sz="6" w:space="0" w:color="auto"/>
            </w:tcBorders>
          </w:tcPr>
          <w:p w:rsidR="00A60F98" w:rsidRPr="00D2110D" w:rsidRDefault="00A60F98">
            <w:pPr>
              <w:shd w:val="clear" w:color="000000" w:fill="auto"/>
              <w:spacing w:before="60" w:line="200" w:lineRule="exact"/>
              <w:jc w:val="right"/>
              <w:rPr>
                <w:b/>
                <w:sz w:val="16"/>
                <w:szCs w:val="16"/>
              </w:rPr>
            </w:pPr>
            <w:r w:rsidRPr="00D2110D">
              <w:rPr>
                <w:b/>
                <w:sz w:val="16"/>
                <w:szCs w:val="16"/>
              </w:rPr>
              <w:t>Helåret 2007 (mnkr)</w:t>
            </w:r>
          </w:p>
        </w:tc>
        <w:tc>
          <w:tcPr>
            <w:tcW w:w="1560" w:type="dxa"/>
            <w:tcBorders>
              <w:top w:val="single" w:sz="6" w:space="0" w:color="auto"/>
              <w:bottom w:val="single" w:sz="6" w:space="0" w:color="auto"/>
            </w:tcBorders>
          </w:tcPr>
          <w:p w:rsidR="00A60F98" w:rsidRPr="00D2110D" w:rsidRDefault="00A60F98">
            <w:pPr>
              <w:shd w:val="clear" w:color="000000" w:fill="auto"/>
              <w:spacing w:before="60" w:line="200" w:lineRule="exact"/>
              <w:jc w:val="right"/>
              <w:rPr>
                <w:b/>
                <w:sz w:val="16"/>
                <w:szCs w:val="16"/>
              </w:rPr>
            </w:pPr>
            <w:r w:rsidRPr="00D2110D">
              <w:rPr>
                <w:b/>
                <w:sz w:val="16"/>
                <w:szCs w:val="16"/>
              </w:rPr>
              <w:t xml:space="preserve">Varav 2:a halvåret </w:t>
            </w:r>
            <w:r w:rsidR="000933EC" w:rsidRPr="00D2110D">
              <w:rPr>
                <w:b/>
                <w:sz w:val="16"/>
                <w:szCs w:val="16"/>
              </w:rPr>
              <w:t>20</w:t>
            </w:r>
            <w:r w:rsidRPr="00D2110D">
              <w:rPr>
                <w:b/>
                <w:sz w:val="16"/>
                <w:szCs w:val="16"/>
              </w:rPr>
              <w:t>07 (mnkr)</w:t>
            </w:r>
          </w:p>
        </w:tc>
      </w:tr>
      <w:tr w:rsidR="00A60F98" w:rsidRPr="00D2110D" w:rsidTr="006259B6">
        <w:tc>
          <w:tcPr>
            <w:tcW w:w="2880" w:type="dxa"/>
            <w:tcBorders>
              <w:top w:val="single" w:sz="6" w:space="0" w:color="auto"/>
            </w:tcBorders>
          </w:tcPr>
          <w:p w:rsidR="00A60F98" w:rsidRPr="00D2110D" w:rsidRDefault="00A60F98">
            <w:pPr>
              <w:shd w:val="clear" w:color="000000" w:fill="auto"/>
              <w:spacing w:before="60" w:line="200" w:lineRule="exact"/>
              <w:rPr>
                <w:sz w:val="16"/>
                <w:szCs w:val="16"/>
              </w:rPr>
            </w:pPr>
            <w:r w:rsidRPr="00D2110D">
              <w:rPr>
                <w:sz w:val="16"/>
                <w:szCs w:val="16"/>
              </w:rPr>
              <w:t>Upphandling Gruv + Sfi</w:t>
            </w:r>
          </w:p>
        </w:tc>
        <w:tc>
          <w:tcPr>
            <w:tcW w:w="1440" w:type="dxa"/>
            <w:tcBorders>
              <w:top w:val="single" w:sz="6" w:space="0" w:color="auto"/>
            </w:tcBorders>
          </w:tcPr>
          <w:p w:rsidR="00A60F98" w:rsidRPr="00D2110D" w:rsidRDefault="00A60F98">
            <w:pPr>
              <w:shd w:val="clear" w:color="000000" w:fill="auto"/>
              <w:spacing w:before="60" w:line="200" w:lineRule="exact"/>
              <w:jc w:val="right"/>
              <w:rPr>
                <w:sz w:val="16"/>
                <w:szCs w:val="16"/>
              </w:rPr>
            </w:pPr>
            <w:r w:rsidRPr="00D2110D">
              <w:rPr>
                <w:sz w:val="16"/>
                <w:szCs w:val="16"/>
              </w:rPr>
              <w:t>36,0</w:t>
            </w:r>
          </w:p>
        </w:tc>
        <w:tc>
          <w:tcPr>
            <w:tcW w:w="1560" w:type="dxa"/>
            <w:tcBorders>
              <w:top w:val="single" w:sz="6" w:space="0" w:color="auto"/>
            </w:tcBorders>
          </w:tcPr>
          <w:p w:rsidR="00A60F98" w:rsidRPr="00D2110D" w:rsidRDefault="00A60F98">
            <w:pPr>
              <w:shd w:val="clear" w:color="000000" w:fill="auto"/>
              <w:spacing w:before="60" w:line="200" w:lineRule="exact"/>
              <w:jc w:val="right"/>
              <w:rPr>
                <w:sz w:val="16"/>
                <w:szCs w:val="16"/>
              </w:rPr>
            </w:pPr>
            <w:r w:rsidRPr="00D2110D">
              <w:rPr>
                <w:sz w:val="16"/>
                <w:szCs w:val="16"/>
              </w:rPr>
              <w:t>16,5</w:t>
            </w:r>
          </w:p>
        </w:tc>
      </w:tr>
      <w:tr w:rsidR="00A60F98" w:rsidRPr="00D2110D" w:rsidTr="006259B6">
        <w:tc>
          <w:tcPr>
            <w:tcW w:w="2880" w:type="dxa"/>
          </w:tcPr>
          <w:p w:rsidR="00A60F98" w:rsidRPr="00D2110D" w:rsidRDefault="00A60F98">
            <w:pPr>
              <w:shd w:val="clear" w:color="000000" w:fill="auto"/>
              <w:spacing w:before="60" w:line="200" w:lineRule="exact"/>
              <w:rPr>
                <w:sz w:val="16"/>
                <w:szCs w:val="16"/>
              </w:rPr>
            </w:pPr>
            <w:r w:rsidRPr="00D2110D">
              <w:rPr>
                <w:sz w:val="16"/>
                <w:szCs w:val="16"/>
              </w:rPr>
              <w:t>Upphandling Gy (Yrk)</w:t>
            </w:r>
          </w:p>
        </w:tc>
        <w:tc>
          <w:tcPr>
            <w:tcW w:w="1440" w:type="dxa"/>
          </w:tcPr>
          <w:p w:rsidR="00A60F98" w:rsidRPr="00D2110D" w:rsidRDefault="00A60F98">
            <w:pPr>
              <w:shd w:val="clear" w:color="000000" w:fill="auto"/>
              <w:spacing w:before="60" w:line="200" w:lineRule="exact"/>
              <w:jc w:val="right"/>
              <w:rPr>
                <w:sz w:val="16"/>
                <w:szCs w:val="16"/>
              </w:rPr>
            </w:pPr>
            <w:r w:rsidRPr="00D2110D">
              <w:rPr>
                <w:sz w:val="16"/>
                <w:szCs w:val="16"/>
              </w:rPr>
              <w:t>37,0</w:t>
            </w:r>
          </w:p>
        </w:tc>
        <w:tc>
          <w:tcPr>
            <w:tcW w:w="1560" w:type="dxa"/>
          </w:tcPr>
          <w:p w:rsidR="00A60F98" w:rsidRPr="00D2110D" w:rsidRDefault="00A60F98">
            <w:pPr>
              <w:shd w:val="clear" w:color="000000" w:fill="auto"/>
              <w:spacing w:before="60" w:line="200" w:lineRule="exact"/>
              <w:jc w:val="right"/>
              <w:rPr>
                <w:sz w:val="16"/>
                <w:szCs w:val="16"/>
              </w:rPr>
            </w:pPr>
            <w:r w:rsidRPr="00D2110D">
              <w:rPr>
                <w:sz w:val="16"/>
                <w:szCs w:val="16"/>
              </w:rPr>
              <w:t>19,0</w:t>
            </w:r>
          </w:p>
        </w:tc>
      </w:tr>
      <w:tr w:rsidR="00A60F98" w:rsidRPr="00D2110D" w:rsidTr="006259B6">
        <w:tc>
          <w:tcPr>
            <w:tcW w:w="2880" w:type="dxa"/>
          </w:tcPr>
          <w:p w:rsidR="00A60F98" w:rsidRPr="00D2110D" w:rsidRDefault="00A60F98">
            <w:pPr>
              <w:shd w:val="clear" w:color="000000" w:fill="auto"/>
              <w:spacing w:before="60" w:line="200" w:lineRule="exact"/>
              <w:rPr>
                <w:sz w:val="16"/>
                <w:szCs w:val="16"/>
              </w:rPr>
            </w:pPr>
            <w:r w:rsidRPr="00D2110D">
              <w:rPr>
                <w:sz w:val="16"/>
                <w:szCs w:val="16"/>
              </w:rPr>
              <w:t>Beställning Kronborg Gruv</w:t>
            </w:r>
          </w:p>
        </w:tc>
        <w:tc>
          <w:tcPr>
            <w:tcW w:w="1440" w:type="dxa"/>
          </w:tcPr>
          <w:p w:rsidR="00A60F98" w:rsidRPr="00D2110D" w:rsidRDefault="00A60F98">
            <w:pPr>
              <w:shd w:val="clear" w:color="000000" w:fill="auto"/>
              <w:spacing w:before="60" w:line="200" w:lineRule="exact"/>
              <w:jc w:val="right"/>
              <w:rPr>
                <w:sz w:val="16"/>
                <w:szCs w:val="16"/>
              </w:rPr>
            </w:pPr>
            <w:r w:rsidRPr="00D2110D">
              <w:rPr>
                <w:sz w:val="16"/>
                <w:szCs w:val="16"/>
              </w:rPr>
              <w:t>3,5</w:t>
            </w:r>
          </w:p>
        </w:tc>
        <w:tc>
          <w:tcPr>
            <w:tcW w:w="1560" w:type="dxa"/>
          </w:tcPr>
          <w:p w:rsidR="00A60F98" w:rsidRPr="00D2110D" w:rsidRDefault="00A60F98">
            <w:pPr>
              <w:shd w:val="clear" w:color="000000" w:fill="auto"/>
              <w:spacing w:before="60" w:line="200" w:lineRule="exact"/>
              <w:jc w:val="right"/>
              <w:rPr>
                <w:sz w:val="16"/>
                <w:szCs w:val="16"/>
              </w:rPr>
            </w:pPr>
            <w:r w:rsidRPr="00D2110D">
              <w:rPr>
                <w:sz w:val="16"/>
                <w:szCs w:val="16"/>
              </w:rPr>
              <w:t>1,7</w:t>
            </w:r>
          </w:p>
        </w:tc>
      </w:tr>
      <w:tr w:rsidR="00A60F98" w:rsidRPr="00D2110D" w:rsidTr="006259B6">
        <w:tc>
          <w:tcPr>
            <w:tcW w:w="2880" w:type="dxa"/>
          </w:tcPr>
          <w:p w:rsidR="00A60F98" w:rsidRPr="00D2110D" w:rsidRDefault="00A60F98">
            <w:pPr>
              <w:shd w:val="clear" w:color="000000" w:fill="auto"/>
              <w:spacing w:before="60" w:line="200" w:lineRule="exact"/>
              <w:rPr>
                <w:sz w:val="16"/>
                <w:szCs w:val="16"/>
              </w:rPr>
            </w:pPr>
            <w:r w:rsidRPr="00D2110D">
              <w:rPr>
                <w:sz w:val="16"/>
                <w:szCs w:val="16"/>
              </w:rPr>
              <w:t>Beställning Kronborg Gy</w:t>
            </w:r>
          </w:p>
        </w:tc>
        <w:tc>
          <w:tcPr>
            <w:tcW w:w="1440" w:type="dxa"/>
          </w:tcPr>
          <w:p w:rsidR="00A60F98" w:rsidRPr="00D2110D" w:rsidRDefault="00A60F98">
            <w:pPr>
              <w:shd w:val="clear" w:color="000000" w:fill="auto"/>
              <w:spacing w:before="60" w:line="200" w:lineRule="exact"/>
              <w:jc w:val="right"/>
              <w:rPr>
                <w:sz w:val="16"/>
                <w:szCs w:val="16"/>
              </w:rPr>
            </w:pPr>
            <w:r w:rsidRPr="00D2110D">
              <w:rPr>
                <w:sz w:val="16"/>
                <w:szCs w:val="16"/>
              </w:rPr>
              <w:t>47,5</w:t>
            </w:r>
          </w:p>
        </w:tc>
        <w:tc>
          <w:tcPr>
            <w:tcW w:w="1560" w:type="dxa"/>
          </w:tcPr>
          <w:p w:rsidR="00A60F98" w:rsidRPr="00D2110D" w:rsidRDefault="00A60F98">
            <w:pPr>
              <w:shd w:val="clear" w:color="000000" w:fill="auto"/>
              <w:spacing w:before="60" w:line="200" w:lineRule="exact"/>
              <w:jc w:val="right"/>
              <w:rPr>
                <w:sz w:val="16"/>
                <w:szCs w:val="16"/>
              </w:rPr>
            </w:pPr>
            <w:r w:rsidRPr="00D2110D">
              <w:rPr>
                <w:sz w:val="16"/>
                <w:szCs w:val="16"/>
              </w:rPr>
              <w:t>23,5</w:t>
            </w:r>
          </w:p>
        </w:tc>
      </w:tr>
      <w:tr w:rsidR="00A60F98" w:rsidRPr="00D2110D" w:rsidTr="006259B6">
        <w:tc>
          <w:tcPr>
            <w:tcW w:w="2880" w:type="dxa"/>
          </w:tcPr>
          <w:p w:rsidR="00A60F98" w:rsidRPr="00D2110D" w:rsidRDefault="00A60F98">
            <w:pPr>
              <w:shd w:val="clear" w:color="000000" w:fill="auto"/>
              <w:spacing w:before="60" w:line="200" w:lineRule="exact"/>
              <w:rPr>
                <w:sz w:val="16"/>
                <w:szCs w:val="16"/>
              </w:rPr>
            </w:pPr>
            <w:r w:rsidRPr="00D2110D">
              <w:rPr>
                <w:sz w:val="16"/>
                <w:szCs w:val="16"/>
              </w:rPr>
              <w:t>Beställning Södervärn Särvux</w:t>
            </w:r>
          </w:p>
        </w:tc>
        <w:tc>
          <w:tcPr>
            <w:tcW w:w="1440" w:type="dxa"/>
          </w:tcPr>
          <w:p w:rsidR="00A60F98" w:rsidRPr="00D2110D" w:rsidRDefault="00A60F98">
            <w:pPr>
              <w:shd w:val="clear" w:color="000000" w:fill="auto"/>
              <w:spacing w:before="60" w:line="200" w:lineRule="exact"/>
              <w:jc w:val="right"/>
              <w:rPr>
                <w:sz w:val="16"/>
                <w:szCs w:val="16"/>
              </w:rPr>
            </w:pPr>
            <w:r w:rsidRPr="00D2110D">
              <w:rPr>
                <w:sz w:val="16"/>
                <w:szCs w:val="16"/>
              </w:rPr>
              <w:t>4,0</w:t>
            </w:r>
          </w:p>
        </w:tc>
        <w:tc>
          <w:tcPr>
            <w:tcW w:w="1560" w:type="dxa"/>
          </w:tcPr>
          <w:p w:rsidR="00A60F98" w:rsidRPr="00D2110D" w:rsidRDefault="00A60F98">
            <w:pPr>
              <w:shd w:val="clear" w:color="000000" w:fill="auto"/>
              <w:spacing w:before="60" w:line="200" w:lineRule="exact"/>
              <w:jc w:val="right"/>
              <w:rPr>
                <w:sz w:val="16"/>
                <w:szCs w:val="16"/>
              </w:rPr>
            </w:pPr>
            <w:r w:rsidRPr="00D2110D">
              <w:rPr>
                <w:sz w:val="16"/>
                <w:szCs w:val="16"/>
              </w:rPr>
              <w:t>2,0</w:t>
            </w:r>
          </w:p>
        </w:tc>
      </w:tr>
      <w:tr w:rsidR="00A60F98" w:rsidRPr="00D2110D" w:rsidTr="006259B6">
        <w:tc>
          <w:tcPr>
            <w:tcW w:w="2880" w:type="dxa"/>
          </w:tcPr>
          <w:p w:rsidR="00A60F98" w:rsidRPr="00D2110D" w:rsidRDefault="00A60F98">
            <w:pPr>
              <w:shd w:val="clear" w:color="000000" w:fill="auto"/>
              <w:spacing w:before="60" w:line="200" w:lineRule="exact"/>
              <w:rPr>
                <w:sz w:val="16"/>
                <w:szCs w:val="16"/>
              </w:rPr>
            </w:pPr>
            <w:r w:rsidRPr="00D2110D">
              <w:rPr>
                <w:sz w:val="16"/>
                <w:szCs w:val="16"/>
              </w:rPr>
              <w:t>Beställning Södervärn Gruv + Sfi</w:t>
            </w:r>
          </w:p>
        </w:tc>
        <w:tc>
          <w:tcPr>
            <w:tcW w:w="1440" w:type="dxa"/>
          </w:tcPr>
          <w:p w:rsidR="00A60F98" w:rsidRPr="00D2110D" w:rsidRDefault="00A60F98">
            <w:pPr>
              <w:shd w:val="clear" w:color="000000" w:fill="auto"/>
              <w:spacing w:before="60" w:line="200" w:lineRule="exact"/>
              <w:jc w:val="right"/>
              <w:rPr>
                <w:sz w:val="16"/>
                <w:szCs w:val="16"/>
              </w:rPr>
            </w:pPr>
            <w:r w:rsidRPr="00D2110D">
              <w:rPr>
                <w:sz w:val="16"/>
                <w:szCs w:val="16"/>
              </w:rPr>
              <w:t>55,2</w:t>
            </w:r>
          </w:p>
        </w:tc>
        <w:tc>
          <w:tcPr>
            <w:tcW w:w="1560" w:type="dxa"/>
          </w:tcPr>
          <w:p w:rsidR="00A60F98" w:rsidRPr="00D2110D" w:rsidRDefault="00A60F98">
            <w:pPr>
              <w:shd w:val="clear" w:color="000000" w:fill="auto"/>
              <w:spacing w:before="60" w:line="200" w:lineRule="exact"/>
              <w:jc w:val="right"/>
              <w:rPr>
                <w:sz w:val="16"/>
                <w:szCs w:val="16"/>
              </w:rPr>
            </w:pPr>
            <w:r w:rsidRPr="00D2110D">
              <w:rPr>
                <w:sz w:val="16"/>
                <w:szCs w:val="16"/>
              </w:rPr>
              <w:t>27,5</w:t>
            </w:r>
          </w:p>
        </w:tc>
      </w:tr>
      <w:tr w:rsidR="00A60F98" w:rsidRPr="00D2110D" w:rsidTr="006259B6">
        <w:tc>
          <w:tcPr>
            <w:tcW w:w="2880" w:type="dxa"/>
          </w:tcPr>
          <w:p w:rsidR="00A60F98" w:rsidRPr="00D2110D" w:rsidRDefault="00A60F98">
            <w:pPr>
              <w:shd w:val="clear" w:color="000000" w:fill="auto"/>
              <w:spacing w:before="60" w:line="200" w:lineRule="exact"/>
              <w:rPr>
                <w:sz w:val="16"/>
                <w:szCs w:val="16"/>
              </w:rPr>
            </w:pPr>
            <w:r w:rsidRPr="00D2110D">
              <w:rPr>
                <w:sz w:val="16"/>
                <w:szCs w:val="16"/>
              </w:rPr>
              <w:t>Beställning Södervärn Gy</w:t>
            </w:r>
          </w:p>
        </w:tc>
        <w:tc>
          <w:tcPr>
            <w:tcW w:w="1440" w:type="dxa"/>
          </w:tcPr>
          <w:p w:rsidR="00A60F98" w:rsidRPr="00D2110D" w:rsidRDefault="00A60F98">
            <w:pPr>
              <w:shd w:val="clear" w:color="000000" w:fill="auto"/>
              <w:spacing w:before="60" w:line="200" w:lineRule="exact"/>
              <w:jc w:val="right"/>
              <w:rPr>
                <w:sz w:val="16"/>
                <w:szCs w:val="16"/>
              </w:rPr>
            </w:pPr>
            <w:r w:rsidRPr="00D2110D">
              <w:rPr>
                <w:sz w:val="16"/>
                <w:szCs w:val="16"/>
              </w:rPr>
              <w:t>9,0</w:t>
            </w:r>
          </w:p>
        </w:tc>
        <w:tc>
          <w:tcPr>
            <w:tcW w:w="1560" w:type="dxa"/>
          </w:tcPr>
          <w:p w:rsidR="00A60F98" w:rsidRPr="00D2110D" w:rsidRDefault="00A60F98">
            <w:pPr>
              <w:shd w:val="clear" w:color="000000" w:fill="auto"/>
              <w:spacing w:before="60" w:line="200" w:lineRule="exact"/>
              <w:jc w:val="right"/>
              <w:rPr>
                <w:sz w:val="16"/>
                <w:szCs w:val="16"/>
              </w:rPr>
            </w:pPr>
            <w:r w:rsidRPr="00D2110D">
              <w:rPr>
                <w:sz w:val="16"/>
                <w:szCs w:val="16"/>
              </w:rPr>
              <w:t>4,5</w:t>
            </w:r>
          </w:p>
        </w:tc>
      </w:tr>
      <w:tr w:rsidR="00A60F98" w:rsidRPr="00D2110D" w:rsidTr="006259B6">
        <w:tc>
          <w:tcPr>
            <w:tcW w:w="2880" w:type="dxa"/>
          </w:tcPr>
          <w:p w:rsidR="00A60F98" w:rsidRPr="00D2110D" w:rsidRDefault="00A60F98">
            <w:pPr>
              <w:shd w:val="clear" w:color="000000" w:fill="auto"/>
              <w:spacing w:before="60" w:line="200" w:lineRule="exact"/>
              <w:rPr>
                <w:sz w:val="16"/>
                <w:szCs w:val="16"/>
              </w:rPr>
            </w:pPr>
            <w:r w:rsidRPr="00D2110D">
              <w:rPr>
                <w:sz w:val="16"/>
                <w:szCs w:val="16"/>
              </w:rPr>
              <w:t>Beställning Rönnen Gy (OP, BF)</w:t>
            </w:r>
          </w:p>
        </w:tc>
        <w:tc>
          <w:tcPr>
            <w:tcW w:w="1440" w:type="dxa"/>
          </w:tcPr>
          <w:p w:rsidR="00A60F98" w:rsidRPr="00D2110D" w:rsidRDefault="00A60F98">
            <w:pPr>
              <w:shd w:val="clear" w:color="000000" w:fill="auto"/>
              <w:spacing w:before="60" w:line="200" w:lineRule="exact"/>
              <w:jc w:val="right"/>
              <w:rPr>
                <w:sz w:val="16"/>
                <w:szCs w:val="16"/>
              </w:rPr>
            </w:pPr>
            <w:r w:rsidRPr="00D2110D">
              <w:rPr>
                <w:sz w:val="16"/>
                <w:szCs w:val="16"/>
              </w:rPr>
              <w:t>20,6</w:t>
            </w:r>
          </w:p>
        </w:tc>
        <w:tc>
          <w:tcPr>
            <w:tcW w:w="1560" w:type="dxa"/>
          </w:tcPr>
          <w:p w:rsidR="00A60F98" w:rsidRPr="00D2110D" w:rsidRDefault="00A60F98">
            <w:pPr>
              <w:shd w:val="clear" w:color="000000" w:fill="auto"/>
              <w:spacing w:before="60" w:line="200" w:lineRule="exact"/>
              <w:jc w:val="right"/>
              <w:rPr>
                <w:sz w:val="16"/>
                <w:szCs w:val="16"/>
              </w:rPr>
            </w:pPr>
            <w:r w:rsidRPr="00D2110D">
              <w:rPr>
                <w:sz w:val="16"/>
                <w:szCs w:val="16"/>
              </w:rPr>
              <w:t>10,3</w:t>
            </w:r>
          </w:p>
        </w:tc>
      </w:tr>
      <w:tr w:rsidR="00A60F98" w:rsidRPr="00D2110D" w:rsidTr="006259B6">
        <w:tc>
          <w:tcPr>
            <w:tcW w:w="2880" w:type="dxa"/>
            <w:tcBorders>
              <w:bottom w:val="single" w:sz="6" w:space="0" w:color="auto"/>
            </w:tcBorders>
          </w:tcPr>
          <w:p w:rsidR="00A60F98" w:rsidRPr="00D2110D" w:rsidRDefault="00A60F98">
            <w:pPr>
              <w:shd w:val="clear" w:color="000000" w:fill="auto"/>
              <w:spacing w:before="60" w:line="200" w:lineRule="exact"/>
              <w:rPr>
                <w:b/>
                <w:sz w:val="16"/>
                <w:szCs w:val="16"/>
              </w:rPr>
            </w:pPr>
            <w:r w:rsidRPr="00D2110D">
              <w:rPr>
                <w:b/>
                <w:sz w:val="16"/>
                <w:szCs w:val="16"/>
              </w:rPr>
              <w:t>Summa</w:t>
            </w:r>
          </w:p>
        </w:tc>
        <w:tc>
          <w:tcPr>
            <w:tcW w:w="1440" w:type="dxa"/>
            <w:tcBorders>
              <w:bottom w:val="single" w:sz="6" w:space="0" w:color="auto"/>
            </w:tcBorders>
          </w:tcPr>
          <w:p w:rsidR="00A60F98" w:rsidRPr="00D2110D" w:rsidRDefault="00A60F98">
            <w:pPr>
              <w:shd w:val="clear" w:color="000000" w:fill="auto"/>
              <w:spacing w:before="60" w:line="200" w:lineRule="exact"/>
              <w:jc w:val="right"/>
              <w:rPr>
                <w:b/>
                <w:sz w:val="16"/>
                <w:szCs w:val="16"/>
              </w:rPr>
            </w:pPr>
            <w:r w:rsidRPr="00D2110D">
              <w:rPr>
                <w:b/>
                <w:sz w:val="16"/>
                <w:szCs w:val="16"/>
              </w:rPr>
              <w:t>212,8</w:t>
            </w:r>
          </w:p>
        </w:tc>
        <w:tc>
          <w:tcPr>
            <w:tcW w:w="1560" w:type="dxa"/>
            <w:tcBorders>
              <w:bottom w:val="single" w:sz="6" w:space="0" w:color="auto"/>
            </w:tcBorders>
          </w:tcPr>
          <w:p w:rsidR="00A60F98" w:rsidRPr="00D2110D" w:rsidRDefault="00A60F98">
            <w:pPr>
              <w:shd w:val="clear" w:color="000000" w:fill="auto"/>
              <w:spacing w:before="60" w:line="200" w:lineRule="exact"/>
              <w:jc w:val="right"/>
              <w:rPr>
                <w:b/>
                <w:sz w:val="16"/>
                <w:szCs w:val="16"/>
              </w:rPr>
            </w:pPr>
            <w:r w:rsidRPr="00D2110D">
              <w:rPr>
                <w:b/>
                <w:sz w:val="16"/>
                <w:szCs w:val="16"/>
              </w:rPr>
              <w:t>105,0</w:t>
            </w:r>
          </w:p>
        </w:tc>
      </w:tr>
    </w:tbl>
    <w:p w:rsidR="00A60F98" w:rsidRPr="00D2110D" w:rsidRDefault="00A60F98">
      <w:pPr>
        <w:shd w:val="clear" w:color="000000" w:fill="auto"/>
      </w:pPr>
      <w:r w:rsidRPr="00D2110D">
        <w:t>Minskning av upphandling eller beställning inom de lagstadgade verksamh</w:t>
      </w:r>
      <w:r w:rsidRPr="00D2110D">
        <w:t>e</w:t>
      </w:r>
      <w:r w:rsidRPr="00D2110D">
        <w:t>terna gruv, sfi och gr-särvux bedöms medföra oacceptabelt långa köer.</w:t>
      </w:r>
    </w:p>
    <w:p w:rsidR="00A60F98" w:rsidRPr="00D2110D" w:rsidRDefault="00A60F98">
      <w:pPr>
        <w:pStyle w:val="Normaltindrag"/>
        <w:shd w:val="clear" w:color="000000" w:fill="auto"/>
      </w:pPr>
      <w:r w:rsidRPr="00D2110D">
        <w:t>Statsbidraget till Malmös vuxenutbildning minskar med mer än hälften som konsekvens av regeringens budgetproposition. Regeringen minskar stat</w:t>
      </w:r>
      <w:r w:rsidRPr="00D2110D">
        <w:t>s</w:t>
      </w:r>
      <w:r w:rsidRPr="00D2110D">
        <w:t>bidraget till vuxenutbildningen med 600 miljoner kronor, vilket motsvarar u</w:t>
      </w:r>
      <w:r w:rsidRPr="00D2110D">
        <w:t>n</w:t>
      </w:r>
      <w:r w:rsidRPr="00D2110D">
        <w:t>gefär en tredjedel. Men eftersom de pengar som blir kvar dessutom fördelas på ett annat sätt blir Malmö av med 57 procent av sina statsbidrag eller 48,6 miljoner kronor. Dessutom drar regeringen in rekryteringsbidraget för vuxe</w:t>
      </w:r>
      <w:r w:rsidRPr="00D2110D">
        <w:t>n</w:t>
      </w:r>
      <w:r w:rsidRPr="00D2110D">
        <w:t>studerande, vilket i stort sett betyder att 800 personer istället måste söka soc</w:t>
      </w:r>
      <w:r w:rsidRPr="00D2110D">
        <w:t>i</w:t>
      </w:r>
      <w:r w:rsidRPr="00D2110D">
        <w:t>albidrag. Vi kan bara konstatera att det tog den nya regeringen tio dagar att överge arbetslinjen. Det är dessutom ett dråpslag mot de mest utsatta. För många av Malmös arbetslösa är vuxenutbildningen den väg som finns för att de ska kunna komma in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10D">
        <w:trPr>
          <w:cantSplit/>
        </w:trPr>
        <w:tc>
          <w:tcPr>
            <w:tcW w:w="3046" w:type="dxa"/>
          </w:tcPr>
          <w:p w:rsidR="001D1B69" w:rsidRPr="00D2110D" w:rsidRDefault="001D1B69">
            <w:pPr>
              <w:pStyle w:val="UnderskriftDatum"/>
              <w:shd w:val="clear" w:color="000000" w:fill="auto"/>
              <w:spacing w:before="240"/>
            </w:pPr>
            <w:r w:rsidRPr="00D2110D">
              <w:t>Stockholm den 25 oktober 2006</w:t>
            </w:r>
          </w:p>
        </w:tc>
        <w:tc>
          <w:tcPr>
            <w:tcW w:w="3047" w:type="dxa"/>
          </w:tcPr>
          <w:p w:rsidR="001D1B69" w:rsidRPr="00D2110D" w:rsidRDefault="001D1B69">
            <w:pPr>
              <w:pStyle w:val="Underskrifter"/>
              <w:shd w:val="clear" w:color="000000" w:fill="auto"/>
              <w:spacing w:before="240"/>
            </w:pPr>
          </w:p>
        </w:tc>
      </w:tr>
      <w:tr w:rsidR="00000000" w:rsidRPr="00D2110D">
        <w:trPr>
          <w:cantSplit/>
        </w:trPr>
        <w:tc>
          <w:tcPr>
            <w:tcW w:w="3046" w:type="dxa"/>
          </w:tcPr>
          <w:p w:rsidR="001D1B69" w:rsidRPr="00D2110D" w:rsidRDefault="001D1B69">
            <w:pPr>
              <w:pStyle w:val="Underskrifter"/>
              <w:shd w:val="clear" w:color="000000" w:fill="auto"/>
            </w:pPr>
            <w:r w:rsidRPr="00D2110D">
              <w:t>Luciano Astudillo (s)</w:t>
            </w:r>
          </w:p>
        </w:tc>
        <w:tc>
          <w:tcPr>
            <w:tcW w:w="3046" w:type="dxa"/>
          </w:tcPr>
          <w:p w:rsidR="001D1B69" w:rsidRPr="00D2110D" w:rsidRDefault="001D1B69">
            <w:pPr>
              <w:pStyle w:val="Underskrifter"/>
              <w:shd w:val="clear" w:color="000000" w:fill="auto"/>
            </w:pPr>
          </w:p>
        </w:tc>
      </w:tr>
    </w:tbl>
    <w:p w:rsidR="00A60F98" w:rsidRPr="00D2110D" w:rsidRDefault="00A60F98">
      <w:pPr>
        <w:pStyle w:val="Normaltindrag"/>
        <w:shd w:val="clear" w:color="000000" w:fill="auto"/>
      </w:pPr>
    </w:p>
    <w:sectPr w:rsidR="00A60F98" w:rsidRPr="00D2110D" w:rsidSect="000933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B69" w:rsidRPr="00D2110D" w:rsidRDefault="001D1B69">
      <w:r w:rsidRPr="00D2110D">
        <w:separator/>
      </w:r>
    </w:p>
  </w:endnote>
  <w:endnote w:type="continuationSeparator" w:id="0">
    <w:p w:rsidR="001D1B69" w:rsidRPr="00D2110D" w:rsidRDefault="001D1B69">
      <w:r w:rsidRPr="00D21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B7" w:rsidRPr="00D2110D" w:rsidRDefault="00D2110D" w:rsidP="000933EC">
    <w:pPr>
      <w:pStyle w:val="Sidfot"/>
    </w:pPr>
    <w:r w:rsidRPr="00D211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130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EC" w:rsidRDefault="001D1B69">
                          <w:pPr>
                            <w:pStyle w:val="NormalS5sidnrV"/>
                          </w:pPr>
                          <w:r>
                            <w:fldChar w:fldCharType="begin"/>
                          </w:r>
                          <w:r w:rsidR="000933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3EC" w:rsidRDefault="001D1B69">
                    <w:pPr>
                      <w:pStyle w:val="NormalS5sidnrV"/>
                    </w:pPr>
                    <w:r>
                      <w:fldChar w:fldCharType="begin"/>
                    </w:r>
                    <w:r w:rsidR="000933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B7" w:rsidRPr="00D2110D" w:rsidRDefault="00D2110D" w:rsidP="000933EC">
    <w:pPr>
      <w:pStyle w:val="Sidfot"/>
    </w:pPr>
    <w:r w:rsidRPr="00D211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690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EC" w:rsidRDefault="001D1B69">
                          <w:pPr>
                            <w:pStyle w:val="NormalS5sidnrH"/>
                            <w:ind w:right="0"/>
                          </w:pPr>
                          <w:r>
                            <w:fldChar w:fldCharType="begin"/>
                          </w:r>
                          <w:r w:rsidR="000933EC">
                            <w:instrText xml:space="preserve"> PAGE *\charformat</w:instrText>
                          </w:r>
                          <w:r>
                            <w:fldChar w:fldCharType="separate"/>
                          </w:r>
                          <w:r w:rsidR="00C4573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3EC" w:rsidRDefault="001D1B69">
                    <w:pPr>
                      <w:pStyle w:val="NormalS5sidnrH"/>
                      <w:ind w:right="0"/>
                    </w:pPr>
                    <w:r>
                      <w:fldChar w:fldCharType="begin"/>
                    </w:r>
                    <w:r w:rsidR="000933EC">
                      <w:instrText xml:space="preserve"> PAGE *\charformat</w:instrText>
                    </w:r>
                    <w:r>
                      <w:fldChar w:fldCharType="separate"/>
                    </w:r>
                    <w:r w:rsidR="00C4573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B7" w:rsidRPr="00D2110D" w:rsidRDefault="00D2110D" w:rsidP="000933EC">
    <w:pPr>
      <w:pStyle w:val="Sidfot"/>
    </w:pPr>
    <w:r w:rsidRPr="00D211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307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EC" w:rsidRDefault="001D1B69">
                          <w:pPr>
                            <w:pStyle w:val="NormalS5sidnrH"/>
                            <w:ind w:right="0"/>
                          </w:pPr>
                          <w:r>
                            <w:fldChar w:fldCharType="begin"/>
                          </w:r>
                          <w:r w:rsidR="000933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3EC" w:rsidRDefault="001D1B69">
                    <w:pPr>
                      <w:pStyle w:val="NormalS5sidnrH"/>
                      <w:ind w:right="0"/>
                    </w:pPr>
                    <w:r>
                      <w:fldChar w:fldCharType="begin"/>
                    </w:r>
                    <w:r w:rsidR="000933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B69" w:rsidRPr="00D2110D" w:rsidRDefault="001D1B69">
      <w:r w:rsidRPr="00D2110D">
        <w:separator/>
      </w:r>
    </w:p>
  </w:footnote>
  <w:footnote w:type="continuationSeparator" w:id="0">
    <w:p w:rsidR="001D1B69" w:rsidRPr="00D2110D" w:rsidRDefault="001D1B69">
      <w:r w:rsidRPr="00D21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B7" w:rsidRPr="00D2110D" w:rsidRDefault="00D2110D" w:rsidP="000933EC">
    <w:pPr>
      <w:pStyle w:val="Sidhuvud"/>
    </w:pPr>
    <w:r w:rsidRPr="00D211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4078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EC" w:rsidRDefault="001D1B69">
                          <w:pPr>
                            <w:pStyle w:val="KantRubrikS5V"/>
                          </w:pPr>
                          <w:r>
                            <w:fldChar w:fldCharType="begin"/>
                          </w:r>
                          <w:r w:rsidR="000933EC">
                            <w:instrText xml:space="preserve"> DOCPROPERTY "YearUser" *\charformat </w:instrText>
                          </w:r>
                          <w:r>
                            <w:fldChar w:fldCharType="separate"/>
                          </w:r>
                          <w:r w:rsidR="00C45739">
                            <w:t>2006/07</w:t>
                          </w:r>
                          <w:r>
                            <w:fldChar w:fldCharType="end"/>
                          </w:r>
                          <w:r w:rsidR="000933EC">
                            <w:t>:</w:t>
                          </w:r>
                          <w:r>
                            <w:fldChar w:fldCharType="begin"/>
                          </w:r>
                          <w:r w:rsidR="000933EC">
                            <w:instrText xml:space="preserve"> DOCPROPERTY "Motionsnummer" *\charformat </w:instrText>
                          </w:r>
                          <w:r>
                            <w:fldChar w:fldCharType="separate"/>
                          </w:r>
                          <w:r w:rsidR="00C45739">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3EC" w:rsidRDefault="001D1B69">
                    <w:pPr>
                      <w:pStyle w:val="KantRubrikS5V"/>
                    </w:pPr>
                    <w:r>
                      <w:fldChar w:fldCharType="begin"/>
                    </w:r>
                    <w:r w:rsidR="000933EC">
                      <w:instrText xml:space="preserve"> DOCPROPERTY "YearUser" *\charformat </w:instrText>
                    </w:r>
                    <w:r>
                      <w:fldChar w:fldCharType="separate"/>
                    </w:r>
                    <w:r w:rsidR="00C45739">
                      <w:t>2006/07</w:t>
                    </w:r>
                    <w:r>
                      <w:fldChar w:fldCharType="end"/>
                    </w:r>
                    <w:r w:rsidR="000933EC">
                      <w:t>:</w:t>
                    </w:r>
                    <w:r>
                      <w:fldChar w:fldCharType="begin"/>
                    </w:r>
                    <w:r w:rsidR="000933EC">
                      <w:instrText xml:space="preserve"> DOCPROPERTY "Motionsnummer" *\charformat </w:instrText>
                    </w:r>
                    <w:r>
                      <w:fldChar w:fldCharType="separate"/>
                    </w:r>
                    <w:r w:rsidR="00C45739">
                      <w:t>Ub423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B7" w:rsidRPr="00D2110D" w:rsidRDefault="00D2110D" w:rsidP="000933EC">
    <w:pPr>
      <w:pStyle w:val="Sidhuvud"/>
    </w:pPr>
    <w:r w:rsidRPr="00D211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420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EC" w:rsidRDefault="001D1B69">
                          <w:pPr>
                            <w:pStyle w:val="KantRubrikS5H"/>
                            <w:ind w:right="0"/>
                          </w:pPr>
                          <w:r>
                            <w:fldChar w:fldCharType="begin"/>
                          </w:r>
                          <w:r w:rsidR="000933EC">
                            <w:instrText xml:space="preserve"> DOCPROPERTY "YearUser" *\charformat </w:instrText>
                          </w:r>
                          <w:r>
                            <w:fldChar w:fldCharType="separate"/>
                          </w:r>
                          <w:r w:rsidR="00C45739">
                            <w:t>2006/07</w:t>
                          </w:r>
                          <w:r>
                            <w:fldChar w:fldCharType="end"/>
                          </w:r>
                          <w:r w:rsidR="000933EC">
                            <w:t>:</w:t>
                          </w:r>
                          <w:r>
                            <w:fldChar w:fldCharType="begin"/>
                          </w:r>
                          <w:r w:rsidR="000933EC">
                            <w:instrText xml:space="preserve"> DOCPROPERTY "Motionsnummer" *\charformat </w:instrText>
                          </w:r>
                          <w:r>
                            <w:fldChar w:fldCharType="separate"/>
                          </w:r>
                          <w:r w:rsidR="00C45739">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3EC" w:rsidRDefault="001D1B69">
                    <w:pPr>
                      <w:pStyle w:val="KantRubrikS5H"/>
                      <w:ind w:right="0"/>
                    </w:pPr>
                    <w:r>
                      <w:fldChar w:fldCharType="begin"/>
                    </w:r>
                    <w:r w:rsidR="000933EC">
                      <w:instrText xml:space="preserve"> DOCPROPERTY "YearUser" *\charformat </w:instrText>
                    </w:r>
                    <w:r>
                      <w:fldChar w:fldCharType="separate"/>
                    </w:r>
                    <w:r w:rsidR="00C45739">
                      <w:t>2006/07</w:t>
                    </w:r>
                    <w:r>
                      <w:fldChar w:fldCharType="end"/>
                    </w:r>
                    <w:r w:rsidR="000933EC">
                      <w:t>:</w:t>
                    </w:r>
                    <w:r>
                      <w:fldChar w:fldCharType="begin"/>
                    </w:r>
                    <w:r w:rsidR="000933EC">
                      <w:instrText xml:space="preserve"> DOCPROPERTY "Motionsnummer" *\charformat </w:instrText>
                    </w:r>
                    <w:r>
                      <w:fldChar w:fldCharType="separate"/>
                    </w:r>
                    <w:r w:rsidR="00C45739">
                      <w:t>Ub423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B69" w:rsidRPr="00D2110D" w:rsidRDefault="001D1B69">
    <w:pPr>
      <w:pStyle w:val="FSHNormal"/>
      <w:tabs>
        <w:tab w:val="right" w:pos="5840"/>
      </w:tabs>
    </w:pPr>
    <w:r w:rsidRPr="00D2110D">
      <w:br/>
    </w:r>
    <w:r w:rsidRPr="00D2110D">
      <w:fldChar w:fldCharType="begin" w:fldLock="1"/>
    </w:r>
    <w:r w:rsidRPr="00D2110D">
      <w:instrText xml:space="preserve"> DOCPROPERTY</w:instrText>
    </w:r>
    <w:r w:rsidRPr="00D2110D">
      <w:rPr>
        <w:sz w:val="18"/>
      </w:rPr>
      <w:instrText xml:space="preserve"> "YearUser" *\charformat </w:instrText>
    </w:r>
    <w:r w:rsidRPr="00D2110D">
      <w:fldChar w:fldCharType="separate"/>
    </w:r>
    <w:r w:rsidRPr="00D2110D">
      <w:t>2006/07</w:t>
    </w:r>
    <w:r w:rsidRPr="00D2110D">
      <w:fldChar w:fldCharType="end"/>
    </w:r>
    <w:r w:rsidRPr="00D2110D">
      <w:t xml:space="preserve"> </w:t>
    </w:r>
    <w:r w:rsidRPr="00D2110D">
      <w:tab/>
      <w:t xml:space="preserve">mnr: </w:t>
    </w:r>
    <w:r w:rsidRPr="00D2110D">
      <w:fldChar w:fldCharType="begin" w:fldLock="1"/>
    </w:r>
    <w:r w:rsidRPr="00D2110D">
      <w:instrText xml:space="preserve"> DOCPROPERTY</w:instrText>
    </w:r>
    <w:r w:rsidRPr="00D2110D">
      <w:rPr>
        <w:sz w:val="18"/>
      </w:rPr>
      <w:instrText xml:space="preserve"> "Motionsnummer" *\charformat </w:instrText>
    </w:r>
    <w:r w:rsidRPr="00D2110D">
      <w:fldChar w:fldCharType="separate"/>
    </w:r>
    <w:r w:rsidRPr="00D2110D">
      <w:t>Ub423</w:t>
    </w:r>
    <w:r w:rsidRPr="00D2110D">
      <w:fldChar w:fldCharType="end"/>
    </w:r>
    <w:r w:rsidRPr="00D2110D">
      <w:br/>
    </w:r>
    <w:r w:rsidRPr="00D2110D">
      <w:fldChar w:fldCharType="begin" w:fldLock="1"/>
    </w:r>
    <w:r w:rsidRPr="00D2110D">
      <w:instrText xml:space="preserve"> DOCPROPERTY</w:instrText>
    </w:r>
    <w:r w:rsidRPr="00D2110D">
      <w:rPr>
        <w:sz w:val="18"/>
      </w:rPr>
      <w:instrText xml:space="preserve"> "Samling" *\charformat </w:instrText>
    </w:r>
    <w:r w:rsidRPr="00D2110D">
      <w:fldChar w:fldCharType="end"/>
    </w:r>
    <w:r w:rsidRPr="00D2110D">
      <w:tab/>
      <w:t xml:space="preserve">pnr: </w:t>
    </w:r>
    <w:r w:rsidRPr="00D2110D">
      <w:fldChar w:fldCharType="begin" w:fldLock="1"/>
    </w:r>
    <w:r w:rsidRPr="00D2110D">
      <w:instrText xml:space="preserve"> DOCPROPERTY</w:instrText>
    </w:r>
    <w:r w:rsidRPr="00D2110D">
      <w:rPr>
        <w:sz w:val="18"/>
      </w:rPr>
      <w:instrText xml:space="preserve"> "Partinummer" *\charformat </w:instrText>
    </w:r>
    <w:r w:rsidRPr="00D2110D">
      <w:fldChar w:fldCharType="separate"/>
    </w:r>
    <w:r w:rsidRPr="00D2110D">
      <w:t>s27047</w:t>
    </w:r>
    <w:r w:rsidRPr="00D2110D">
      <w:fldChar w:fldCharType="end"/>
    </w:r>
  </w:p>
  <w:p w:rsidR="001D1B69" w:rsidRPr="00D2110D" w:rsidRDefault="001D1B69">
    <w:pPr>
      <w:pStyle w:val="FSHRub1"/>
    </w:pPr>
    <w:r w:rsidRPr="00D2110D">
      <w:t>Motion till riksdagen</w:t>
    </w:r>
    <w:r w:rsidRPr="00D2110D">
      <w:br/>
    </w:r>
    <w:r w:rsidRPr="00D2110D">
      <w:fldChar w:fldCharType="begin" w:fldLock="1"/>
    </w:r>
    <w:r w:rsidRPr="00D2110D">
      <w:instrText xml:space="preserve"> DOCPROPERTY "YearUser" *\charformat </w:instrText>
    </w:r>
    <w:r w:rsidRPr="00D2110D">
      <w:fldChar w:fldCharType="separate"/>
    </w:r>
    <w:r w:rsidRPr="00D2110D">
      <w:t>2006/07</w:t>
    </w:r>
    <w:r w:rsidRPr="00D2110D">
      <w:fldChar w:fldCharType="end"/>
    </w:r>
    <w:r w:rsidRPr="00D2110D">
      <w:t>:</w:t>
    </w:r>
    <w:r w:rsidRPr="00D2110D">
      <w:fldChar w:fldCharType="begin" w:fldLock="1"/>
    </w:r>
    <w:r w:rsidRPr="00D2110D">
      <w:instrText xml:space="preserve"> DOCPROPERTY "Motionsnummer" *\charformat </w:instrText>
    </w:r>
    <w:r w:rsidRPr="00D2110D">
      <w:fldChar w:fldCharType="separate"/>
    </w:r>
    <w:r w:rsidRPr="00D2110D">
      <w:t>Ub423</w:t>
    </w:r>
    <w:r w:rsidRPr="00D2110D">
      <w:fldChar w:fldCharType="end"/>
    </w:r>
  </w:p>
  <w:p w:rsidR="001D1B69" w:rsidRPr="00D2110D" w:rsidRDefault="001D1B69">
    <w:pPr>
      <w:pStyle w:val="FSHNormalS5"/>
    </w:pPr>
    <w:r w:rsidRPr="00D2110D">
      <w:fldChar w:fldCharType="begin" w:fldLock="1"/>
    </w:r>
    <w:r w:rsidRPr="00D2110D">
      <w:instrText xml:space="preserve"> DOCPROPERTY "MotionarText" *\charformat </w:instrText>
    </w:r>
    <w:r w:rsidRPr="00D2110D">
      <w:fldChar w:fldCharType="separate"/>
    </w:r>
    <w:r w:rsidRPr="00D2110D">
      <w:t>av Luciano Astudillo (s)</w:t>
    </w:r>
    <w:r w:rsidRPr="00D2110D">
      <w:fldChar w:fldCharType="end"/>
    </w:r>
    <w:r w:rsidRPr="00D2110D">
      <w:br/>
    </w:r>
    <w:r w:rsidRPr="00D2110D">
      <w:fldChar w:fldCharType="begin" w:fldLock="1"/>
    </w:r>
    <w:r w:rsidRPr="00D2110D">
      <w:instrText xml:space="preserve"> DOCPROPERTY "SvarFrasKort" *\charformat </w:instrText>
    </w:r>
    <w:r w:rsidRPr="00D2110D">
      <w:fldChar w:fldCharType="end"/>
    </w:r>
  </w:p>
  <w:p w:rsidR="001D1B69" w:rsidRPr="00D2110D" w:rsidRDefault="001D1B69">
    <w:pPr>
      <w:pStyle w:val="FSHTitel"/>
    </w:pPr>
    <w:r w:rsidRPr="00D2110D">
      <w:fldChar w:fldCharType="begin" w:fldLock="1"/>
    </w:r>
    <w:r w:rsidRPr="00D2110D">
      <w:instrText xml:space="preserve"> DOCPROPERTY</w:instrText>
    </w:r>
    <w:r w:rsidRPr="00D2110D">
      <w:rPr>
        <w:sz w:val="18"/>
      </w:rPr>
      <w:instrText xml:space="preserve"> "RubrikSvar" *\charformat </w:instrText>
    </w:r>
    <w:r w:rsidRPr="00D2110D">
      <w:fldChar w:fldCharType="separate"/>
    </w:r>
    <w:r w:rsidRPr="00D2110D">
      <w:t>Vuxenutbildningen i Malmö</w:t>
    </w:r>
    <w:r w:rsidRPr="00D2110D">
      <w:fldChar w:fldCharType="end"/>
    </w:r>
  </w:p>
  <w:p w:rsidR="001D1B69" w:rsidRPr="00D2110D" w:rsidRDefault="001D1B69">
    <w:pPr>
      <w:pStyle w:val="Normal00"/>
    </w:pPr>
  </w:p>
  <w:p w:rsidR="000933EC" w:rsidRPr="00D2110D" w:rsidRDefault="000933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2048007">
    <w:abstractNumId w:val="13"/>
  </w:num>
  <w:num w:numId="2" w16cid:durableId="35932873">
    <w:abstractNumId w:val="10"/>
  </w:num>
  <w:num w:numId="3" w16cid:durableId="1066880688">
    <w:abstractNumId w:val="11"/>
  </w:num>
  <w:num w:numId="4" w16cid:durableId="2052148979">
    <w:abstractNumId w:val="12"/>
  </w:num>
  <w:num w:numId="5" w16cid:durableId="1948348541">
    <w:abstractNumId w:val="8"/>
  </w:num>
  <w:num w:numId="6" w16cid:durableId="696543086">
    <w:abstractNumId w:val="3"/>
  </w:num>
  <w:num w:numId="7" w16cid:durableId="752775395">
    <w:abstractNumId w:val="2"/>
  </w:num>
  <w:num w:numId="8" w16cid:durableId="1906721532">
    <w:abstractNumId w:val="1"/>
  </w:num>
  <w:num w:numId="9" w16cid:durableId="48767684">
    <w:abstractNumId w:val="0"/>
  </w:num>
  <w:num w:numId="10" w16cid:durableId="1692225279">
    <w:abstractNumId w:val="9"/>
  </w:num>
  <w:num w:numId="11" w16cid:durableId="1352145225">
    <w:abstractNumId w:val="7"/>
  </w:num>
  <w:num w:numId="12" w16cid:durableId="777797856">
    <w:abstractNumId w:val="6"/>
  </w:num>
  <w:num w:numId="13" w16cid:durableId="312951808">
    <w:abstractNumId w:val="5"/>
  </w:num>
  <w:num w:numId="14" w16cid:durableId="168351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811E1C4-472B-4A9A-B957-9664DD343C3C}"/>
  </w:docVars>
  <w:rsids>
    <w:rsidRoot w:val="00D2110D"/>
    <w:rsid w:val="00002742"/>
    <w:rsid w:val="000220F8"/>
    <w:rsid w:val="00034058"/>
    <w:rsid w:val="00040D14"/>
    <w:rsid w:val="0004381F"/>
    <w:rsid w:val="00064BC3"/>
    <w:rsid w:val="00066474"/>
    <w:rsid w:val="000665E6"/>
    <w:rsid w:val="00066775"/>
    <w:rsid w:val="00072FB9"/>
    <w:rsid w:val="0007598F"/>
    <w:rsid w:val="000933EC"/>
    <w:rsid w:val="000B2040"/>
    <w:rsid w:val="000E431D"/>
    <w:rsid w:val="000E48DA"/>
    <w:rsid w:val="000E5207"/>
    <w:rsid w:val="000F5ADD"/>
    <w:rsid w:val="00100531"/>
    <w:rsid w:val="0010382E"/>
    <w:rsid w:val="00136E27"/>
    <w:rsid w:val="00166D90"/>
    <w:rsid w:val="00170803"/>
    <w:rsid w:val="00177CC2"/>
    <w:rsid w:val="0019171D"/>
    <w:rsid w:val="001921C4"/>
    <w:rsid w:val="001923A4"/>
    <w:rsid w:val="001A25D5"/>
    <w:rsid w:val="001A2624"/>
    <w:rsid w:val="001A2A2B"/>
    <w:rsid w:val="001D1B69"/>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0AB7"/>
    <w:rsid w:val="005B145B"/>
    <w:rsid w:val="005D3F50"/>
    <w:rsid w:val="00601C6D"/>
    <w:rsid w:val="00603CD4"/>
    <w:rsid w:val="006259B6"/>
    <w:rsid w:val="006346C1"/>
    <w:rsid w:val="00653DD0"/>
    <w:rsid w:val="006B6262"/>
    <w:rsid w:val="00727C6F"/>
    <w:rsid w:val="00740D6D"/>
    <w:rsid w:val="00743F76"/>
    <w:rsid w:val="00770030"/>
    <w:rsid w:val="00774959"/>
    <w:rsid w:val="007852B2"/>
    <w:rsid w:val="00794149"/>
    <w:rsid w:val="007A44FB"/>
    <w:rsid w:val="007B67A7"/>
    <w:rsid w:val="007C6092"/>
    <w:rsid w:val="007E119E"/>
    <w:rsid w:val="007F694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0F98"/>
    <w:rsid w:val="00A736FF"/>
    <w:rsid w:val="00A9584A"/>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45739"/>
    <w:rsid w:val="00C533BA"/>
    <w:rsid w:val="00C902E9"/>
    <w:rsid w:val="00C92208"/>
    <w:rsid w:val="00CB5B24"/>
    <w:rsid w:val="00CD4B2B"/>
    <w:rsid w:val="00CE3037"/>
    <w:rsid w:val="00CF2D96"/>
    <w:rsid w:val="00CF7A43"/>
    <w:rsid w:val="00D01775"/>
    <w:rsid w:val="00D1174F"/>
    <w:rsid w:val="00D1289C"/>
    <w:rsid w:val="00D2110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7BB30C-6A55-4A7F-A3E4-44281B9F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2054</Characters>
  <Application>Microsoft Office Word</Application>
  <DocSecurity>4</DocSecurity>
  <Lines>79</Lines>
  <Paragraphs>61</Paragraphs>
  <ScaleCrop>false</ScaleCrop>
  <HeadingPairs>
    <vt:vector size="2" baseType="variant">
      <vt:variant>
        <vt:lpstr>Rubrik</vt:lpstr>
      </vt:variant>
      <vt:variant>
        <vt:i4>1</vt:i4>
      </vt:variant>
    </vt:vector>
  </HeadingPairs>
  <TitlesOfParts>
    <vt:vector size="1" baseType="lpstr">
      <vt:lpstr>s27047</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s27047</dc:title>
  <dc:subject>s27047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2006-12-18T08:54:00Z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Vuxenutbildningen i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Vuxenutbildningen i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20062007000000000115000270470069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20062007000000000115000270470069</vt:lpwstr>
  </property>
  <property fmtid="{D5CDD505-2E9C-101B-9397-08002B2CF9AE}" pid="50" name="nummer">
    <vt:lpwstr>423</vt:lpwstr>
  </property>
  <property fmtid="{D5CDD505-2E9C-101B-9397-08002B2CF9AE}" pid="51" name="utskottsbeteckning">
    <vt:lpwstr>Ub</vt:lpwstr>
  </property>
  <property fmtid="{D5CDD505-2E9C-101B-9397-08002B2CF9AE}" pid="52" name="GlobalUID">
    <vt:lpwstr>{3B91D4FA-C2A3-4077-87A1-D6161831F0EA}</vt:lpwstr>
  </property>
  <property fmtid="{D5CDD505-2E9C-101B-9397-08002B2CF9AE}" pid="53" name="Överföringar">
    <vt:i4>0</vt:i4>
  </property>
  <property fmtid="{D5CDD505-2E9C-101B-9397-08002B2CF9AE}" pid="54" name="Checksum">
    <vt:lpwstr>*0005842023859*</vt:lpwstr>
  </property>
  <property fmtid="{D5CDD505-2E9C-101B-9397-08002B2CF9AE}" pid="55" name="skuggnummer">
    <vt:lpwstr>2340</vt:lpwstr>
  </property>
  <property fmtid="{D5CDD505-2E9C-101B-9397-08002B2CF9AE}" pid="56" name="urixVersion">
    <vt:lpwstr>3.1.4.0</vt:lpwstr>
  </property>
  <property fmtid="{D5CDD505-2E9C-101B-9397-08002B2CF9AE}" pid="57" name="urixOrigin">
    <vt:lpwstr>070221 17:58:53.457</vt:lpwstr>
  </property>
  <property fmtid="{D5CDD505-2E9C-101B-9397-08002B2CF9AE}" pid="58" name="urixGuid">
    <vt:lpwstr>{AE6AA7EB-F735-4DAF-9930-F2F7AA7B9DD7}</vt:lpwstr>
  </property>
</Properties>
</file>