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15338" w:rsidTr="00467741">
        <w:tblPrEx>
          <w:tblCellMar>
            <w:top w:w="0" w:type="dxa"/>
            <w:bottom w:w="0" w:type="dxa"/>
          </w:tblCellMar>
        </w:tblPrEx>
        <w:tc>
          <w:tcPr>
            <w:tcW w:w="2268" w:type="dxa"/>
          </w:tcPr>
          <w:p w:rsidR="006E4E11" w:rsidRPr="0091533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15338" w:rsidRDefault="006E4E11" w:rsidP="007242A3">
            <w:pPr>
              <w:framePr w:w="5035" w:h="1644" w:wrap="notBeside" w:vAnchor="page" w:hAnchor="page" w:x="6573" w:y="721"/>
              <w:rPr>
                <w:rFonts w:ascii="TradeGothic" w:hAnsi="TradeGothic"/>
                <w:i/>
                <w:sz w:val="18"/>
              </w:rPr>
            </w:pPr>
          </w:p>
        </w:tc>
      </w:tr>
      <w:tr w:rsidR="00467741" w:rsidRPr="00915338" w:rsidTr="00467741">
        <w:tblPrEx>
          <w:tblCellMar>
            <w:top w:w="0" w:type="dxa"/>
            <w:bottom w:w="0" w:type="dxa"/>
          </w:tblCellMar>
        </w:tblPrEx>
        <w:tc>
          <w:tcPr>
            <w:tcW w:w="5267" w:type="dxa"/>
            <w:gridSpan w:val="3"/>
          </w:tcPr>
          <w:p w:rsidR="00467741" w:rsidRPr="00915338" w:rsidRDefault="00467741" w:rsidP="007242A3">
            <w:pPr>
              <w:framePr w:w="5035" w:h="1644" w:wrap="notBeside" w:vAnchor="page" w:hAnchor="page" w:x="6573" w:y="721"/>
              <w:rPr>
                <w:rFonts w:ascii="TradeGothic" w:hAnsi="TradeGothic"/>
                <w:b/>
                <w:sz w:val="22"/>
              </w:rPr>
            </w:pPr>
            <w:r w:rsidRPr="00915338">
              <w:rPr>
                <w:rFonts w:ascii="TradeGothic" w:hAnsi="TradeGothic"/>
                <w:b/>
                <w:sz w:val="22"/>
              </w:rPr>
              <w:t>Rådspromemoria</w:t>
            </w:r>
          </w:p>
        </w:tc>
      </w:tr>
      <w:tr w:rsidR="006E4E11" w:rsidRPr="00915338" w:rsidTr="00467741">
        <w:tblPrEx>
          <w:tblCellMar>
            <w:top w:w="0" w:type="dxa"/>
            <w:bottom w:w="0" w:type="dxa"/>
          </w:tblCellMar>
        </w:tblPrEx>
        <w:tc>
          <w:tcPr>
            <w:tcW w:w="3402" w:type="dxa"/>
            <w:gridSpan w:val="2"/>
          </w:tcPr>
          <w:p w:rsidR="006E4E11" w:rsidRPr="00915338" w:rsidRDefault="006E4E11" w:rsidP="007242A3">
            <w:pPr>
              <w:framePr w:w="5035" w:h="1644" w:wrap="notBeside" w:vAnchor="page" w:hAnchor="page" w:x="6573" w:y="721"/>
            </w:pPr>
          </w:p>
        </w:tc>
        <w:tc>
          <w:tcPr>
            <w:tcW w:w="1865" w:type="dxa"/>
          </w:tcPr>
          <w:p w:rsidR="006E4E11" w:rsidRPr="00915338" w:rsidRDefault="006E4E11" w:rsidP="007242A3">
            <w:pPr>
              <w:framePr w:w="5035" w:h="1644" w:wrap="notBeside" w:vAnchor="page" w:hAnchor="page" w:x="6573" w:y="721"/>
            </w:pPr>
          </w:p>
        </w:tc>
      </w:tr>
      <w:tr w:rsidR="006E4E11" w:rsidRPr="00915338" w:rsidTr="00467741">
        <w:tblPrEx>
          <w:tblCellMar>
            <w:top w:w="0" w:type="dxa"/>
            <w:bottom w:w="0" w:type="dxa"/>
          </w:tblCellMar>
        </w:tblPrEx>
        <w:tc>
          <w:tcPr>
            <w:tcW w:w="2268" w:type="dxa"/>
          </w:tcPr>
          <w:p w:rsidR="006E4E11" w:rsidRPr="00915338" w:rsidRDefault="00467741" w:rsidP="007242A3">
            <w:pPr>
              <w:framePr w:w="5035" w:h="1644" w:wrap="notBeside" w:vAnchor="page" w:hAnchor="page" w:x="6573" w:y="721"/>
            </w:pPr>
            <w:r w:rsidRPr="00915338">
              <w:t>2008-</w:t>
            </w:r>
            <w:r w:rsidR="00A93E87" w:rsidRPr="00915338">
              <w:t>10-</w:t>
            </w:r>
            <w:r w:rsidR="00CB3932" w:rsidRPr="00915338">
              <w:t>13</w:t>
            </w:r>
          </w:p>
        </w:tc>
        <w:tc>
          <w:tcPr>
            <w:tcW w:w="2999" w:type="dxa"/>
            <w:gridSpan w:val="2"/>
          </w:tcPr>
          <w:p w:rsidR="006E4E11" w:rsidRPr="00915338" w:rsidRDefault="006E4E11" w:rsidP="007242A3">
            <w:pPr>
              <w:framePr w:w="5035" w:h="1644" w:wrap="notBeside" w:vAnchor="page" w:hAnchor="page" w:x="6573" w:y="721"/>
            </w:pPr>
          </w:p>
        </w:tc>
      </w:tr>
      <w:tr w:rsidR="006E4E11" w:rsidRPr="00915338" w:rsidTr="00467741">
        <w:tblPrEx>
          <w:tblCellMar>
            <w:top w:w="0" w:type="dxa"/>
            <w:bottom w:w="0" w:type="dxa"/>
          </w:tblCellMar>
        </w:tblPrEx>
        <w:tc>
          <w:tcPr>
            <w:tcW w:w="2268" w:type="dxa"/>
          </w:tcPr>
          <w:p w:rsidR="006E4E11" w:rsidRPr="00915338" w:rsidRDefault="006E4E11" w:rsidP="007242A3">
            <w:pPr>
              <w:framePr w:w="5035" w:h="1644" w:wrap="notBeside" w:vAnchor="page" w:hAnchor="page" w:x="6573" w:y="721"/>
            </w:pPr>
          </w:p>
        </w:tc>
        <w:tc>
          <w:tcPr>
            <w:tcW w:w="2999" w:type="dxa"/>
            <w:gridSpan w:val="2"/>
          </w:tcPr>
          <w:p w:rsidR="006E4E11" w:rsidRPr="0091533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15338">
        <w:tblPrEx>
          <w:tblCellMar>
            <w:top w:w="0" w:type="dxa"/>
            <w:bottom w:w="0" w:type="dxa"/>
          </w:tblCellMar>
        </w:tblPrEx>
        <w:trPr>
          <w:trHeight w:val="284"/>
        </w:trPr>
        <w:tc>
          <w:tcPr>
            <w:tcW w:w="4911" w:type="dxa"/>
          </w:tcPr>
          <w:p w:rsidR="006E4E11" w:rsidRPr="00915338" w:rsidRDefault="00467741" w:rsidP="00A776F3">
            <w:pPr>
              <w:pStyle w:val="Avsndare"/>
              <w:framePr w:h="1304" w:hRule="exact" w:wrap="notBeside" w:x="1504"/>
              <w:rPr>
                <w:b/>
                <w:i w:val="0"/>
                <w:sz w:val="22"/>
              </w:rPr>
            </w:pPr>
            <w:r w:rsidRPr="00915338">
              <w:rPr>
                <w:b/>
                <w:i w:val="0"/>
                <w:sz w:val="22"/>
              </w:rPr>
              <w:t>Justitiedepartementet</w:t>
            </w: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467741" w:rsidP="00A776F3">
            <w:pPr>
              <w:pStyle w:val="Avsndare"/>
              <w:framePr w:h="1304" w:hRule="exact" w:wrap="notBeside" w:x="1504"/>
              <w:rPr>
                <w:bCs/>
                <w:iCs/>
              </w:rPr>
            </w:pPr>
            <w:r w:rsidRPr="00915338">
              <w:rPr>
                <w:bCs/>
                <w:iCs/>
              </w:rPr>
              <w:t>Enheten för familjerätt och allmän förmögenhetsrätt</w:t>
            </w: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r w:rsidR="006E4E11" w:rsidRPr="00915338">
        <w:tblPrEx>
          <w:tblCellMar>
            <w:top w:w="0" w:type="dxa"/>
            <w:bottom w:w="0" w:type="dxa"/>
          </w:tblCellMar>
        </w:tblPrEx>
        <w:trPr>
          <w:trHeight w:val="284"/>
        </w:trPr>
        <w:tc>
          <w:tcPr>
            <w:tcW w:w="4911" w:type="dxa"/>
          </w:tcPr>
          <w:p w:rsidR="006E4E11" w:rsidRPr="00915338" w:rsidRDefault="006E4E11" w:rsidP="00A776F3">
            <w:pPr>
              <w:pStyle w:val="Avsndare"/>
              <w:framePr w:h="1304" w:hRule="exact" w:wrap="notBeside" w:x="1504"/>
              <w:rPr>
                <w:bCs/>
                <w:iCs/>
              </w:rPr>
            </w:pPr>
          </w:p>
        </w:tc>
      </w:tr>
    </w:tbl>
    <w:p w:rsidR="006E4E11" w:rsidRPr="00915338" w:rsidRDefault="006E4E11" w:rsidP="00A776F3">
      <w:pPr>
        <w:framePr w:w="4400" w:h="1701" w:hRule="exact" w:wrap="notBeside" w:vAnchor="page" w:hAnchor="page" w:x="6453" w:y="2445"/>
        <w:ind w:left="142"/>
        <w:rPr>
          <w:b/>
        </w:rPr>
      </w:pPr>
    </w:p>
    <w:p w:rsidR="00467741" w:rsidRPr="00915338" w:rsidRDefault="00467741" w:rsidP="00A776F3">
      <w:pPr>
        <w:pStyle w:val="RKrubrik"/>
        <w:pBdr>
          <w:bottom w:val="single" w:sz="6" w:space="1" w:color="auto"/>
        </w:pBdr>
      </w:pPr>
      <w:bookmarkStart w:id="0" w:name="bRubrik"/>
      <w:bookmarkEnd w:id="0"/>
      <w:r w:rsidRPr="00915338">
        <w:t xml:space="preserve">Rådets möte </w:t>
      </w:r>
      <w:r w:rsidR="007F4445" w:rsidRPr="00915338">
        <w:t>(</w:t>
      </w:r>
      <w:r w:rsidRPr="00915338">
        <w:t>rättsliga och i</w:t>
      </w:r>
      <w:r w:rsidR="00A93E87" w:rsidRPr="00915338">
        <w:t>nrikes frågor</w:t>
      </w:r>
      <w:r w:rsidR="007F4445" w:rsidRPr="00915338">
        <w:t>)</w:t>
      </w:r>
      <w:r w:rsidR="00A93E87" w:rsidRPr="00915338">
        <w:t xml:space="preserve"> den 24 oktober</w:t>
      </w:r>
      <w:r w:rsidRPr="00915338">
        <w:t xml:space="preserve"> 2008</w:t>
      </w:r>
    </w:p>
    <w:p w:rsidR="007F4445" w:rsidRPr="00915338" w:rsidRDefault="007F4445">
      <w:pPr>
        <w:pStyle w:val="RKnormal"/>
        <w:rPr>
          <w:b/>
        </w:rPr>
      </w:pPr>
    </w:p>
    <w:p w:rsidR="00467741" w:rsidRPr="00915338" w:rsidRDefault="00A93E87">
      <w:pPr>
        <w:pStyle w:val="RKnormal"/>
        <w:rPr>
          <w:b/>
        </w:rPr>
      </w:pPr>
      <w:r w:rsidRPr="00915338">
        <w:rPr>
          <w:b/>
        </w:rPr>
        <w:t>Dagordningspunkt 8</w:t>
      </w:r>
    </w:p>
    <w:p w:rsidR="00467741" w:rsidRPr="00915338" w:rsidRDefault="00467741">
      <w:pPr>
        <w:pStyle w:val="RKnormal"/>
      </w:pPr>
    </w:p>
    <w:p w:rsidR="00467741" w:rsidRPr="00915338" w:rsidRDefault="00467741">
      <w:pPr>
        <w:pStyle w:val="RKnormal"/>
        <w:rPr>
          <w:b/>
        </w:rPr>
      </w:pPr>
      <w:r w:rsidRPr="00915338">
        <w:t xml:space="preserve">Rubrik: </w:t>
      </w:r>
      <w:r w:rsidRPr="00915338">
        <w:rPr>
          <w:b/>
        </w:rPr>
        <w:t>Förslag till rådets förordning om domstols behörighet, tillämplig lag, erkännande och verkställighet av domar samt samarbete i fråga om underhållsskyldighet</w:t>
      </w:r>
    </w:p>
    <w:p w:rsidR="00467741" w:rsidRPr="00915338" w:rsidRDefault="00467741">
      <w:pPr>
        <w:pStyle w:val="RKnormal"/>
      </w:pPr>
    </w:p>
    <w:p w:rsidR="00467741" w:rsidRPr="00915338" w:rsidRDefault="004F6A79">
      <w:pPr>
        <w:pStyle w:val="RKnormal"/>
      </w:pPr>
      <w:r w:rsidRPr="00915338">
        <w:t>Dokument:</w:t>
      </w:r>
      <w:r w:rsidR="0093000F" w:rsidRPr="00915338">
        <w:t xml:space="preserve"> ännu inte färdigställt</w:t>
      </w:r>
    </w:p>
    <w:p w:rsidR="00467741" w:rsidRPr="00915338" w:rsidRDefault="00467741">
      <w:pPr>
        <w:pStyle w:val="RKnormal"/>
      </w:pPr>
    </w:p>
    <w:p w:rsidR="007C701E" w:rsidRPr="00915338" w:rsidRDefault="00467741">
      <w:pPr>
        <w:pStyle w:val="RKnormal"/>
      </w:pPr>
      <w:r w:rsidRPr="00915338">
        <w:t xml:space="preserve">Tidigare dokument:  </w:t>
      </w:r>
    </w:p>
    <w:p w:rsidR="00467741" w:rsidRPr="00915338" w:rsidRDefault="00A93E87">
      <w:pPr>
        <w:pStyle w:val="RKnormal"/>
      </w:pPr>
      <w:r w:rsidRPr="00915338">
        <w:t>13583/08 JUSTCIV 198</w:t>
      </w:r>
      <w:r w:rsidR="00467741" w:rsidRPr="00915338">
        <w:t xml:space="preserve"> (ORDF:s </w:t>
      </w:r>
      <w:r w:rsidR="00C911C8" w:rsidRPr="00915338">
        <w:t>senaste kompromissförslag</w:t>
      </w:r>
      <w:r w:rsidR="002C28DC" w:rsidRPr="00915338">
        <w:t xml:space="preserve"> till rådsarbetsgruppen</w:t>
      </w:r>
      <w:r w:rsidR="00467741" w:rsidRPr="00915338">
        <w:t>)</w:t>
      </w:r>
    </w:p>
    <w:p w:rsidR="00467741" w:rsidRPr="00915338" w:rsidRDefault="00467741">
      <w:pPr>
        <w:pStyle w:val="RKnormal"/>
      </w:pPr>
      <w:r w:rsidRPr="00915338">
        <w:t>5199/06 JUSTCIV 2 (KOM:s förslag till förordning, KOM (2005) 649 slutlig)</w:t>
      </w:r>
    </w:p>
    <w:p w:rsidR="00467741" w:rsidRPr="00915338" w:rsidRDefault="00467741">
      <w:pPr>
        <w:pStyle w:val="RKnormal"/>
      </w:pPr>
      <w:r w:rsidRPr="00915338">
        <w:t>Fakta-PM, Justitiedepartementet 2005/06:FPM72</w:t>
      </w:r>
    </w:p>
    <w:p w:rsidR="00467741" w:rsidRPr="00915338" w:rsidRDefault="00467741">
      <w:pPr>
        <w:pStyle w:val="RKnormal"/>
      </w:pPr>
    </w:p>
    <w:p w:rsidR="00F7207C" w:rsidRPr="00915338" w:rsidRDefault="00467741">
      <w:pPr>
        <w:pStyle w:val="RKnormal"/>
      </w:pPr>
      <w:r w:rsidRPr="00915338">
        <w:t xml:space="preserve">Tidigare behandlad vid samråd med EU-nämnden: </w:t>
      </w:r>
      <w:r w:rsidR="003267A1" w:rsidRPr="00915338">
        <w:t>Den 13 april 2007</w:t>
      </w:r>
      <w:r w:rsidR="00A93E87" w:rsidRPr="00915338">
        <w:t xml:space="preserve"> </w:t>
      </w:r>
    </w:p>
    <w:p w:rsidR="00467741" w:rsidRPr="00915338" w:rsidRDefault="00A93E87">
      <w:pPr>
        <w:pStyle w:val="RKnormal"/>
      </w:pPr>
      <w:r w:rsidRPr="00915338">
        <w:t xml:space="preserve">och den </w:t>
      </w:r>
      <w:r w:rsidR="00F7207C" w:rsidRPr="00915338">
        <w:t>30 maj 2008</w:t>
      </w:r>
      <w:r w:rsidR="007C701E" w:rsidRPr="00915338">
        <w:t xml:space="preserve">. </w:t>
      </w:r>
      <w:r w:rsidR="00EA2CB1" w:rsidRPr="00915338">
        <w:t>Skriftlig information har översänts i samband med informellt</w:t>
      </w:r>
      <w:r w:rsidR="007C701E" w:rsidRPr="00915338">
        <w:t xml:space="preserve"> RIF-råd den 24-26 januari 2008</w:t>
      </w:r>
      <w:r w:rsidR="00EA2CB1" w:rsidRPr="00915338">
        <w:t>.</w:t>
      </w:r>
      <w:r w:rsidR="003267A1" w:rsidRPr="00915338">
        <w:t xml:space="preserve"> </w:t>
      </w:r>
    </w:p>
    <w:p w:rsidR="00467741" w:rsidRPr="00915338" w:rsidRDefault="00467741">
      <w:pPr>
        <w:pStyle w:val="RKrubrik"/>
      </w:pPr>
      <w:r w:rsidRPr="00915338">
        <w:t>Bakgrund</w:t>
      </w:r>
    </w:p>
    <w:p w:rsidR="009C7A3E" w:rsidRPr="00915338" w:rsidRDefault="009C7A3E" w:rsidP="009C7A3E">
      <w:pPr>
        <w:pStyle w:val="RKnormal"/>
      </w:pPr>
      <w:r w:rsidRPr="00915338">
        <w:t>Kommissionen presenterade i december 2005 sitt förslag till förordning.</w:t>
      </w:r>
    </w:p>
    <w:p w:rsidR="009C7A3E" w:rsidRPr="00915338" w:rsidRDefault="009C7A3E" w:rsidP="009C7A3E">
      <w:pPr>
        <w:pStyle w:val="RKnormal"/>
      </w:pPr>
      <w:bookmarkStart w:id="1" w:name="Text9"/>
      <w:r w:rsidRPr="00915338">
        <w:t>I förslaget regleras frågor om vid vilket lands domstolar en talan om underhållsskyldighet ska väckas och vilket lands lag som ska tillämpas. Vidare innebär förslaget att domar och andra avgöranden rörande underhåll som meddelats i en medlemsstat ska vara direkt verkställbara i andra medlemsstater. Förordningen innehåller oc</w:t>
      </w:r>
      <w:r w:rsidRPr="00915338">
        <w:t>k</w:t>
      </w:r>
      <w:r w:rsidRPr="00915338">
        <w:t>så vissa regler om delgivning, underhållsfor</w:t>
      </w:r>
      <w:r w:rsidRPr="00915338">
        <w:t>d</w:t>
      </w:r>
      <w:r w:rsidRPr="00915338">
        <w:t>ringars förmånsrätt och u</w:t>
      </w:r>
      <w:r w:rsidRPr="00915338">
        <w:t>n</w:t>
      </w:r>
      <w:r w:rsidRPr="00915338">
        <w:t>derhållsberättigades möjligheter till biträde av n</w:t>
      </w:r>
      <w:r w:rsidRPr="00915338">
        <w:t>a</w:t>
      </w:r>
      <w:r w:rsidRPr="00915338">
        <w:t>tionella centralmyndi</w:t>
      </w:r>
      <w:r w:rsidRPr="00915338">
        <w:t>g</w:t>
      </w:r>
      <w:r w:rsidRPr="00915338">
        <w:t>heter.</w:t>
      </w:r>
      <w:bookmarkEnd w:id="1"/>
    </w:p>
    <w:p w:rsidR="009C7A3E" w:rsidRPr="00915338" w:rsidRDefault="009C7A3E" w:rsidP="009C7A3E">
      <w:pPr>
        <w:pStyle w:val="RKnormal"/>
      </w:pPr>
    </w:p>
    <w:p w:rsidR="00C911C8" w:rsidRPr="00915338" w:rsidRDefault="009C7A3E">
      <w:pPr>
        <w:pStyle w:val="RKnormal"/>
      </w:pPr>
      <w:r w:rsidRPr="00915338">
        <w:t xml:space="preserve">Förslaget har sedan våren 2006 behandlats i rådsarbetsgrupp och möten har hållits regelbundet. Flera kompromissförslag har utarbetats av olika </w:t>
      </w:r>
      <w:r w:rsidR="00F7207C" w:rsidRPr="00915338">
        <w:t xml:space="preserve">ordförandeskap, </w:t>
      </w:r>
      <w:r w:rsidR="00C911C8" w:rsidRPr="00915338">
        <w:t>senast i september 2008 av franska ordförandeskapet</w:t>
      </w:r>
      <w:r w:rsidRPr="00915338">
        <w:t xml:space="preserve">. Förhandlingsarbetet har pågått parallellt med ett arbete inom ramen </w:t>
      </w:r>
    </w:p>
    <w:p w:rsidR="00467741" w:rsidRPr="00915338" w:rsidRDefault="009C7A3E">
      <w:pPr>
        <w:pStyle w:val="RKnormal"/>
      </w:pPr>
      <w:r w:rsidRPr="00915338">
        <w:lastRenderedPageBreak/>
        <w:t>för Haagkonferensen för internationell privaträtt med att ta fram en ny internationell konvention om indrivning av underhållsbidrag samt ett protokoll om tillämplig lag. Det globala förhandlingsarbetet avslutades</w:t>
      </w:r>
      <w:r w:rsidR="00F7207C" w:rsidRPr="00915338">
        <w:t xml:space="preserve"> </w:t>
      </w:r>
      <w:r w:rsidRPr="00915338">
        <w:t xml:space="preserve">i november 2007, då man enades om lydelsen av en ny konventionstext och ett protokoll om tillämplig lag.  </w:t>
      </w:r>
    </w:p>
    <w:p w:rsidR="002C0ECD" w:rsidRPr="00915338" w:rsidRDefault="002C0ECD">
      <w:pPr>
        <w:pStyle w:val="RKnormal"/>
      </w:pPr>
    </w:p>
    <w:p w:rsidR="002C0ECD" w:rsidRPr="00915338" w:rsidRDefault="002C0ECD">
      <w:pPr>
        <w:pStyle w:val="RKnormal"/>
      </w:pPr>
      <w:r w:rsidRPr="00915338">
        <w:t xml:space="preserve">Förslaget till förordning är nu upptaget till behandling vid rådet för politisk överenskommelse, förmodligen om hela förslaget till rättsakt. </w:t>
      </w:r>
    </w:p>
    <w:p w:rsidR="00467741" w:rsidRPr="00915338" w:rsidRDefault="00467741">
      <w:pPr>
        <w:pStyle w:val="RKrubrik"/>
      </w:pPr>
      <w:r w:rsidRPr="00915338">
        <w:t>Rättslig grund och beslutsförfarande</w:t>
      </w:r>
    </w:p>
    <w:p w:rsidR="00467741" w:rsidRPr="00915338" w:rsidRDefault="009C7A3E">
      <w:pPr>
        <w:pStyle w:val="RKnormal"/>
      </w:pPr>
      <w:r w:rsidRPr="00915338">
        <w:t>I frågor som rör aspekter av familj</w:t>
      </w:r>
      <w:r w:rsidRPr="00915338">
        <w:t>e</w:t>
      </w:r>
      <w:r w:rsidRPr="00915338">
        <w:t>rätten beslutar rådet enligt artikel 67.5 EG enhälligt och efter att ha hört Europaparlamentet, det s.k. sa</w:t>
      </w:r>
      <w:r w:rsidRPr="00915338">
        <w:t>m</w:t>
      </w:r>
      <w:r w:rsidRPr="00915338">
        <w:t>arbetsförfarandet. I detta fall har kommissionen uppmanat rådet att enligt artikel 67.2 EG besluta att frågor om underhåll</w:t>
      </w:r>
      <w:r w:rsidRPr="00915338">
        <w:t>s</w:t>
      </w:r>
      <w:r w:rsidRPr="00915338">
        <w:t>skyldi</w:t>
      </w:r>
      <w:r w:rsidRPr="00915338">
        <w:t>g</w:t>
      </w:r>
      <w:r w:rsidRPr="00915338">
        <w:t>het fortsättningsvis skall avgöras enligt bestämmelserna om medb</w:t>
      </w:r>
      <w:r w:rsidRPr="00915338">
        <w:t>e</w:t>
      </w:r>
      <w:r w:rsidRPr="00915338">
        <w:t>slutandeförfarande i artikel 251 EG (den s.k. passerellen). De flesta medlemsstater, däribland Sverige, har dock varit negativt inställda till ett s</w:t>
      </w:r>
      <w:r w:rsidRPr="00915338">
        <w:t>å</w:t>
      </w:r>
      <w:r w:rsidRPr="00915338">
        <w:t>dant beslut. Frågan är ännu inte löst i rådet.</w:t>
      </w:r>
    </w:p>
    <w:p w:rsidR="00467741" w:rsidRPr="00915338" w:rsidRDefault="00467741">
      <w:pPr>
        <w:pStyle w:val="RKrubrik"/>
        <w:rPr>
          <w:i/>
          <w:iCs/>
        </w:rPr>
      </w:pPr>
      <w:r w:rsidRPr="00915338">
        <w:rPr>
          <w:i/>
          <w:iCs/>
        </w:rPr>
        <w:t>Svensk ståndpunkt</w:t>
      </w:r>
    </w:p>
    <w:p w:rsidR="009C7A3E" w:rsidRPr="00915338" w:rsidRDefault="009C7A3E" w:rsidP="009C7A3E">
      <w:pPr>
        <w:pStyle w:val="RKnormal"/>
      </w:pPr>
      <w:r w:rsidRPr="00915338">
        <w:t>Sverige är positivt inställt t</w:t>
      </w:r>
      <w:r w:rsidR="000A76A9" w:rsidRPr="00915338">
        <w:t>ill arbetet med denna förordning</w:t>
      </w:r>
      <w:r w:rsidRPr="00915338">
        <w:t xml:space="preserve">. Det är viktigt, inte minst för att stärka barns rättigheter, att förfarandet för att driva in underhållsbidrag över gränserna blir snabbare, enklare och mer kostnadseffektivt. </w:t>
      </w:r>
    </w:p>
    <w:p w:rsidR="000A76A9" w:rsidRPr="00915338" w:rsidRDefault="009C7A3E" w:rsidP="009C7A3E">
      <w:pPr>
        <w:pStyle w:val="RKnormal"/>
      </w:pPr>
      <w:r w:rsidRPr="00915338">
        <w:t xml:space="preserve"> </w:t>
      </w:r>
    </w:p>
    <w:p w:rsidR="000A76A9" w:rsidRPr="00915338" w:rsidRDefault="000A76A9" w:rsidP="009C7A3E">
      <w:pPr>
        <w:pStyle w:val="RKnormal"/>
      </w:pPr>
      <w:r w:rsidRPr="00915338">
        <w:t xml:space="preserve">Sverige har deltagit aktivt i förhandlingarna och har fått gehör för viktiga ståndpunkter som </w:t>
      </w:r>
      <w:r w:rsidR="00636032" w:rsidRPr="00915338">
        <w:t xml:space="preserve">har </w:t>
      </w:r>
      <w:r w:rsidRPr="00915338">
        <w:t xml:space="preserve">framförts. </w:t>
      </w:r>
    </w:p>
    <w:p w:rsidR="000A76A9" w:rsidRPr="00915338" w:rsidRDefault="000A76A9" w:rsidP="009C7A3E">
      <w:pPr>
        <w:pStyle w:val="RKnormal"/>
      </w:pPr>
    </w:p>
    <w:p w:rsidR="009C7A3E" w:rsidRPr="00915338" w:rsidRDefault="000A76A9" w:rsidP="009C7A3E">
      <w:pPr>
        <w:pStyle w:val="RKnormal"/>
      </w:pPr>
      <w:r w:rsidRPr="00915338">
        <w:t>Bl.a. har Sverige tillsammans med</w:t>
      </w:r>
      <w:r w:rsidR="009C7A3E" w:rsidRPr="00915338">
        <w:t xml:space="preserve"> övriga nordiska länder</w:t>
      </w:r>
      <w:r w:rsidRPr="00915338">
        <w:t xml:space="preserve"> verkat för att se till att </w:t>
      </w:r>
      <w:r w:rsidR="009C7A3E" w:rsidRPr="00915338">
        <w:t>1962 års konvention mellan Sverige, Danmark, Finland, Island och No</w:t>
      </w:r>
      <w:r w:rsidR="009C7A3E" w:rsidRPr="00915338">
        <w:t>r</w:t>
      </w:r>
      <w:r w:rsidR="009C7A3E" w:rsidRPr="00915338">
        <w:t>ge angående indrivning av underhållsbidrag (SÖ 1963:14)</w:t>
      </w:r>
      <w:r w:rsidRPr="00915338">
        <w:t xml:space="preserve"> ska kunna tillämpas även i fortsättningen. Ordförandeska</w:t>
      </w:r>
      <w:r w:rsidR="003845FB" w:rsidRPr="00915338">
        <w:t>pets kompromissförslag förväntas</w:t>
      </w:r>
      <w:r w:rsidRPr="00915338">
        <w:t xml:space="preserve"> innehål</w:t>
      </w:r>
      <w:r w:rsidR="003845FB" w:rsidRPr="00915338">
        <w:t xml:space="preserve">la en regel av denna innebörd. </w:t>
      </w:r>
      <w:r w:rsidR="00636032" w:rsidRPr="00915338">
        <w:t xml:space="preserve"> </w:t>
      </w:r>
      <w:r w:rsidRPr="00915338">
        <w:t xml:space="preserve"> </w:t>
      </w:r>
    </w:p>
    <w:p w:rsidR="002C0ECD" w:rsidRPr="00915338" w:rsidRDefault="002C0ECD" w:rsidP="009C7A3E">
      <w:pPr>
        <w:pStyle w:val="RKnormal"/>
      </w:pPr>
    </w:p>
    <w:p w:rsidR="009C7A3E" w:rsidRPr="00915338" w:rsidRDefault="00636032" w:rsidP="009C7A3E">
      <w:pPr>
        <w:pStyle w:val="RKnormal"/>
      </w:pPr>
      <w:r w:rsidRPr="00915338">
        <w:t xml:space="preserve">Eftersom det slutliga kompromissförslaget från ordförandeskapet inte har färdigställts, kan utestående frågor inte uteslutas, men </w:t>
      </w:r>
      <w:r w:rsidR="00122ADF" w:rsidRPr="00915338">
        <w:t xml:space="preserve">utifrån hittills förda förhandlingar görs bedömningen att </w:t>
      </w:r>
      <w:r w:rsidRPr="00915338">
        <w:t xml:space="preserve">Sverige förmodligen </w:t>
      </w:r>
      <w:r w:rsidR="00122ADF" w:rsidRPr="00915338">
        <w:t xml:space="preserve">kommer att kunna </w:t>
      </w:r>
      <w:r w:rsidRPr="00915338">
        <w:t xml:space="preserve">godta kompromissförslaget.  </w:t>
      </w:r>
    </w:p>
    <w:p w:rsidR="00467741" w:rsidRPr="00915338" w:rsidRDefault="00467741">
      <w:pPr>
        <w:pStyle w:val="RKrubrik"/>
      </w:pPr>
      <w:r w:rsidRPr="00915338">
        <w:t>Europaparlamentets inställning</w:t>
      </w:r>
    </w:p>
    <w:p w:rsidR="00467741" w:rsidRPr="00915338" w:rsidRDefault="009C7A3E">
      <w:pPr>
        <w:pStyle w:val="RKnormal"/>
      </w:pPr>
      <w:r w:rsidRPr="00915338">
        <w:t xml:space="preserve">Europaparlamentet har i lagstiftningsresolution den 13 december 2007 föreslagit vissa ändringar i detalj i förordningsförslaget. I fråga om den rättsliga grunden och beslutandeförfarandet anser Europaparlamentet att förslaget till förordning omfattas av medbeslutandeförfarandet.  </w:t>
      </w:r>
    </w:p>
    <w:p w:rsidR="00467741" w:rsidRPr="00915338" w:rsidRDefault="00467741">
      <w:pPr>
        <w:pStyle w:val="RKrubrik"/>
        <w:rPr>
          <w:i/>
          <w:iCs/>
        </w:rPr>
      </w:pPr>
      <w:r w:rsidRPr="00915338">
        <w:rPr>
          <w:i/>
          <w:iCs/>
        </w:rPr>
        <w:t>Förslaget</w:t>
      </w:r>
    </w:p>
    <w:p w:rsidR="00EA4635" w:rsidRPr="00915338" w:rsidRDefault="00EA4635">
      <w:pPr>
        <w:pStyle w:val="RKnormal"/>
      </w:pPr>
      <w:r w:rsidRPr="00915338">
        <w:t>Det slutliga k</w:t>
      </w:r>
      <w:r w:rsidR="00C911C8" w:rsidRPr="00915338">
        <w:t>ompromissf</w:t>
      </w:r>
      <w:r w:rsidR="002C0ECD" w:rsidRPr="00915338">
        <w:t>örslaget</w:t>
      </w:r>
      <w:r w:rsidR="009C7A3E" w:rsidRPr="00915338">
        <w:t xml:space="preserve"> </w:t>
      </w:r>
      <w:r w:rsidRPr="00915338">
        <w:t>har ännu inte färdigställts. För en beskrivning av innehållet i kommissionens förslag hänvisas till Faktapromemoria 2005/06: FPM72.</w:t>
      </w:r>
    </w:p>
    <w:p w:rsidR="00467741" w:rsidRPr="00915338" w:rsidRDefault="00467741">
      <w:pPr>
        <w:pStyle w:val="RKrubrik"/>
        <w:rPr>
          <w:i/>
          <w:iCs/>
        </w:rPr>
      </w:pPr>
      <w:r w:rsidRPr="00915338">
        <w:rPr>
          <w:i/>
          <w:iCs/>
        </w:rPr>
        <w:t>Gällande svenska regler och förslagets effekter på dessa</w:t>
      </w:r>
    </w:p>
    <w:p w:rsidR="00C911C8" w:rsidRPr="00915338" w:rsidRDefault="0019641E" w:rsidP="0019641E">
      <w:pPr>
        <w:pStyle w:val="RKnormal"/>
      </w:pPr>
      <w:r w:rsidRPr="00915338">
        <w:t>I viss utsträckning överensstämme</w:t>
      </w:r>
      <w:r w:rsidR="00D54C57" w:rsidRPr="00915338">
        <w:t xml:space="preserve">r huvudlinjerna i </w:t>
      </w:r>
      <w:r w:rsidRPr="00915338">
        <w:t>förslag</w:t>
      </w:r>
      <w:r w:rsidR="00D54C57" w:rsidRPr="00915338">
        <w:t>et</w:t>
      </w:r>
      <w:r w:rsidRPr="00915338">
        <w:t xml:space="preserve"> till förordning med vad som redan gäller till följd av Bryssel </w:t>
      </w:r>
      <w:r w:rsidR="003438E5" w:rsidRPr="00915338">
        <w:t>I-</w:t>
      </w:r>
      <w:r w:rsidRPr="00915338">
        <w:t xml:space="preserve">förordningen. </w:t>
      </w:r>
    </w:p>
    <w:p w:rsidR="00C911C8" w:rsidRPr="00915338" w:rsidRDefault="00C911C8" w:rsidP="0019641E">
      <w:pPr>
        <w:pStyle w:val="RKnormal"/>
      </w:pPr>
    </w:p>
    <w:p w:rsidR="0019641E" w:rsidRPr="00915338" w:rsidRDefault="00C911C8" w:rsidP="0019641E">
      <w:pPr>
        <w:pStyle w:val="RKnormal"/>
      </w:pPr>
      <w:r w:rsidRPr="00915338">
        <w:t>F</w:t>
      </w:r>
      <w:r w:rsidR="0019641E" w:rsidRPr="00915338">
        <w:t>örslaget</w:t>
      </w:r>
      <w:r w:rsidRPr="00915338">
        <w:t xml:space="preserve"> innebär att förordningen inte kommer att innehålla regler om ti</w:t>
      </w:r>
      <w:r w:rsidR="00D317A2" w:rsidRPr="00915338">
        <w:t>llämplig lag. I stället hänvisas</w:t>
      </w:r>
      <w:r w:rsidRPr="00915338">
        <w:t xml:space="preserve"> till att reglerna i 2007 års Haagprotokoll</w:t>
      </w:r>
      <w:r w:rsidR="00D317A2" w:rsidRPr="00915338">
        <w:t>, som ska tillämpas i medlemsstater bundna av detta protokoll. Avsikten är att medlemsstaterna ska överlåta åt gemenskapen att för deras räkning tillträda Haagprotokollet</w:t>
      </w:r>
      <w:r w:rsidRPr="00915338">
        <w:t xml:space="preserve"> om tillämplig lag</w:t>
      </w:r>
      <w:r w:rsidR="00D317A2" w:rsidRPr="00915338">
        <w:t>. Reglerna i Haagprotokollet</w:t>
      </w:r>
      <w:r w:rsidRPr="00915338">
        <w:t xml:space="preserve">  </w:t>
      </w:r>
      <w:r w:rsidR="0019641E" w:rsidRPr="00915338">
        <w:t xml:space="preserve"> </w:t>
      </w:r>
      <w:r w:rsidR="00D317A2" w:rsidRPr="00915338">
        <w:t xml:space="preserve">innebär </w:t>
      </w:r>
      <w:r w:rsidR="0019641E" w:rsidRPr="00915338">
        <w:t>en tydlig reglering av ett område som i svensk rätt är i stort sett oreglerat. De för</w:t>
      </w:r>
      <w:r w:rsidR="00D317A2" w:rsidRPr="00915338">
        <w:t>e</w:t>
      </w:r>
      <w:r w:rsidR="0019641E" w:rsidRPr="00915338">
        <w:t>slagna</w:t>
      </w:r>
      <w:r w:rsidR="00D317A2" w:rsidRPr="00915338">
        <w:t xml:space="preserve"> bestämmelserna ligger dock </w:t>
      </w:r>
      <w:r w:rsidR="0019641E" w:rsidRPr="00915338">
        <w:t xml:space="preserve">i linje med vad som anses gälla enligt praxis. </w:t>
      </w:r>
    </w:p>
    <w:p w:rsidR="0019641E" w:rsidRPr="00915338" w:rsidRDefault="0019641E" w:rsidP="0019641E">
      <w:pPr>
        <w:pStyle w:val="RKnormal"/>
      </w:pPr>
    </w:p>
    <w:p w:rsidR="0019641E" w:rsidRPr="00915338" w:rsidRDefault="0019641E" w:rsidP="0019641E">
      <w:pPr>
        <w:pStyle w:val="RKnormal"/>
      </w:pPr>
      <w:r w:rsidRPr="00915338">
        <w:t>Förslaget innebär</w:t>
      </w:r>
      <w:r w:rsidR="00D317A2" w:rsidRPr="00915338">
        <w:t xml:space="preserve"> vidare</w:t>
      </w:r>
      <w:r w:rsidRPr="00915338">
        <w:t xml:space="preserve"> att det för avgöranden om underhåll som omfattas av förordningen </w:t>
      </w:r>
      <w:r w:rsidR="00D317A2" w:rsidRPr="00915338">
        <w:t xml:space="preserve">och som meddelats i medlemsstater bundna av Haagprotokollet om tillämplig lag </w:t>
      </w:r>
      <w:r w:rsidRPr="00915338">
        <w:t xml:space="preserve">inte kommer att finnas något </w:t>
      </w:r>
      <w:r w:rsidR="003438E5" w:rsidRPr="00915338">
        <w:t>särskilt kontrollförfarande, (s.k. exekvaturförfarande) för att ett avgörande ska kunna erkännas och verkställas i ett annat land.</w:t>
      </w:r>
      <w:r w:rsidR="00D317A2" w:rsidRPr="00915338">
        <w:t xml:space="preserve"> För avgöranden som meddelats i medlemsstater som inte är bundna av Haagprotokollet kvarstår exekvaturförfarandet i enlighet med en reglering motsvarande den som finns i Bryssel I-förordningen. </w:t>
      </w:r>
      <w:r w:rsidR="003438E5" w:rsidRPr="00915338">
        <w:t xml:space="preserve"> </w:t>
      </w:r>
    </w:p>
    <w:p w:rsidR="0019641E" w:rsidRPr="00915338" w:rsidRDefault="0019641E" w:rsidP="0019641E">
      <w:pPr>
        <w:pStyle w:val="RKnormal"/>
      </w:pPr>
    </w:p>
    <w:p w:rsidR="0019641E" w:rsidRPr="00915338" w:rsidRDefault="00D317A2" w:rsidP="0019641E">
      <w:pPr>
        <w:pStyle w:val="RKnormal"/>
      </w:pPr>
      <w:r w:rsidRPr="00915338">
        <w:t>F</w:t>
      </w:r>
      <w:r w:rsidR="0019641E" w:rsidRPr="00915338">
        <w:t>örslag</w:t>
      </w:r>
      <w:r w:rsidRPr="00915338">
        <w:t>ets bestämmelser om förfarandet</w:t>
      </w:r>
      <w:r w:rsidR="0019641E" w:rsidRPr="00915338">
        <w:t xml:space="preserve"> och</w:t>
      </w:r>
      <w:r w:rsidRPr="00915338">
        <w:t xml:space="preserve"> rättshjälp kommer medföra </w:t>
      </w:r>
      <w:r w:rsidR="0019641E" w:rsidRPr="00915338">
        <w:t>vissa förändringar av vad som i dag gäller enligt svensk rätt.</w:t>
      </w:r>
      <w:r w:rsidRPr="00915338">
        <w:t xml:space="preserve"> </w:t>
      </w:r>
      <w:r w:rsidR="0019641E" w:rsidRPr="00915338">
        <w:t xml:space="preserve"> </w:t>
      </w:r>
    </w:p>
    <w:p w:rsidR="0019641E" w:rsidRPr="00915338" w:rsidRDefault="0019641E" w:rsidP="0019641E">
      <w:pPr>
        <w:pStyle w:val="RKnormal"/>
      </w:pPr>
    </w:p>
    <w:p w:rsidR="00467741" w:rsidRPr="00915338" w:rsidRDefault="0019641E">
      <w:pPr>
        <w:pStyle w:val="RKnormal"/>
      </w:pPr>
      <w:r w:rsidRPr="00915338">
        <w:t xml:space="preserve">För en närmare beskrivning av </w:t>
      </w:r>
      <w:r w:rsidR="003438E5" w:rsidRPr="00915338">
        <w:t xml:space="preserve">innehållet i kommissionens </w:t>
      </w:r>
      <w:r w:rsidRPr="00915338">
        <w:t xml:space="preserve">förslag och dess effekter på nu gällande svenska regler hänvisas till Faktapromemoria 2005/06:FPM72. </w:t>
      </w:r>
    </w:p>
    <w:p w:rsidR="00467741" w:rsidRPr="00915338" w:rsidRDefault="00467741">
      <w:pPr>
        <w:pStyle w:val="RKrubrik"/>
      </w:pPr>
      <w:r w:rsidRPr="00915338">
        <w:t>Ekonomiska konsekvenser</w:t>
      </w:r>
    </w:p>
    <w:p w:rsidR="0019641E" w:rsidRPr="00915338" w:rsidRDefault="0019641E" w:rsidP="0019641E">
      <w:pPr>
        <w:pStyle w:val="RKnormal"/>
      </w:pPr>
      <w:r w:rsidRPr="00915338">
        <w:t xml:space="preserve">Genom förordningen får domstolarna förhållandevis klara regler i fråga om behörighet, tillämplig lag samt erkännande och verkställighet såvitt avser tvister om underhållsskyldighet. Detta förenklar handläggningen  av sådana mål med internationell anknytning. </w:t>
      </w:r>
    </w:p>
    <w:p w:rsidR="0019641E" w:rsidRPr="00915338" w:rsidRDefault="0019641E" w:rsidP="0019641E">
      <w:pPr>
        <w:pStyle w:val="RKnormal"/>
      </w:pPr>
    </w:p>
    <w:p w:rsidR="00467741" w:rsidRPr="00915338" w:rsidRDefault="0019641E">
      <w:pPr>
        <w:pStyle w:val="RKnormal"/>
      </w:pPr>
      <w:r w:rsidRPr="00915338">
        <w:t>De uppgifter som enligt förslaget skall åläggas särskilt utsedda central-myndigheter är sådana att de kan förväntas föranleda vissa kostnads</w:t>
      </w:r>
      <w:r w:rsidR="00A776F3" w:rsidRPr="00915338">
        <w:t>-</w:t>
      </w:r>
      <w:r w:rsidRPr="00915338">
        <w:t>ökningar för det allmänna. Dessa kostnader finansieras inom befintliga ramar.</w:t>
      </w:r>
    </w:p>
    <w:p w:rsidR="00E15B0A" w:rsidRPr="00915338" w:rsidRDefault="00E15B0A">
      <w:pPr>
        <w:pStyle w:val="RKnormal"/>
      </w:pPr>
    </w:p>
    <w:p w:rsidR="00467741" w:rsidRPr="00915338" w:rsidRDefault="00E15B0A">
      <w:pPr>
        <w:pStyle w:val="RKnormal"/>
      </w:pPr>
      <w:r w:rsidRPr="00915338">
        <w:t xml:space="preserve">Förslaget om att förfaranden vad gäller underhållsbidrag till barn under 21 år </w:t>
      </w:r>
      <w:r w:rsidR="00A776F3" w:rsidRPr="00915338">
        <w:t xml:space="preserve">som huvudregel </w:t>
      </w:r>
      <w:r w:rsidRPr="00915338">
        <w:t xml:space="preserve">ska vara kostnadsfria förväntas </w:t>
      </w:r>
      <w:r w:rsidR="00636032" w:rsidRPr="00915338">
        <w:t>inte medföra</w:t>
      </w:r>
      <w:r w:rsidRPr="00915338">
        <w:t xml:space="preserve"> </w:t>
      </w:r>
      <w:r w:rsidR="00636032" w:rsidRPr="00915338">
        <w:t>kost</w:t>
      </w:r>
      <w:r w:rsidR="00A776F3" w:rsidRPr="00915338">
        <w:t>-</w:t>
      </w:r>
      <w:r w:rsidR="00636032" w:rsidRPr="00915338">
        <w:t xml:space="preserve">nadsökningar då dessa ärenden i praktiken redan idag </w:t>
      </w:r>
      <w:r w:rsidR="003845FB" w:rsidRPr="00915338">
        <w:t>får kostnadsfritt bistånd.</w:t>
      </w:r>
      <w:r w:rsidR="00A776F3" w:rsidRPr="00915338">
        <w:t xml:space="preserve"> Uppstår ytterligare kostnader finansieras dessa inom befintliga ramar. </w:t>
      </w:r>
    </w:p>
    <w:sectPr w:rsidR="00467741" w:rsidRPr="0091533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4D8" w:rsidRPr="00915338" w:rsidRDefault="00D504D8">
      <w:r w:rsidRPr="00915338">
        <w:separator/>
      </w:r>
    </w:p>
  </w:endnote>
  <w:endnote w:type="continuationSeparator" w:id="0">
    <w:p w:rsidR="00D504D8" w:rsidRPr="00915338" w:rsidRDefault="00D504D8">
      <w:r w:rsidRPr="0091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4D8" w:rsidRPr="00915338" w:rsidRDefault="00D504D8">
      <w:r w:rsidRPr="00915338">
        <w:separator/>
      </w:r>
    </w:p>
  </w:footnote>
  <w:footnote w:type="continuationSeparator" w:id="0">
    <w:p w:rsidR="00D504D8" w:rsidRPr="00915338" w:rsidRDefault="00D504D8">
      <w:r w:rsidRPr="0091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32" w:rsidRPr="00915338" w:rsidRDefault="00CB3932">
    <w:pPr>
      <w:pStyle w:val="Sidhuvud"/>
      <w:framePr w:wrap="around" w:vAnchor="text" w:hAnchor="margin" w:xAlign="right" w:y="1"/>
      <w:rPr>
        <w:rStyle w:val="Sidnummer"/>
      </w:rPr>
    </w:pPr>
    <w:r w:rsidRPr="00915338">
      <w:rPr>
        <w:rStyle w:val="Sidnummer"/>
      </w:rPr>
      <w:fldChar w:fldCharType="begin" w:fldLock="1"/>
    </w:r>
    <w:r w:rsidRPr="00915338">
      <w:rPr>
        <w:rStyle w:val="Sidnummer"/>
      </w:rPr>
      <w:instrText xml:space="preserve">PAGE  </w:instrText>
    </w:r>
    <w:r w:rsidRPr="00915338">
      <w:rPr>
        <w:rStyle w:val="Sidnummer"/>
      </w:rPr>
      <w:fldChar w:fldCharType="separate"/>
    </w:r>
    <w:r w:rsidR="00A352B8" w:rsidRPr="00915338">
      <w:rPr>
        <w:rStyle w:val="Sidnummer"/>
      </w:rPr>
      <w:t>2</w:t>
    </w:r>
    <w:r w:rsidRPr="009153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B3932" w:rsidRPr="00915338">
      <w:tblPrEx>
        <w:tblCellMar>
          <w:top w:w="0" w:type="dxa"/>
          <w:bottom w:w="0" w:type="dxa"/>
        </w:tblCellMar>
      </w:tblPrEx>
      <w:trPr>
        <w:cantSplit/>
      </w:trPr>
      <w:tc>
        <w:tcPr>
          <w:tcW w:w="3119" w:type="dxa"/>
        </w:tcPr>
        <w:p w:rsidR="00CB3932" w:rsidRPr="00915338" w:rsidRDefault="00CB3932">
          <w:pPr>
            <w:pStyle w:val="Sidhuvud"/>
            <w:spacing w:line="200" w:lineRule="atLeast"/>
            <w:ind w:right="357"/>
            <w:rPr>
              <w:rFonts w:ascii="TradeGothic" w:hAnsi="TradeGothic"/>
              <w:b/>
              <w:bCs/>
              <w:sz w:val="16"/>
            </w:rPr>
          </w:pPr>
        </w:p>
      </w:tc>
      <w:tc>
        <w:tcPr>
          <w:tcW w:w="4111" w:type="dxa"/>
          <w:tcMar>
            <w:left w:w="567" w:type="dxa"/>
          </w:tcMar>
        </w:tcPr>
        <w:p w:rsidR="00CB3932" w:rsidRPr="00915338" w:rsidRDefault="00CB3932">
          <w:pPr>
            <w:pStyle w:val="Sidhuvud"/>
            <w:ind w:right="360"/>
          </w:pPr>
        </w:p>
      </w:tc>
      <w:tc>
        <w:tcPr>
          <w:tcW w:w="1525" w:type="dxa"/>
        </w:tcPr>
        <w:p w:rsidR="00CB3932" w:rsidRPr="00915338" w:rsidRDefault="00CB3932">
          <w:pPr>
            <w:pStyle w:val="Sidhuvud"/>
            <w:ind w:right="360"/>
          </w:pPr>
        </w:p>
      </w:tc>
    </w:tr>
  </w:tbl>
  <w:p w:rsidR="00CB3932" w:rsidRPr="00915338" w:rsidRDefault="00CB393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32" w:rsidRPr="00915338" w:rsidRDefault="00CB3932">
    <w:pPr>
      <w:pStyle w:val="Sidhuvud"/>
      <w:framePr w:wrap="around" w:vAnchor="text" w:hAnchor="margin" w:xAlign="right" w:y="1"/>
      <w:rPr>
        <w:rStyle w:val="Sidnummer"/>
      </w:rPr>
    </w:pPr>
    <w:r w:rsidRPr="00915338">
      <w:rPr>
        <w:rStyle w:val="Sidnummer"/>
      </w:rPr>
      <w:fldChar w:fldCharType="begin" w:fldLock="1"/>
    </w:r>
    <w:r w:rsidRPr="00915338">
      <w:rPr>
        <w:rStyle w:val="Sidnummer"/>
      </w:rPr>
      <w:instrText xml:space="preserve">PAGE  </w:instrText>
    </w:r>
    <w:r w:rsidRPr="00915338">
      <w:rPr>
        <w:rStyle w:val="Sidnummer"/>
      </w:rPr>
      <w:fldChar w:fldCharType="separate"/>
    </w:r>
    <w:r w:rsidR="00A352B8" w:rsidRPr="00915338">
      <w:rPr>
        <w:rStyle w:val="Sidnummer"/>
      </w:rPr>
      <w:t>3</w:t>
    </w:r>
    <w:r w:rsidRPr="009153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B3932" w:rsidRPr="00915338">
      <w:tblPrEx>
        <w:tblCellMar>
          <w:top w:w="0" w:type="dxa"/>
          <w:bottom w:w="0" w:type="dxa"/>
        </w:tblCellMar>
      </w:tblPrEx>
      <w:trPr>
        <w:cantSplit/>
      </w:trPr>
      <w:tc>
        <w:tcPr>
          <w:tcW w:w="3119" w:type="dxa"/>
        </w:tcPr>
        <w:p w:rsidR="00CB3932" w:rsidRPr="00915338" w:rsidRDefault="00CB3932">
          <w:pPr>
            <w:pStyle w:val="Sidhuvud"/>
            <w:spacing w:line="200" w:lineRule="atLeast"/>
            <w:ind w:right="357"/>
            <w:rPr>
              <w:rFonts w:ascii="TradeGothic" w:hAnsi="TradeGothic"/>
              <w:b/>
              <w:bCs/>
              <w:sz w:val="16"/>
            </w:rPr>
          </w:pPr>
        </w:p>
      </w:tc>
      <w:tc>
        <w:tcPr>
          <w:tcW w:w="4111" w:type="dxa"/>
          <w:tcMar>
            <w:left w:w="567" w:type="dxa"/>
          </w:tcMar>
        </w:tcPr>
        <w:p w:rsidR="00CB3932" w:rsidRPr="00915338" w:rsidRDefault="00CB3932">
          <w:pPr>
            <w:pStyle w:val="Sidhuvud"/>
            <w:ind w:right="360"/>
          </w:pPr>
        </w:p>
      </w:tc>
      <w:tc>
        <w:tcPr>
          <w:tcW w:w="1525" w:type="dxa"/>
        </w:tcPr>
        <w:p w:rsidR="00CB3932" w:rsidRPr="00915338" w:rsidRDefault="00CB3932">
          <w:pPr>
            <w:pStyle w:val="Sidhuvud"/>
            <w:ind w:right="360"/>
          </w:pPr>
        </w:p>
      </w:tc>
    </w:tr>
  </w:tbl>
  <w:p w:rsidR="00CB3932" w:rsidRPr="00915338" w:rsidRDefault="00CB393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32" w:rsidRPr="00915338" w:rsidRDefault="00915338">
    <w:pPr>
      <w:framePr w:w="2948" w:h="1321" w:hRule="exact" w:wrap="notBeside" w:vAnchor="page" w:hAnchor="page" w:x="1362" w:y="653"/>
    </w:pPr>
    <w:r w:rsidRPr="0091533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B3932" w:rsidRPr="00915338" w:rsidRDefault="00CB3932">
    <w:pPr>
      <w:pStyle w:val="RKrubrik"/>
      <w:keepNext w:val="0"/>
      <w:tabs>
        <w:tab w:val="clear" w:pos="1134"/>
        <w:tab w:val="clear" w:pos="2835"/>
      </w:tabs>
      <w:spacing w:before="0" w:after="0" w:line="320" w:lineRule="atLeast"/>
      <w:rPr>
        <w:bCs/>
      </w:rPr>
    </w:pPr>
  </w:p>
  <w:p w:rsidR="00CB3932" w:rsidRPr="00915338" w:rsidRDefault="00CB3932">
    <w:pPr>
      <w:rPr>
        <w:rFonts w:ascii="TradeGothic" w:hAnsi="TradeGothic"/>
        <w:b/>
        <w:bCs/>
        <w:spacing w:val="12"/>
        <w:sz w:val="22"/>
      </w:rPr>
    </w:pPr>
  </w:p>
  <w:p w:rsidR="00CB3932" w:rsidRPr="00915338" w:rsidRDefault="00CB3932">
    <w:pPr>
      <w:pStyle w:val="RKrubrik"/>
      <w:keepNext w:val="0"/>
      <w:tabs>
        <w:tab w:val="clear" w:pos="1134"/>
        <w:tab w:val="clear" w:pos="2835"/>
      </w:tabs>
      <w:spacing w:before="0" w:after="0" w:line="320" w:lineRule="atLeast"/>
      <w:rPr>
        <w:bCs/>
      </w:rPr>
    </w:pPr>
  </w:p>
  <w:p w:rsidR="00CB3932" w:rsidRPr="00915338" w:rsidRDefault="00CB393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30816"/>
    <w:multiLevelType w:val="hybridMultilevel"/>
    <w:tmpl w:val="A620874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05874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67741"/>
    <w:rsid w:val="000223B9"/>
    <w:rsid w:val="000231AF"/>
    <w:rsid w:val="00047E19"/>
    <w:rsid w:val="000A76A9"/>
    <w:rsid w:val="00121F7B"/>
    <w:rsid w:val="00122ADF"/>
    <w:rsid w:val="00150384"/>
    <w:rsid w:val="00161ECA"/>
    <w:rsid w:val="001805B7"/>
    <w:rsid w:val="00183B8A"/>
    <w:rsid w:val="0019641E"/>
    <w:rsid w:val="001E5112"/>
    <w:rsid w:val="00203671"/>
    <w:rsid w:val="002C0ECD"/>
    <w:rsid w:val="002C28DC"/>
    <w:rsid w:val="003267A1"/>
    <w:rsid w:val="003438E5"/>
    <w:rsid w:val="003845FB"/>
    <w:rsid w:val="003924A1"/>
    <w:rsid w:val="003A3E10"/>
    <w:rsid w:val="0044027C"/>
    <w:rsid w:val="0044430F"/>
    <w:rsid w:val="00467741"/>
    <w:rsid w:val="004A328D"/>
    <w:rsid w:val="004F6A79"/>
    <w:rsid w:val="005126A9"/>
    <w:rsid w:val="0052174E"/>
    <w:rsid w:val="00577898"/>
    <w:rsid w:val="00636032"/>
    <w:rsid w:val="006E4E11"/>
    <w:rsid w:val="007242A3"/>
    <w:rsid w:val="00754DE8"/>
    <w:rsid w:val="007C701E"/>
    <w:rsid w:val="007E6844"/>
    <w:rsid w:val="007F4445"/>
    <w:rsid w:val="0081111D"/>
    <w:rsid w:val="0083340B"/>
    <w:rsid w:val="00841162"/>
    <w:rsid w:val="0084290B"/>
    <w:rsid w:val="008E3CC9"/>
    <w:rsid w:val="00915338"/>
    <w:rsid w:val="0093000F"/>
    <w:rsid w:val="00937CB1"/>
    <w:rsid w:val="00960278"/>
    <w:rsid w:val="00973DF6"/>
    <w:rsid w:val="00985404"/>
    <w:rsid w:val="009C7A3E"/>
    <w:rsid w:val="00A12EA1"/>
    <w:rsid w:val="00A352B8"/>
    <w:rsid w:val="00A776F3"/>
    <w:rsid w:val="00A93E87"/>
    <w:rsid w:val="00C57E1C"/>
    <w:rsid w:val="00C911C8"/>
    <w:rsid w:val="00CB3932"/>
    <w:rsid w:val="00CC1877"/>
    <w:rsid w:val="00D00E51"/>
    <w:rsid w:val="00D317A2"/>
    <w:rsid w:val="00D504D8"/>
    <w:rsid w:val="00D54C57"/>
    <w:rsid w:val="00DF7C8A"/>
    <w:rsid w:val="00E15B0A"/>
    <w:rsid w:val="00E23756"/>
    <w:rsid w:val="00EA2CB1"/>
    <w:rsid w:val="00EA4635"/>
    <w:rsid w:val="00EC25F9"/>
    <w:rsid w:val="00EE2192"/>
    <w:rsid w:val="00F7207C"/>
    <w:rsid w:val="00FA646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BBA3A2-FB19-4DF0-9CC7-0E855BF5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859</Words>
  <Characters>5647</Characters>
  <Application>Microsoft Office Word</Application>
  <DocSecurity>4</DocSecurity>
  <Lines>148</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2008-10-13T09:36:00Z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60</vt:i4>
  </property>
</Properties>
</file>