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57E5">
        <w:tblPrEx>
          <w:tblCellMar>
            <w:top w:w="0" w:type="dxa"/>
            <w:bottom w:w="0" w:type="dxa"/>
          </w:tblCellMar>
        </w:tblPrEx>
        <w:trPr>
          <w:cantSplit/>
          <w:trHeight w:val="1720"/>
        </w:trPr>
        <w:tc>
          <w:tcPr>
            <w:tcW w:w="6024" w:type="dxa"/>
            <w:gridSpan w:val="2"/>
          </w:tcPr>
          <w:p w:rsidR="003F27C6" w:rsidRPr="002057E5" w:rsidRDefault="003F27C6">
            <w:pPr>
              <w:pStyle w:val="Rubrik1"/>
              <w:spacing w:after="0"/>
              <w:rPr>
                <w:noProof w:val="0"/>
              </w:rPr>
            </w:pPr>
            <w:r w:rsidRPr="002057E5">
              <w:rPr>
                <w:noProof w:val="0"/>
              </w:rPr>
              <w:t>Konstitutionsutskottets yttrande</w:t>
            </w:r>
          </w:p>
          <w:p w:rsidR="003F27C6" w:rsidRPr="002057E5" w:rsidRDefault="003F27C6">
            <w:pPr>
              <w:pStyle w:val="HuvudRubrikRad2"/>
            </w:pPr>
            <w:bookmarkStart w:id="0" w:name="BetänkandeNr"/>
            <w:bookmarkEnd w:id="0"/>
            <w:r w:rsidRPr="002057E5">
              <w:t>2002/03:KU6y</w:t>
            </w:r>
          </w:p>
        </w:tc>
        <w:tc>
          <w:tcPr>
            <w:tcW w:w="1418" w:type="dxa"/>
            <w:tcBorders>
              <w:bottom w:val="nil"/>
            </w:tcBorders>
          </w:tcPr>
          <w:p w:rsidR="003F27C6" w:rsidRPr="002057E5" w:rsidRDefault="002057E5">
            <w:pPr>
              <w:spacing w:line="230" w:lineRule="auto"/>
              <w:jc w:val="center"/>
            </w:pPr>
            <w:r w:rsidRPr="002057E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27C6" w:rsidRPr="002057E5" w:rsidRDefault="003F27C6">
            <w:pPr>
              <w:pStyle w:val="Normaltindrag"/>
              <w:jc w:val="center"/>
            </w:pPr>
          </w:p>
          <w:p w:rsidR="003F27C6" w:rsidRPr="002057E5" w:rsidRDefault="003F27C6">
            <w:pPr>
              <w:pStyle w:val="StatusSida1"/>
            </w:pPr>
          </w:p>
          <w:p w:rsidR="003F27C6" w:rsidRPr="002057E5" w:rsidRDefault="003F27C6">
            <w:pPr>
              <w:pStyle w:val="UtskriftsdatumSida1"/>
              <w:framePr w:wrap="around"/>
            </w:pPr>
          </w:p>
        </w:tc>
      </w:tr>
      <w:tr w:rsidR="00000000" w:rsidRPr="002057E5">
        <w:tblPrEx>
          <w:tblCellMar>
            <w:top w:w="0" w:type="dxa"/>
            <w:bottom w:w="0" w:type="dxa"/>
          </w:tblCellMar>
        </w:tblPrEx>
        <w:trPr>
          <w:cantSplit/>
          <w:trHeight w:val="80"/>
        </w:trPr>
        <w:tc>
          <w:tcPr>
            <w:tcW w:w="6024" w:type="dxa"/>
            <w:gridSpan w:val="2"/>
            <w:tcBorders>
              <w:bottom w:val="single" w:sz="4" w:space="0" w:color="auto"/>
            </w:tcBorders>
          </w:tcPr>
          <w:p w:rsidR="003F27C6" w:rsidRPr="002057E5" w:rsidRDefault="003F27C6">
            <w:pPr>
              <w:pStyle w:val="DokumentRubrik"/>
              <w:rPr>
                <w:noProof w:val="0"/>
              </w:rPr>
            </w:pPr>
            <w:bookmarkStart w:id="1" w:name="Huvudrubrik"/>
            <w:bookmarkEnd w:id="1"/>
            <w:r w:rsidRPr="002057E5">
              <w:rPr>
                <w:noProof w:val="0"/>
              </w:rPr>
              <w:t>Tilläggsbudget för år 2003 Utgiftsområde 1 Rikets styrelse</w:t>
            </w:r>
          </w:p>
        </w:tc>
        <w:tc>
          <w:tcPr>
            <w:tcW w:w="1418" w:type="dxa"/>
            <w:tcBorders>
              <w:bottom w:val="nil"/>
            </w:tcBorders>
          </w:tcPr>
          <w:p w:rsidR="003F27C6" w:rsidRPr="002057E5" w:rsidRDefault="003F27C6"/>
        </w:tc>
      </w:tr>
      <w:tr w:rsidR="00000000" w:rsidRPr="002057E5">
        <w:tblPrEx>
          <w:tblCellMar>
            <w:top w:w="0" w:type="dxa"/>
            <w:bottom w:w="0" w:type="dxa"/>
          </w:tblCellMar>
        </w:tblPrEx>
        <w:trPr>
          <w:cantSplit/>
          <w:trHeight w:hRule="exact" w:val="360"/>
        </w:trPr>
        <w:tc>
          <w:tcPr>
            <w:tcW w:w="3012" w:type="dxa"/>
          </w:tcPr>
          <w:p w:rsidR="003F27C6" w:rsidRPr="002057E5" w:rsidRDefault="003F27C6"/>
        </w:tc>
        <w:tc>
          <w:tcPr>
            <w:tcW w:w="3012" w:type="dxa"/>
          </w:tcPr>
          <w:p w:rsidR="003F27C6" w:rsidRPr="002057E5" w:rsidRDefault="003F27C6"/>
        </w:tc>
        <w:tc>
          <w:tcPr>
            <w:tcW w:w="1418" w:type="dxa"/>
          </w:tcPr>
          <w:p w:rsidR="003F27C6" w:rsidRPr="002057E5" w:rsidRDefault="003F27C6"/>
        </w:tc>
      </w:tr>
    </w:tbl>
    <w:p w:rsidR="003F27C6" w:rsidRPr="002057E5" w:rsidRDefault="003F27C6">
      <w:pPr>
        <w:pStyle w:val="R1"/>
        <w:spacing w:after="250"/>
      </w:pPr>
      <w:r w:rsidRPr="002057E5">
        <w:t>Till finansutskottet</w:t>
      </w:r>
    </w:p>
    <w:p w:rsidR="003F27C6" w:rsidRPr="002057E5" w:rsidRDefault="003F27C6">
      <w:bookmarkStart w:id="2" w:name="TextStart"/>
      <w:bookmarkEnd w:id="2"/>
      <w:r w:rsidRPr="002057E5">
        <w:t>Finansutskottet har vid sitt sammanträde den 29 april berett konstitutionsu</w:t>
      </w:r>
      <w:r w:rsidRPr="002057E5">
        <w:t>t</w:t>
      </w:r>
      <w:r w:rsidRPr="002057E5">
        <w:t>skottet tillfälle att yttra sig över 2003 års ekonomiska vårproposition (2002/03:100) om tilläggsbudget till statsbudgeten för budgetåret 2003 jämte motioner, allt i de delar som berör utskottets beredningsområde.</w:t>
      </w:r>
    </w:p>
    <w:p w:rsidR="003F27C6" w:rsidRPr="002057E5" w:rsidRDefault="003F27C6">
      <w:pPr>
        <w:pStyle w:val="Rubrik2"/>
      </w:pPr>
      <w:bookmarkStart w:id="3" w:name="_Toc41187398"/>
      <w:r w:rsidRPr="002057E5">
        <w:t>Propositionen</w:t>
      </w:r>
      <w:bookmarkEnd w:id="3"/>
    </w:p>
    <w:p w:rsidR="003F27C6" w:rsidRPr="002057E5" w:rsidRDefault="003F27C6">
      <w:pPr>
        <w:pStyle w:val="Rubrik3"/>
        <w:spacing w:before="110"/>
        <w:rPr>
          <w:noProof w:val="0"/>
        </w:rPr>
      </w:pPr>
      <w:bookmarkStart w:id="4" w:name="_Toc41187399"/>
      <w:r w:rsidRPr="002057E5">
        <w:rPr>
          <w:noProof w:val="0"/>
        </w:rPr>
        <w:t>Ändrade anslag för utgiftsområde 1 Rikets styrelse</w:t>
      </w:r>
      <w:bookmarkEnd w:id="4"/>
    </w:p>
    <w:p w:rsidR="003F27C6" w:rsidRPr="002057E5" w:rsidRDefault="003F27C6">
      <w:r w:rsidRPr="002057E5">
        <w:t>Regeringen och riksdagsstyrelsen föreslår följande ändringar på tilläggsbu</w:t>
      </w:r>
      <w:r w:rsidRPr="002057E5">
        <w:t>d</w:t>
      </w:r>
      <w:r w:rsidRPr="002057E5">
        <w:t>get för utgiftsområde 1 Rikets styrelse (yrkande 40 och 42 delvis):</w:t>
      </w:r>
    </w:p>
    <w:p w:rsidR="003F27C6" w:rsidRPr="002057E5" w:rsidRDefault="003F27C6">
      <w:pPr>
        <w:pStyle w:val="Normaltindrag"/>
      </w:pPr>
    </w:p>
    <w:p w:rsidR="003F27C6" w:rsidRPr="002057E5" w:rsidRDefault="003F27C6">
      <w:pPr>
        <w:pStyle w:val="TabellRubrik0"/>
        <w:rPr>
          <w:rFonts w:ascii="Times New Roman" w:hAnsi="Times New Roman"/>
          <w:color w:val="auto"/>
        </w:rPr>
      </w:pPr>
      <w:bookmarkStart w:id="5" w:name="_Toc37677042"/>
      <w:r w:rsidRPr="002057E5">
        <w:rPr>
          <w:rFonts w:ascii="Times New Roman" w:hAnsi="Times New Roman"/>
          <w:color w:val="auto"/>
        </w:rPr>
        <w:t>Tabell Ändrad ram och ändrade anslag 2003</w:t>
      </w:r>
      <w:bookmarkEnd w:id="5"/>
      <w:r w:rsidRPr="002057E5">
        <w:rPr>
          <w:rFonts w:ascii="Times New Roman" w:hAnsi="Times New Roman"/>
          <w:color w:val="auto"/>
        </w:rPr>
        <w:t xml:space="preserve"> för utgiftsområde 1 R</w:t>
      </w:r>
      <w:r w:rsidRPr="002057E5">
        <w:rPr>
          <w:rFonts w:ascii="Times New Roman" w:hAnsi="Times New Roman"/>
          <w:color w:val="auto"/>
        </w:rPr>
        <w:t>i</w:t>
      </w:r>
      <w:r w:rsidRPr="002057E5">
        <w:rPr>
          <w:rFonts w:ascii="Times New Roman" w:hAnsi="Times New Roman"/>
          <w:color w:val="auto"/>
        </w:rPr>
        <w:t>kets styrelse</w:t>
      </w:r>
    </w:p>
    <w:p w:rsidR="003F27C6" w:rsidRPr="002057E5" w:rsidRDefault="003F27C6">
      <w:pPr>
        <w:pStyle w:val="TabellUnderrubrik"/>
        <w:rPr>
          <w:rFonts w:ascii="Times New Roman" w:hAnsi="Times New Roman"/>
        </w:rPr>
      </w:pPr>
      <w:r w:rsidRPr="002057E5">
        <w:rPr>
          <w:rFonts w:ascii="Times New Roman" w:hAnsi="Times New Roman"/>
        </w:rPr>
        <w:t>Tusental kronor</w:t>
      </w:r>
    </w:p>
    <w:tbl>
      <w:tblPr>
        <w:tblW w:w="0" w:type="auto"/>
        <w:tblInd w:w="71" w:type="dxa"/>
        <w:tblLayout w:type="fixed"/>
        <w:tblCellMar>
          <w:left w:w="71" w:type="dxa"/>
          <w:right w:w="71" w:type="dxa"/>
        </w:tblCellMar>
        <w:tblLook w:val="0000" w:firstRow="0" w:lastRow="0" w:firstColumn="0" w:lastColumn="0" w:noHBand="0" w:noVBand="0"/>
      </w:tblPr>
      <w:tblGrid>
        <w:gridCol w:w="601"/>
        <w:gridCol w:w="1985"/>
        <w:gridCol w:w="1296"/>
        <w:gridCol w:w="1103"/>
        <w:gridCol w:w="1134"/>
      </w:tblGrid>
      <w:tr w:rsidR="00000000" w:rsidRPr="002057E5">
        <w:tblPrEx>
          <w:tblCellMar>
            <w:top w:w="0" w:type="dxa"/>
            <w:bottom w:w="0" w:type="dxa"/>
          </w:tblCellMar>
        </w:tblPrEx>
        <w:tc>
          <w:tcPr>
            <w:tcW w:w="601" w:type="dxa"/>
          </w:tcPr>
          <w:p w:rsidR="003F27C6" w:rsidRPr="002057E5" w:rsidRDefault="003F27C6">
            <w:pPr>
              <w:pStyle w:val="TabellUnderrubrik"/>
              <w:rPr>
                <w:rFonts w:ascii="Times New Roman" w:hAnsi="Times New Roman"/>
              </w:rPr>
            </w:pPr>
            <w:r w:rsidRPr="002057E5">
              <w:rPr>
                <w:rFonts w:ascii="Times New Roman" w:hAnsi="Times New Roman"/>
              </w:rPr>
              <w:t>A</w:t>
            </w:r>
            <w:r w:rsidRPr="002057E5">
              <w:rPr>
                <w:rFonts w:ascii="Times New Roman" w:hAnsi="Times New Roman"/>
              </w:rPr>
              <w:t>n</w:t>
            </w:r>
            <w:r w:rsidRPr="002057E5">
              <w:rPr>
                <w:rFonts w:ascii="Times New Roman" w:hAnsi="Times New Roman"/>
              </w:rPr>
              <w:t>slag</w:t>
            </w:r>
          </w:p>
        </w:tc>
        <w:tc>
          <w:tcPr>
            <w:tcW w:w="1985" w:type="dxa"/>
          </w:tcPr>
          <w:p w:rsidR="003F27C6" w:rsidRPr="002057E5" w:rsidRDefault="003F27C6">
            <w:pPr>
              <w:pStyle w:val="TabellUnderrubrik"/>
              <w:rPr>
                <w:rFonts w:ascii="Times New Roman" w:hAnsi="Times New Roman"/>
              </w:rPr>
            </w:pPr>
          </w:p>
        </w:tc>
        <w:tc>
          <w:tcPr>
            <w:tcW w:w="1296" w:type="dxa"/>
          </w:tcPr>
          <w:p w:rsidR="003F27C6" w:rsidRPr="002057E5" w:rsidRDefault="003F27C6">
            <w:pPr>
              <w:pStyle w:val="TabellUnderrubrik"/>
              <w:rPr>
                <w:rFonts w:ascii="Times New Roman" w:hAnsi="Times New Roman"/>
              </w:rPr>
            </w:pPr>
            <w:r w:rsidRPr="002057E5">
              <w:rPr>
                <w:rFonts w:ascii="Times New Roman" w:hAnsi="Times New Roman"/>
              </w:rPr>
              <w:t>Statsbudget 2003</w:t>
            </w:r>
          </w:p>
        </w:tc>
        <w:tc>
          <w:tcPr>
            <w:tcW w:w="1103" w:type="dxa"/>
          </w:tcPr>
          <w:p w:rsidR="003F27C6" w:rsidRPr="002057E5" w:rsidRDefault="003F27C6">
            <w:pPr>
              <w:pStyle w:val="TabellUnderrubrik"/>
              <w:rPr>
                <w:rFonts w:ascii="Times New Roman" w:hAnsi="Times New Roman"/>
              </w:rPr>
            </w:pPr>
            <w:r w:rsidRPr="002057E5">
              <w:rPr>
                <w:rFonts w:ascii="Times New Roman" w:hAnsi="Times New Roman"/>
              </w:rPr>
              <w:t>Förändring av</w:t>
            </w:r>
            <w:r w:rsidRPr="002057E5">
              <w:rPr>
                <w:rFonts w:ascii="Times New Roman" w:hAnsi="Times New Roman"/>
              </w:rPr>
              <w:br/>
              <w:t>ram/ anslag</w:t>
            </w:r>
          </w:p>
        </w:tc>
        <w:tc>
          <w:tcPr>
            <w:tcW w:w="1134" w:type="dxa"/>
          </w:tcPr>
          <w:p w:rsidR="003F27C6" w:rsidRPr="002057E5" w:rsidRDefault="003F27C6">
            <w:pPr>
              <w:pStyle w:val="TabellUnderrubrik"/>
              <w:rPr>
                <w:rFonts w:ascii="Times New Roman" w:hAnsi="Times New Roman"/>
              </w:rPr>
            </w:pPr>
            <w:r w:rsidRPr="002057E5">
              <w:rPr>
                <w:rFonts w:ascii="Times New Roman" w:hAnsi="Times New Roman"/>
              </w:rPr>
              <w:t>Ny ram/</w:t>
            </w:r>
            <w:r w:rsidRPr="002057E5">
              <w:rPr>
                <w:rFonts w:ascii="Times New Roman" w:hAnsi="Times New Roman"/>
              </w:rPr>
              <w:br/>
              <w:t>Ny anslagsn</w:t>
            </w:r>
            <w:r w:rsidRPr="002057E5">
              <w:rPr>
                <w:rFonts w:ascii="Times New Roman" w:hAnsi="Times New Roman"/>
              </w:rPr>
              <w:t>i</w:t>
            </w:r>
            <w:r w:rsidRPr="002057E5">
              <w:rPr>
                <w:rFonts w:ascii="Times New Roman" w:hAnsi="Times New Roman"/>
              </w:rPr>
              <w:t>vå</w:t>
            </w:r>
          </w:p>
        </w:tc>
      </w:tr>
      <w:tr w:rsidR="00000000" w:rsidRPr="002057E5">
        <w:tblPrEx>
          <w:tblCellMar>
            <w:top w:w="0" w:type="dxa"/>
            <w:bottom w:w="0" w:type="dxa"/>
          </w:tblCellMar>
        </w:tblPrEx>
        <w:trPr>
          <w:trHeight w:val="343"/>
        </w:trPr>
        <w:tc>
          <w:tcPr>
            <w:tcW w:w="601" w:type="dxa"/>
            <w:tcBorders>
              <w:bottom w:val="single" w:sz="6" w:space="0" w:color="auto"/>
            </w:tcBorders>
          </w:tcPr>
          <w:p w:rsidR="003F27C6" w:rsidRPr="002057E5" w:rsidRDefault="003F27C6">
            <w:pPr>
              <w:pStyle w:val="TabellRubrik0"/>
              <w:jc w:val="right"/>
              <w:rPr>
                <w:rFonts w:ascii="Times New Roman" w:hAnsi="Times New Roman"/>
                <w:color w:val="auto"/>
              </w:rPr>
            </w:pPr>
          </w:p>
        </w:tc>
        <w:tc>
          <w:tcPr>
            <w:tcW w:w="1985" w:type="dxa"/>
            <w:tcBorders>
              <w:bottom w:val="single" w:sz="6" w:space="0" w:color="auto"/>
            </w:tcBorders>
          </w:tcPr>
          <w:p w:rsidR="003F27C6" w:rsidRPr="002057E5" w:rsidRDefault="003F27C6">
            <w:pPr>
              <w:pStyle w:val="TabellRubrik0"/>
              <w:rPr>
                <w:rFonts w:ascii="Times New Roman" w:hAnsi="Times New Roman"/>
                <w:color w:val="auto"/>
              </w:rPr>
            </w:pPr>
            <w:r w:rsidRPr="002057E5">
              <w:rPr>
                <w:rFonts w:ascii="Times New Roman" w:hAnsi="Times New Roman"/>
                <w:color w:val="auto"/>
              </w:rPr>
              <w:t>Rikets styrelse</w:t>
            </w:r>
          </w:p>
        </w:tc>
        <w:tc>
          <w:tcPr>
            <w:tcW w:w="1296" w:type="dxa"/>
            <w:tcBorders>
              <w:bottom w:val="single" w:sz="6" w:space="0" w:color="auto"/>
            </w:tcBorders>
          </w:tcPr>
          <w:p w:rsidR="003F27C6" w:rsidRPr="002057E5" w:rsidRDefault="003F27C6">
            <w:pPr>
              <w:pStyle w:val="TabellRubrik0"/>
              <w:jc w:val="right"/>
              <w:rPr>
                <w:rFonts w:ascii="Times New Roman" w:hAnsi="Times New Roman"/>
                <w:color w:val="auto"/>
              </w:rPr>
            </w:pPr>
            <w:r w:rsidRPr="002057E5">
              <w:rPr>
                <w:rFonts w:ascii="Times New Roman" w:hAnsi="Times New Roman"/>
                <w:color w:val="auto"/>
              </w:rPr>
              <w:t>7 674 618</w:t>
            </w:r>
          </w:p>
        </w:tc>
        <w:tc>
          <w:tcPr>
            <w:tcW w:w="1103" w:type="dxa"/>
            <w:tcBorders>
              <w:bottom w:val="single" w:sz="6" w:space="0" w:color="auto"/>
            </w:tcBorders>
          </w:tcPr>
          <w:p w:rsidR="003F27C6" w:rsidRPr="002057E5" w:rsidRDefault="003F27C6">
            <w:pPr>
              <w:pStyle w:val="TabellRubrik0"/>
              <w:jc w:val="right"/>
              <w:rPr>
                <w:rFonts w:ascii="Times New Roman" w:hAnsi="Times New Roman"/>
                <w:color w:val="auto"/>
              </w:rPr>
            </w:pPr>
            <w:r w:rsidRPr="002057E5">
              <w:rPr>
                <w:rFonts w:ascii="Times New Roman" w:hAnsi="Times New Roman"/>
                <w:color w:val="auto"/>
              </w:rPr>
              <w:t>14 229</w:t>
            </w:r>
          </w:p>
        </w:tc>
        <w:tc>
          <w:tcPr>
            <w:tcW w:w="1134" w:type="dxa"/>
            <w:tcBorders>
              <w:bottom w:val="single" w:sz="6" w:space="0" w:color="auto"/>
            </w:tcBorders>
          </w:tcPr>
          <w:p w:rsidR="003F27C6" w:rsidRPr="002057E5" w:rsidRDefault="003F27C6">
            <w:pPr>
              <w:pStyle w:val="TabellRubrik0"/>
              <w:jc w:val="right"/>
              <w:rPr>
                <w:rFonts w:ascii="Times New Roman" w:hAnsi="Times New Roman"/>
                <w:color w:val="auto"/>
              </w:rPr>
            </w:pPr>
            <w:r w:rsidRPr="002057E5">
              <w:rPr>
                <w:rFonts w:ascii="Times New Roman" w:hAnsi="Times New Roman"/>
                <w:color w:val="auto"/>
              </w:rPr>
              <w:t>7 688 847</w:t>
            </w:r>
          </w:p>
        </w:tc>
      </w:tr>
      <w:tr w:rsidR="00000000" w:rsidRPr="002057E5">
        <w:tblPrEx>
          <w:tblCellMar>
            <w:top w:w="0" w:type="dxa"/>
            <w:bottom w:w="0" w:type="dxa"/>
          </w:tblCellMar>
        </w:tblPrEx>
        <w:trPr>
          <w:trHeight w:val="378"/>
        </w:trPr>
        <w:tc>
          <w:tcPr>
            <w:tcW w:w="601" w:type="dxa"/>
            <w:tcBorders>
              <w:top w:val="single" w:sz="6" w:space="0" w:color="auto"/>
            </w:tcBorders>
            <w:vAlign w:val="bottom"/>
          </w:tcPr>
          <w:p w:rsidR="003F27C6" w:rsidRPr="002057E5" w:rsidRDefault="003F27C6">
            <w:pPr>
              <w:pStyle w:val="Tabelltext"/>
              <w:rPr>
                <w:rFonts w:eastAsia="Arial Unicode MS"/>
              </w:rPr>
            </w:pPr>
            <w:r w:rsidRPr="002057E5">
              <w:t>27:4</w:t>
            </w:r>
          </w:p>
        </w:tc>
        <w:tc>
          <w:tcPr>
            <w:tcW w:w="1985" w:type="dxa"/>
            <w:tcBorders>
              <w:top w:val="single" w:sz="6" w:space="0" w:color="auto"/>
            </w:tcBorders>
            <w:vAlign w:val="bottom"/>
          </w:tcPr>
          <w:p w:rsidR="003F27C6" w:rsidRPr="002057E5" w:rsidRDefault="003F27C6">
            <w:pPr>
              <w:pStyle w:val="Tabelltext"/>
              <w:rPr>
                <w:rFonts w:eastAsia="Arial Unicode MS"/>
              </w:rPr>
            </w:pPr>
            <w:r w:rsidRPr="002057E5">
              <w:t>Radio- och TV-verket</w:t>
            </w:r>
          </w:p>
        </w:tc>
        <w:tc>
          <w:tcPr>
            <w:tcW w:w="1296" w:type="dxa"/>
            <w:tcBorders>
              <w:top w:val="single" w:sz="6" w:space="0" w:color="auto"/>
            </w:tcBorders>
            <w:vAlign w:val="bottom"/>
          </w:tcPr>
          <w:p w:rsidR="003F27C6" w:rsidRPr="002057E5" w:rsidRDefault="003F27C6">
            <w:pPr>
              <w:pStyle w:val="Tabelltextsiffror"/>
              <w:rPr>
                <w:rFonts w:eastAsia="Arial Unicode MS"/>
              </w:rPr>
            </w:pPr>
            <w:r w:rsidRPr="002057E5">
              <w:rPr>
                <w:rFonts w:eastAsia="Arial Unicode MS"/>
              </w:rPr>
              <w:t>11 676</w:t>
            </w:r>
          </w:p>
        </w:tc>
        <w:tc>
          <w:tcPr>
            <w:tcW w:w="1103" w:type="dxa"/>
            <w:tcBorders>
              <w:top w:val="single" w:sz="6" w:space="0" w:color="auto"/>
            </w:tcBorders>
            <w:vAlign w:val="bottom"/>
          </w:tcPr>
          <w:p w:rsidR="003F27C6" w:rsidRPr="002057E5" w:rsidRDefault="003F27C6">
            <w:pPr>
              <w:pStyle w:val="Tabelltextsiffror"/>
              <w:rPr>
                <w:rFonts w:eastAsia="Arial Unicode MS"/>
              </w:rPr>
            </w:pPr>
            <w:r w:rsidRPr="002057E5">
              <w:t>700</w:t>
            </w:r>
          </w:p>
        </w:tc>
        <w:tc>
          <w:tcPr>
            <w:tcW w:w="1134" w:type="dxa"/>
            <w:tcBorders>
              <w:top w:val="single" w:sz="6" w:space="0" w:color="auto"/>
            </w:tcBorders>
          </w:tcPr>
          <w:p w:rsidR="003F27C6" w:rsidRPr="002057E5" w:rsidRDefault="003F27C6">
            <w:pPr>
              <w:pStyle w:val="Tabelltextsiffror"/>
            </w:pPr>
          </w:p>
          <w:p w:rsidR="003F27C6" w:rsidRPr="002057E5" w:rsidRDefault="003F27C6">
            <w:pPr>
              <w:pStyle w:val="Tabelltextsiffror"/>
            </w:pPr>
            <w:r w:rsidRPr="002057E5">
              <w:t>12 376</w:t>
            </w:r>
          </w:p>
        </w:tc>
      </w:tr>
      <w:tr w:rsidR="00000000" w:rsidRPr="002057E5">
        <w:tblPrEx>
          <w:tblCellMar>
            <w:top w:w="0" w:type="dxa"/>
            <w:bottom w:w="0" w:type="dxa"/>
          </w:tblCellMar>
        </w:tblPrEx>
        <w:trPr>
          <w:trHeight w:val="398"/>
        </w:trPr>
        <w:tc>
          <w:tcPr>
            <w:tcW w:w="601" w:type="dxa"/>
            <w:tcBorders>
              <w:top w:val="single" w:sz="6" w:space="0" w:color="auto"/>
            </w:tcBorders>
            <w:vAlign w:val="bottom"/>
          </w:tcPr>
          <w:p w:rsidR="003F27C6" w:rsidRPr="002057E5" w:rsidRDefault="003F27C6">
            <w:pPr>
              <w:pStyle w:val="Tabelltext"/>
              <w:rPr>
                <w:rFonts w:eastAsia="Arial Unicode MS"/>
              </w:rPr>
            </w:pPr>
            <w:r w:rsidRPr="002057E5">
              <w:t>90:1</w:t>
            </w:r>
          </w:p>
        </w:tc>
        <w:tc>
          <w:tcPr>
            <w:tcW w:w="1985" w:type="dxa"/>
            <w:tcBorders>
              <w:top w:val="single" w:sz="6" w:space="0" w:color="auto"/>
            </w:tcBorders>
            <w:vAlign w:val="bottom"/>
          </w:tcPr>
          <w:p w:rsidR="003F27C6" w:rsidRPr="002057E5" w:rsidRDefault="003F27C6">
            <w:pPr>
              <w:pStyle w:val="Tabelltext"/>
              <w:rPr>
                <w:rFonts w:eastAsia="Arial Unicode MS"/>
              </w:rPr>
            </w:pPr>
            <w:r w:rsidRPr="002057E5">
              <w:t>Kungliga hov- och slott</w:t>
            </w:r>
            <w:r w:rsidRPr="002057E5">
              <w:t>s</w:t>
            </w:r>
            <w:r w:rsidRPr="002057E5">
              <w:t>staten</w:t>
            </w:r>
          </w:p>
        </w:tc>
        <w:tc>
          <w:tcPr>
            <w:tcW w:w="1296" w:type="dxa"/>
            <w:tcBorders>
              <w:top w:val="single" w:sz="6" w:space="0" w:color="auto"/>
            </w:tcBorders>
            <w:vAlign w:val="bottom"/>
          </w:tcPr>
          <w:p w:rsidR="003F27C6" w:rsidRPr="002057E5" w:rsidRDefault="003F27C6">
            <w:pPr>
              <w:pStyle w:val="Tabelltextsiffror"/>
              <w:rPr>
                <w:rFonts w:eastAsia="Arial Unicode MS"/>
              </w:rPr>
            </w:pPr>
            <w:r w:rsidRPr="002057E5">
              <w:rPr>
                <w:rFonts w:eastAsia="Arial Unicode MS"/>
              </w:rPr>
              <w:t>87 597</w:t>
            </w:r>
          </w:p>
        </w:tc>
        <w:tc>
          <w:tcPr>
            <w:tcW w:w="1103" w:type="dxa"/>
            <w:tcBorders>
              <w:top w:val="single" w:sz="6" w:space="0" w:color="auto"/>
            </w:tcBorders>
            <w:vAlign w:val="bottom"/>
          </w:tcPr>
          <w:p w:rsidR="003F27C6" w:rsidRPr="002057E5" w:rsidRDefault="003F27C6">
            <w:pPr>
              <w:pStyle w:val="Tabelltextsiffror"/>
              <w:rPr>
                <w:rFonts w:eastAsia="Arial Unicode MS"/>
              </w:rPr>
            </w:pPr>
            <w:r w:rsidRPr="002057E5">
              <w:t>4 000</w:t>
            </w:r>
          </w:p>
        </w:tc>
        <w:tc>
          <w:tcPr>
            <w:tcW w:w="1134" w:type="dxa"/>
            <w:tcBorders>
              <w:top w:val="single" w:sz="6" w:space="0" w:color="auto"/>
            </w:tcBorders>
          </w:tcPr>
          <w:p w:rsidR="003F27C6" w:rsidRPr="002057E5" w:rsidRDefault="003F27C6">
            <w:pPr>
              <w:pStyle w:val="Tabelltextsiffror"/>
            </w:pPr>
          </w:p>
          <w:p w:rsidR="003F27C6" w:rsidRPr="002057E5" w:rsidRDefault="003F27C6">
            <w:pPr>
              <w:pStyle w:val="Tabelltextsiffror"/>
            </w:pPr>
            <w:r w:rsidRPr="002057E5">
              <w:t>91 597</w:t>
            </w:r>
          </w:p>
        </w:tc>
      </w:tr>
      <w:tr w:rsidR="00000000" w:rsidRPr="002057E5">
        <w:tblPrEx>
          <w:tblCellMar>
            <w:top w:w="0" w:type="dxa"/>
            <w:bottom w:w="0" w:type="dxa"/>
          </w:tblCellMar>
        </w:tblPrEx>
        <w:trPr>
          <w:trHeight w:val="261"/>
        </w:trPr>
        <w:tc>
          <w:tcPr>
            <w:tcW w:w="601" w:type="dxa"/>
            <w:tcBorders>
              <w:top w:val="single" w:sz="6" w:space="0" w:color="auto"/>
            </w:tcBorders>
            <w:vAlign w:val="bottom"/>
          </w:tcPr>
          <w:p w:rsidR="003F27C6" w:rsidRPr="002057E5" w:rsidRDefault="003F27C6">
            <w:pPr>
              <w:pStyle w:val="Tabelltext"/>
              <w:rPr>
                <w:rFonts w:eastAsia="Arial Unicode MS"/>
              </w:rPr>
            </w:pPr>
            <w:r w:rsidRPr="002057E5">
              <w:t>90:2</w:t>
            </w:r>
          </w:p>
        </w:tc>
        <w:tc>
          <w:tcPr>
            <w:tcW w:w="1985" w:type="dxa"/>
            <w:tcBorders>
              <w:top w:val="single" w:sz="6" w:space="0" w:color="auto"/>
            </w:tcBorders>
            <w:vAlign w:val="bottom"/>
          </w:tcPr>
          <w:p w:rsidR="003F27C6" w:rsidRPr="002057E5" w:rsidRDefault="003F27C6">
            <w:pPr>
              <w:pStyle w:val="Tabelltext"/>
              <w:rPr>
                <w:rFonts w:eastAsia="Arial Unicode MS"/>
              </w:rPr>
            </w:pPr>
            <w:r w:rsidRPr="002057E5">
              <w:t>Riksdagens ledamöter och partier m.m.</w:t>
            </w:r>
          </w:p>
        </w:tc>
        <w:tc>
          <w:tcPr>
            <w:tcW w:w="1296" w:type="dxa"/>
            <w:tcBorders>
              <w:top w:val="single" w:sz="6" w:space="0" w:color="auto"/>
            </w:tcBorders>
            <w:vAlign w:val="bottom"/>
          </w:tcPr>
          <w:p w:rsidR="003F27C6" w:rsidRPr="002057E5" w:rsidRDefault="003F27C6">
            <w:pPr>
              <w:pStyle w:val="Tabelltextsiffror"/>
              <w:rPr>
                <w:rFonts w:eastAsia="Arial Unicode MS"/>
              </w:rPr>
            </w:pPr>
            <w:r w:rsidRPr="002057E5">
              <w:rPr>
                <w:rFonts w:eastAsia="Arial Unicode MS"/>
              </w:rPr>
              <w:t>603 008</w:t>
            </w:r>
          </w:p>
        </w:tc>
        <w:tc>
          <w:tcPr>
            <w:tcW w:w="1103" w:type="dxa"/>
            <w:tcBorders>
              <w:top w:val="single" w:sz="6" w:space="0" w:color="auto"/>
            </w:tcBorders>
            <w:vAlign w:val="bottom"/>
          </w:tcPr>
          <w:p w:rsidR="003F27C6" w:rsidRPr="002057E5" w:rsidRDefault="003F27C6">
            <w:pPr>
              <w:pStyle w:val="Tabelltextsiffror"/>
              <w:rPr>
                <w:rFonts w:eastAsia="Arial Unicode MS"/>
              </w:rPr>
            </w:pPr>
            <w:r w:rsidRPr="002057E5">
              <w:t>16 550</w:t>
            </w:r>
          </w:p>
        </w:tc>
        <w:tc>
          <w:tcPr>
            <w:tcW w:w="1134" w:type="dxa"/>
            <w:tcBorders>
              <w:top w:val="single" w:sz="6" w:space="0" w:color="auto"/>
            </w:tcBorders>
          </w:tcPr>
          <w:p w:rsidR="003F27C6" w:rsidRPr="002057E5" w:rsidRDefault="003F27C6">
            <w:pPr>
              <w:pStyle w:val="Tabelltextsiffror"/>
            </w:pPr>
            <w:r w:rsidRPr="002057E5">
              <w:t xml:space="preserve">     </w:t>
            </w:r>
          </w:p>
          <w:p w:rsidR="003F27C6" w:rsidRPr="002057E5" w:rsidRDefault="003F27C6">
            <w:pPr>
              <w:pStyle w:val="Tabelltextsiffror"/>
            </w:pPr>
            <w:r w:rsidRPr="002057E5">
              <w:t>619 558</w:t>
            </w:r>
          </w:p>
        </w:tc>
      </w:tr>
      <w:tr w:rsidR="00000000" w:rsidRPr="002057E5">
        <w:tblPrEx>
          <w:tblCellMar>
            <w:top w:w="0" w:type="dxa"/>
            <w:bottom w:w="0" w:type="dxa"/>
          </w:tblCellMar>
        </w:tblPrEx>
        <w:tc>
          <w:tcPr>
            <w:tcW w:w="601" w:type="dxa"/>
            <w:tcBorders>
              <w:top w:val="single" w:sz="6" w:space="0" w:color="auto"/>
            </w:tcBorders>
            <w:vAlign w:val="bottom"/>
          </w:tcPr>
          <w:p w:rsidR="003F27C6" w:rsidRPr="002057E5" w:rsidRDefault="003F27C6">
            <w:pPr>
              <w:pStyle w:val="Tabelltext"/>
              <w:rPr>
                <w:rFonts w:eastAsia="Arial Unicode MS"/>
              </w:rPr>
            </w:pPr>
            <w:r w:rsidRPr="002057E5">
              <w:t>90:4</w:t>
            </w:r>
          </w:p>
        </w:tc>
        <w:tc>
          <w:tcPr>
            <w:tcW w:w="1985" w:type="dxa"/>
            <w:tcBorders>
              <w:top w:val="single" w:sz="6" w:space="0" w:color="auto"/>
            </w:tcBorders>
            <w:vAlign w:val="bottom"/>
          </w:tcPr>
          <w:p w:rsidR="003F27C6" w:rsidRPr="002057E5" w:rsidRDefault="003F27C6">
            <w:pPr>
              <w:pStyle w:val="Tabelltext"/>
              <w:rPr>
                <w:rFonts w:eastAsia="Arial Unicode MS"/>
              </w:rPr>
            </w:pPr>
            <w:r w:rsidRPr="002057E5">
              <w:t>Riksdagens ombudsmän, justitieo</w:t>
            </w:r>
            <w:r w:rsidRPr="002057E5">
              <w:t>m</w:t>
            </w:r>
            <w:r w:rsidRPr="002057E5">
              <w:t>budsmännen</w:t>
            </w:r>
          </w:p>
        </w:tc>
        <w:tc>
          <w:tcPr>
            <w:tcW w:w="1296" w:type="dxa"/>
            <w:tcBorders>
              <w:top w:val="single" w:sz="6" w:space="0" w:color="auto"/>
            </w:tcBorders>
            <w:vAlign w:val="bottom"/>
          </w:tcPr>
          <w:p w:rsidR="003F27C6" w:rsidRPr="002057E5" w:rsidRDefault="003F27C6">
            <w:pPr>
              <w:pStyle w:val="Tabelltextsiffror"/>
              <w:rPr>
                <w:rFonts w:eastAsia="Arial Unicode MS"/>
              </w:rPr>
            </w:pPr>
            <w:r w:rsidRPr="002057E5">
              <w:rPr>
                <w:rFonts w:eastAsia="Arial Unicode MS"/>
              </w:rPr>
              <w:t>56 426</w:t>
            </w:r>
          </w:p>
        </w:tc>
        <w:tc>
          <w:tcPr>
            <w:tcW w:w="1103" w:type="dxa"/>
            <w:tcBorders>
              <w:top w:val="single" w:sz="6" w:space="0" w:color="auto"/>
            </w:tcBorders>
            <w:vAlign w:val="bottom"/>
          </w:tcPr>
          <w:p w:rsidR="003F27C6" w:rsidRPr="002057E5" w:rsidRDefault="003F27C6">
            <w:pPr>
              <w:pStyle w:val="Tabelltextsiffror"/>
              <w:rPr>
                <w:rFonts w:eastAsia="Arial Unicode MS"/>
              </w:rPr>
            </w:pPr>
            <w:r w:rsidRPr="002057E5">
              <w:t>2 500</w:t>
            </w:r>
          </w:p>
        </w:tc>
        <w:tc>
          <w:tcPr>
            <w:tcW w:w="1134" w:type="dxa"/>
            <w:tcBorders>
              <w:top w:val="single" w:sz="6" w:space="0" w:color="auto"/>
            </w:tcBorders>
          </w:tcPr>
          <w:p w:rsidR="003F27C6" w:rsidRPr="002057E5" w:rsidRDefault="003F27C6">
            <w:pPr>
              <w:pStyle w:val="Tabelltextsiffror"/>
            </w:pPr>
          </w:p>
          <w:p w:rsidR="003F27C6" w:rsidRPr="002057E5" w:rsidRDefault="003F27C6">
            <w:pPr>
              <w:pStyle w:val="Tabelltextsiffror"/>
            </w:pPr>
            <w:r w:rsidRPr="002057E5">
              <w:t xml:space="preserve">       58 926</w:t>
            </w:r>
          </w:p>
        </w:tc>
      </w:tr>
      <w:tr w:rsidR="00000000" w:rsidRPr="002057E5">
        <w:tblPrEx>
          <w:tblCellMar>
            <w:top w:w="0" w:type="dxa"/>
            <w:bottom w:w="0" w:type="dxa"/>
          </w:tblCellMar>
        </w:tblPrEx>
        <w:tc>
          <w:tcPr>
            <w:tcW w:w="601" w:type="dxa"/>
            <w:tcBorders>
              <w:top w:val="single" w:sz="6" w:space="0" w:color="auto"/>
              <w:bottom w:val="single" w:sz="6" w:space="0" w:color="auto"/>
            </w:tcBorders>
            <w:vAlign w:val="bottom"/>
          </w:tcPr>
          <w:p w:rsidR="003F27C6" w:rsidRPr="002057E5" w:rsidRDefault="003F27C6">
            <w:pPr>
              <w:pStyle w:val="Tabelltext"/>
              <w:rPr>
                <w:rFonts w:eastAsia="Arial Unicode MS"/>
              </w:rPr>
            </w:pPr>
            <w:r w:rsidRPr="002057E5">
              <w:t>90:5</w:t>
            </w:r>
          </w:p>
        </w:tc>
        <w:tc>
          <w:tcPr>
            <w:tcW w:w="1985" w:type="dxa"/>
            <w:tcBorders>
              <w:top w:val="single" w:sz="6" w:space="0" w:color="auto"/>
              <w:bottom w:val="single" w:sz="6" w:space="0" w:color="auto"/>
            </w:tcBorders>
            <w:vAlign w:val="bottom"/>
          </w:tcPr>
          <w:p w:rsidR="003F27C6" w:rsidRPr="002057E5" w:rsidRDefault="003F27C6">
            <w:pPr>
              <w:pStyle w:val="Tabelltext"/>
              <w:rPr>
                <w:rFonts w:eastAsia="Arial Unicode MS"/>
              </w:rPr>
            </w:pPr>
            <w:r w:rsidRPr="002057E5">
              <w:t xml:space="preserve">Regeringskansliet m.m. </w:t>
            </w:r>
          </w:p>
        </w:tc>
        <w:tc>
          <w:tcPr>
            <w:tcW w:w="1296" w:type="dxa"/>
            <w:tcBorders>
              <w:top w:val="single" w:sz="6" w:space="0" w:color="auto"/>
              <w:bottom w:val="single" w:sz="6" w:space="0" w:color="auto"/>
            </w:tcBorders>
          </w:tcPr>
          <w:p w:rsidR="003F27C6" w:rsidRPr="002057E5" w:rsidRDefault="003F27C6">
            <w:pPr>
              <w:pStyle w:val="Tabelltextsiffror"/>
            </w:pPr>
            <w:r w:rsidRPr="002057E5">
              <w:t>5 180 433</w:t>
            </w:r>
          </w:p>
        </w:tc>
        <w:tc>
          <w:tcPr>
            <w:tcW w:w="1103" w:type="dxa"/>
            <w:tcBorders>
              <w:top w:val="single" w:sz="6" w:space="0" w:color="auto"/>
              <w:bottom w:val="single" w:sz="6" w:space="0" w:color="auto"/>
            </w:tcBorders>
          </w:tcPr>
          <w:p w:rsidR="003F27C6" w:rsidRPr="002057E5" w:rsidRDefault="003F27C6">
            <w:pPr>
              <w:pStyle w:val="Tabelltextsiffror"/>
            </w:pPr>
            <w:r w:rsidRPr="002057E5">
              <w:t>-10 221</w:t>
            </w:r>
          </w:p>
        </w:tc>
        <w:tc>
          <w:tcPr>
            <w:tcW w:w="1134" w:type="dxa"/>
            <w:tcBorders>
              <w:top w:val="single" w:sz="6" w:space="0" w:color="auto"/>
              <w:bottom w:val="single" w:sz="4" w:space="0" w:color="auto"/>
            </w:tcBorders>
          </w:tcPr>
          <w:p w:rsidR="003F27C6" w:rsidRPr="002057E5" w:rsidRDefault="003F27C6">
            <w:pPr>
              <w:pStyle w:val="Tabelltextsiffror"/>
            </w:pPr>
            <w:r w:rsidRPr="002057E5">
              <w:t>5 170 212</w:t>
            </w:r>
          </w:p>
        </w:tc>
      </w:tr>
      <w:tr w:rsidR="00000000" w:rsidRPr="002057E5">
        <w:tblPrEx>
          <w:tblCellMar>
            <w:top w:w="0" w:type="dxa"/>
            <w:bottom w:w="0" w:type="dxa"/>
          </w:tblCellMar>
        </w:tblPrEx>
        <w:trPr>
          <w:trHeight w:val="592"/>
        </w:trPr>
        <w:tc>
          <w:tcPr>
            <w:tcW w:w="601" w:type="dxa"/>
            <w:tcBorders>
              <w:top w:val="single" w:sz="6" w:space="0" w:color="auto"/>
              <w:bottom w:val="single" w:sz="4" w:space="0" w:color="auto"/>
            </w:tcBorders>
          </w:tcPr>
          <w:p w:rsidR="003F27C6" w:rsidRPr="002057E5" w:rsidRDefault="003F27C6">
            <w:pPr>
              <w:pStyle w:val="Tabelltext"/>
            </w:pPr>
            <w:r w:rsidRPr="002057E5">
              <w:t>90:7</w:t>
            </w:r>
          </w:p>
        </w:tc>
        <w:tc>
          <w:tcPr>
            <w:tcW w:w="1985" w:type="dxa"/>
            <w:tcBorders>
              <w:top w:val="single" w:sz="6" w:space="0" w:color="auto"/>
              <w:bottom w:val="single" w:sz="4" w:space="0" w:color="auto"/>
            </w:tcBorders>
          </w:tcPr>
          <w:p w:rsidR="003F27C6" w:rsidRPr="002057E5" w:rsidRDefault="003F27C6">
            <w:pPr>
              <w:pStyle w:val="Tabelltext"/>
            </w:pPr>
            <w:r w:rsidRPr="002057E5">
              <w:t>Expertgruppen för EU-frågor</w:t>
            </w:r>
          </w:p>
        </w:tc>
        <w:tc>
          <w:tcPr>
            <w:tcW w:w="1296" w:type="dxa"/>
            <w:tcBorders>
              <w:top w:val="single" w:sz="6" w:space="0" w:color="auto"/>
              <w:bottom w:val="single" w:sz="4" w:space="0" w:color="auto"/>
            </w:tcBorders>
          </w:tcPr>
          <w:p w:rsidR="003F27C6" w:rsidRPr="002057E5" w:rsidRDefault="003F27C6">
            <w:pPr>
              <w:pStyle w:val="Tabelltextsiffror"/>
            </w:pPr>
            <w:r w:rsidRPr="002057E5">
              <w:t>9 179</w:t>
            </w:r>
          </w:p>
        </w:tc>
        <w:tc>
          <w:tcPr>
            <w:tcW w:w="1103" w:type="dxa"/>
            <w:tcBorders>
              <w:top w:val="single" w:sz="6" w:space="0" w:color="auto"/>
              <w:bottom w:val="single" w:sz="4" w:space="0" w:color="auto"/>
            </w:tcBorders>
          </w:tcPr>
          <w:p w:rsidR="003F27C6" w:rsidRPr="002057E5" w:rsidRDefault="003F27C6">
            <w:pPr>
              <w:pStyle w:val="Tabelltextsiffror"/>
            </w:pPr>
            <w:r w:rsidRPr="002057E5">
              <w:t>700</w:t>
            </w:r>
          </w:p>
        </w:tc>
        <w:tc>
          <w:tcPr>
            <w:tcW w:w="1134" w:type="dxa"/>
            <w:tcBorders>
              <w:top w:val="single" w:sz="4" w:space="0" w:color="auto"/>
              <w:bottom w:val="single" w:sz="4" w:space="0" w:color="auto"/>
            </w:tcBorders>
          </w:tcPr>
          <w:p w:rsidR="003F27C6" w:rsidRPr="002057E5" w:rsidRDefault="003F27C6">
            <w:pPr>
              <w:pStyle w:val="Tabelltextsiffror"/>
            </w:pPr>
            <w:r w:rsidRPr="002057E5">
              <w:t>9 879</w:t>
            </w:r>
          </w:p>
        </w:tc>
      </w:tr>
    </w:tbl>
    <w:p w:rsidR="003F27C6" w:rsidRPr="002057E5" w:rsidRDefault="003F27C6">
      <w:pPr>
        <w:pStyle w:val="Rubrik3"/>
        <w:spacing w:before="110"/>
        <w:rPr>
          <w:noProof w:val="0"/>
        </w:rPr>
      </w:pPr>
      <w:bookmarkStart w:id="6" w:name="_Toc41187400"/>
      <w:r w:rsidRPr="002057E5">
        <w:rPr>
          <w:noProof w:val="0"/>
        </w:rPr>
        <w:lastRenderedPageBreak/>
        <w:t>Förbättrad kapitalstruktur</w:t>
      </w:r>
      <w:bookmarkEnd w:id="6"/>
    </w:p>
    <w:p w:rsidR="003F27C6" w:rsidRPr="002057E5" w:rsidRDefault="003F27C6">
      <w:r w:rsidRPr="002057E5">
        <w:t>I propositionen föreslås (yrkande 37) att 3 miljarder kronor genom extra utdelningar tillförs ett särskilt konto i Riksgäldskontoret för att senare anvä</w:t>
      </w:r>
      <w:r w:rsidRPr="002057E5">
        <w:t>n</w:t>
      </w:r>
      <w:r w:rsidRPr="002057E5">
        <w:t>das till insatser i hel- och delägda aktiebolag. Riksdagens godkännande för en kapitalinsats skall inhämtas, men i undantagsfall, där beslut inte kan vänta, bemyndigas regeringen avseende mindre belopp att utan dröjsmål göra nö</w:t>
      </w:r>
      <w:r w:rsidRPr="002057E5">
        <w:t>d</w:t>
      </w:r>
      <w:r w:rsidRPr="002057E5">
        <w:t>vändiga kapitalinsatser. I dessa fall skall riksdagens medgivande inhämtas i efterhand.</w:t>
      </w:r>
    </w:p>
    <w:p w:rsidR="003F27C6" w:rsidRPr="002057E5" w:rsidRDefault="003F27C6">
      <w:pPr>
        <w:pStyle w:val="Rubrik2"/>
        <w:spacing w:before="375"/>
      </w:pPr>
      <w:bookmarkStart w:id="7" w:name="_Toc41187401"/>
      <w:r w:rsidRPr="002057E5">
        <w:t>Motionerna</w:t>
      </w:r>
      <w:bookmarkEnd w:id="7"/>
    </w:p>
    <w:p w:rsidR="003F27C6" w:rsidRPr="002057E5" w:rsidRDefault="003F27C6">
      <w:pPr>
        <w:pStyle w:val="Rubrik3"/>
        <w:spacing w:before="110"/>
        <w:rPr>
          <w:noProof w:val="0"/>
        </w:rPr>
      </w:pPr>
      <w:bookmarkStart w:id="8" w:name="_Toc41187402"/>
      <w:r w:rsidRPr="002057E5">
        <w:rPr>
          <w:noProof w:val="0"/>
        </w:rPr>
        <w:t>Ändrade anslag för utgiftsområde 1 Rikets styrelse</w:t>
      </w:r>
      <w:bookmarkEnd w:id="8"/>
    </w:p>
    <w:p w:rsidR="003F27C6" w:rsidRPr="002057E5" w:rsidRDefault="003F27C6">
      <w:pPr>
        <w:pStyle w:val="Brdtext"/>
      </w:pPr>
      <w:r w:rsidRPr="002057E5">
        <w:t>I motion Fi17 av Maud Olofsson m.fl. (c) föreslås att anslaget till Regering</w:t>
      </w:r>
      <w:r w:rsidRPr="002057E5">
        <w:t>s</w:t>
      </w:r>
      <w:r w:rsidRPr="002057E5">
        <w:t>kansliet minskas med 150 miljoner kronor. Skälet är att utgifterna har ökat mer än vad som är motiverat (yrkande 12 delvis).</w:t>
      </w:r>
    </w:p>
    <w:p w:rsidR="003F27C6" w:rsidRPr="002057E5" w:rsidRDefault="003F27C6">
      <w:pPr>
        <w:pStyle w:val="Rubrik3"/>
        <w:rPr>
          <w:noProof w:val="0"/>
        </w:rPr>
      </w:pPr>
      <w:bookmarkStart w:id="9" w:name="_Toc41187403"/>
      <w:r w:rsidRPr="002057E5">
        <w:rPr>
          <w:noProof w:val="0"/>
        </w:rPr>
        <w:t>Förbättrad kapitalstruktur</w:t>
      </w:r>
      <w:bookmarkEnd w:id="9"/>
    </w:p>
    <w:p w:rsidR="003F27C6" w:rsidRPr="002057E5" w:rsidRDefault="003F27C6">
      <w:r w:rsidRPr="002057E5">
        <w:t>I motion Fi17 av Maud Olofsson m.fl. (c) föreslås att regeringens förslag om att flytta medel mellan statliga bolag utanför statsbudgeten inte godkänns. Motionärerna menar att det är ett försök från regeringen att undkomma bu</w:t>
      </w:r>
      <w:r w:rsidRPr="002057E5">
        <w:t>d</w:t>
      </w:r>
      <w:r w:rsidRPr="002057E5">
        <w:t>getrestriktionerna (yrkande 11).</w:t>
      </w:r>
    </w:p>
    <w:p w:rsidR="003F27C6" w:rsidRPr="002057E5" w:rsidRDefault="003F27C6">
      <w:r w:rsidRPr="002057E5">
        <w:t>I motion Fi18 av Fredrik Reinfeldt m.fl. (m) föreslås att riksdagen inte go</w:t>
      </w:r>
      <w:r w:rsidRPr="002057E5">
        <w:t>d</w:t>
      </w:r>
      <w:r w:rsidRPr="002057E5">
        <w:t>känner regeringens förslag om förändrad kapitalstruktur. Motionärerna mo</w:t>
      </w:r>
      <w:r w:rsidRPr="002057E5">
        <w:t>t</w:t>
      </w:r>
      <w:r w:rsidRPr="002057E5">
        <w:t>sätter sig förslaget av flera skäl. För det första är förslaget demokratiskt tv</w:t>
      </w:r>
      <w:r w:rsidRPr="002057E5">
        <w:t>i</w:t>
      </w:r>
      <w:r w:rsidRPr="002057E5">
        <w:t>velaktigt. Regeringen menar att den nuvarande ordningen, dvs. att riksdagen inom ramen för den ordinarie budgetprocessen beslutar om i vilken utsträc</w:t>
      </w:r>
      <w:r w:rsidRPr="002057E5">
        <w:t>k</w:t>
      </w:r>
      <w:r w:rsidRPr="002057E5">
        <w:t>ning skattebetalarnas pengar skall användas för kapitaltillskott i statligt hel- och delägda aktiebolag, ”begränsar ägarens handlingsmöjligheter på ett olämpligt sätt”. Det är inte sant, menar motionärerna. Ä</w:t>
      </w:r>
      <w:r w:rsidRPr="002057E5">
        <w:t>garens, dvs. medbo</w:t>
      </w:r>
      <w:r w:rsidRPr="002057E5">
        <w:t>r</w:t>
      </w:r>
      <w:r w:rsidRPr="002057E5">
        <w:t>garnas, företrädare, dvs. riksdagen, har fullständig handlingsfrihet. Däremot begränsas regeringens handlingsfrihet, vilket är avsikten med den gällande ordningen. Motionärerna anser att det ur demokratisk synvinkel är angeläget att de</w:t>
      </w:r>
      <w:r w:rsidRPr="002057E5">
        <w:t>n</w:t>
      </w:r>
      <w:r w:rsidRPr="002057E5">
        <w:t>na ordning består.</w:t>
      </w:r>
    </w:p>
    <w:p w:rsidR="003F27C6" w:rsidRPr="002057E5" w:rsidRDefault="003F27C6">
      <w:pPr>
        <w:pStyle w:val="Normaltindrag"/>
      </w:pPr>
      <w:r w:rsidRPr="002057E5">
        <w:t>För det andra riskerar förslaget att skada de företag som skall tvingas till en extra utdelning av kapital. Det framgår inte på vilken grund regeringens ”uppskattning” att en engångsutdelning om 3 miljarder kronor kan genomf</w:t>
      </w:r>
      <w:r w:rsidRPr="002057E5">
        <w:t>ö</w:t>
      </w:r>
      <w:r w:rsidRPr="002057E5">
        <w:t xml:space="preserve">ras vilar. Beloppet verkar godtyckligt valt, inte av omsorg om de företag som dräneras på kapital utan för att räcka till behoven i förlustbolagen. </w:t>
      </w:r>
    </w:p>
    <w:p w:rsidR="003F27C6" w:rsidRPr="002057E5" w:rsidRDefault="003F27C6">
      <w:pPr>
        <w:pStyle w:val="Normaltindrag"/>
      </w:pPr>
      <w:r w:rsidRPr="002057E5">
        <w:t>För det tredje kan den ordning regeringen föreslår leda till att konkurre</w:t>
      </w:r>
      <w:r w:rsidRPr="002057E5">
        <w:t>n</w:t>
      </w:r>
      <w:r w:rsidRPr="002057E5">
        <w:t xml:space="preserve">sen snedvrids på de marknader där statligt ägda företag verkar i konkurrens med privata företag. </w:t>
      </w:r>
    </w:p>
    <w:p w:rsidR="003F27C6" w:rsidRPr="002057E5" w:rsidRDefault="003F27C6">
      <w:r w:rsidRPr="002057E5">
        <w:br w:type="page"/>
        <w:t>I motion Fi23 av Mats Odell m.fl. (kd) föreslås att riksdagen som sin mening ger regeringen till känna att omfördelning av statliga tillgångar måste ske inom statsbudgeten (yrkande 3). Dessutom föreslås att riksdagen antar en lag om gemensamt omstruktureringskonto för statliga bolag i enlighet med de riktlinjer som anges i motionen (yrkande 4).</w:t>
      </w:r>
    </w:p>
    <w:p w:rsidR="003F27C6" w:rsidRPr="002057E5" w:rsidRDefault="003F27C6">
      <w:pPr>
        <w:pStyle w:val="Normaltindrag"/>
      </w:pPr>
      <w:r w:rsidRPr="002057E5">
        <w:t>Motionärerna anför att Kristdemokraterna tidigare har framhållit att bris</w:t>
      </w:r>
      <w:r w:rsidRPr="002057E5">
        <w:t>t</w:t>
      </w:r>
      <w:r w:rsidRPr="002057E5">
        <w:t>situationer i statligt ägda bolag bör avhjälpas antingen genom en omförde</w:t>
      </w:r>
      <w:r w:rsidRPr="002057E5">
        <w:t>l</w:t>
      </w:r>
      <w:r w:rsidRPr="002057E5">
        <w:t>ning av statliga tillgångar genom extrautdelningar eller försäljningar eller genom att privata investerare skjuter till kapital. Att regeringen nu presenterar en modell som bygger på kristdemokratiska förslag måste delvis hälsas med tillfredsställelse. Dock avviker regeringens förslag på en viktig och avgörande punkt från Kristdemokraternas linje. Partiet har alltid framhållit att denna typ av överf</w:t>
      </w:r>
      <w:r w:rsidRPr="002057E5">
        <w:t>ö</w:t>
      </w:r>
      <w:r w:rsidRPr="002057E5">
        <w:t>ringar av statliga tillgångar måst</w:t>
      </w:r>
      <w:r w:rsidRPr="002057E5">
        <w:t xml:space="preserve">e göras inom statsbudgeten. </w:t>
      </w:r>
    </w:p>
    <w:p w:rsidR="003F27C6" w:rsidRPr="002057E5" w:rsidRDefault="003F27C6">
      <w:pPr>
        <w:pStyle w:val="Normaltindrag"/>
      </w:pPr>
      <w:r w:rsidRPr="002057E5">
        <w:t>Lagen (1996:1059) om statsbudgeten ställer krav på att statsbudgeten skall omfatta alla inkomster och utgifter om inte inkomsterna i en verksamhet endast bidrar till att täcka verksamhetens utgifter (17 §) eller statens kostn</w:t>
      </w:r>
      <w:r w:rsidRPr="002057E5">
        <w:t>a</w:t>
      </w:r>
      <w:r w:rsidRPr="002057E5">
        <w:t>der helt skall täckas av verksamhetens intäkter (18 §). Ingen av de två sis</w:t>
      </w:r>
      <w:r w:rsidRPr="002057E5">
        <w:t>t</w:t>
      </w:r>
      <w:r w:rsidRPr="002057E5">
        <w:t>nämnda bestämmelserna torde vara tillämplig på den modell med konto i Riksgäldskontoret som regeringen nu föreslår. Därför skall inkomsterna red</w:t>
      </w:r>
      <w:r w:rsidRPr="002057E5">
        <w:t>o</w:t>
      </w:r>
      <w:r w:rsidRPr="002057E5">
        <w:t xml:space="preserve">visas under en inkomsttitel och insättningen på kontot hos Riksgäldskontoret, alternativt utbetalningen till berörda bolag, redovisas på anslag. </w:t>
      </w:r>
    </w:p>
    <w:p w:rsidR="003F27C6" w:rsidRPr="002057E5" w:rsidRDefault="003F27C6">
      <w:pPr>
        <w:pStyle w:val="Normaltindrag"/>
      </w:pPr>
      <w:r w:rsidRPr="002057E5">
        <w:t>Regeringens föreslagna modell bidrar till att ytterligare försvåra geno</w:t>
      </w:r>
      <w:r w:rsidRPr="002057E5">
        <w:t>m</w:t>
      </w:r>
      <w:r w:rsidRPr="002057E5">
        <w:t>lysningen av statsbudgeten och regeringens förvaltning av de statliga bolagen. Det är oroväckande att ett av motiven till förslaget är att riksdagens medve</w:t>
      </w:r>
      <w:r w:rsidRPr="002057E5">
        <w:t>r</w:t>
      </w:r>
      <w:r w:rsidRPr="002057E5">
        <w:t>kan i beslutsprocessen anses hämma statens förvaltning av bolagen till nac</w:t>
      </w:r>
      <w:r w:rsidRPr="002057E5">
        <w:t>k</w:t>
      </w:r>
      <w:r w:rsidRPr="002057E5">
        <w:t>del för bolagens utveckling och att regeringen därmed föreslås få möjlighet, även om det endast är i undantagsfall, att själv disponera medlen på kontot för att göra nödvändiga kapitalinsatser.</w:t>
      </w:r>
    </w:p>
    <w:p w:rsidR="003F27C6" w:rsidRPr="002057E5" w:rsidRDefault="003F27C6">
      <w:pPr>
        <w:pStyle w:val="Normaltindrag"/>
      </w:pPr>
      <w:r w:rsidRPr="002057E5">
        <w:t>Eftersom det även i framtiden kan finnas behov av att göra förändringar i kapitalstruk</w:t>
      </w:r>
      <w:r w:rsidRPr="002057E5">
        <w:t>turen i statliga företag kommer den modell som regeringen nu föreslår att få en permanent karaktär. För att öka öppenheten samt för att inordna modellen för förändringar i statliga bolags kapitalstruktur i statsbu</w:t>
      </w:r>
      <w:r w:rsidRPr="002057E5">
        <w:t>d</w:t>
      </w:r>
      <w:r w:rsidRPr="002057E5">
        <w:t>geten, bör riksdagen stifta en lag som avgränsar kontots användning och beskriver hur de medel som använts skall redovisas i statsbudgeten. En sådan lag bör tydligt avgränsa regeringens befogenhet att göra kapitalinsatser utan att i förväg ha inhämtat riksdagens godkännande. Det bör, anför motionä</w:t>
      </w:r>
      <w:r w:rsidRPr="002057E5">
        <w:t>re</w:t>
      </w:r>
      <w:r w:rsidRPr="002057E5">
        <w:t>r</w:t>
      </w:r>
      <w:r w:rsidRPr="002057E5">
        <w:t>na, ankomma på utskottet att utforma den exakta lydelsen. Motionen inn</w:t>
      </w:r>
      <w:r w:rsidRPr="002057E5">
        <w:t>e</w:t>
      </w:r>
      <w:r w:rsidRPr="002057E5">
        <w:t>håller ett lagförslag.</w:t>
      </w:r>
    </w:p>
    <w:p w:rsidR="003F27C6" w:rsidRPr="002057E5" w:rsidRDefault="003F27C6">
      <w:pPr>
        <w:pStyle w:val="Rubrik2"/>
      </w:pPr>
      <w:bookmarkStart w:id="10" w:name="_Toc41187404"/>
      <w:r w:rsidRPr="002057E5">
        <w:br w:type="page"/>
        <w:t>Utskottet</w:t>
      </w:r>
      <w:bookmarkEnd w:id="10"/>
    </w:p>
    <w:p w:rsidR="003F27C6" w:rsidRPr="002057E5" w:rsidRDefault="003F27C6">
      <w:pPr>
        <w:pStyle w:val="Rubrik3"/>
        <w:spacing w:before="110"/>
        <w:rPr>
          <w:noProof w:val="0"/>
        </w:rPr>
      </w:pPr>
      <w:bookmarkStart w:id="11" w:name="_Toc41187405"/>
      <w:r w:rsidRPr="002057E5">
        <w:rPr>
          <w:noProof w:val="0"/>
        </w:rPr>
        <w:t>Regeringsformen</w:t>
      </w:r>
      <w:bookmarkEnd w:id="11"/>
    </w:p>
    <w:p w:rsidR="003F27C6" w:rsidRPr="002057E5" w:rsidRDefault="003F27C6">
      <w:r w:rsidRPr="002057E5">
        <w:t xml:space="preserve">Regeringsformens bestämmelser om finansmakten är inte särskilt detaljerade. Av regeringsformen framgår emellertid att statens medel inte får användas på annat sätt än riksdagen har bestämt (9 kap. 2 § första stycket) och det sker främst genom budgetregleringen (9 kap. 2 § andra stycket). Tekniskt sett går det till på så sätt att riksdagen anvisar anslag till angivna ändamål </w:t>
      </w:r>
      <w:r w:rsidRPr="002057E5">
        <w:br/>
        <w:t>(9 kap. 3 §).</w:t>
      </w:r>
    </w:p>
    <w:p w:rsidR="003F27C6" w:rsidRPr="002057E5" w:rsidRDefault="003F27C6">
      <w:pPr>
        <w:pStyle w:val="Normaltindrag"/>
      </w:pPr>
      <w:r w:rsidRPr="002057E5">
        <w:t>Riksdagen får emellertid enligt 9 kap. 2 § andra stycket bestämma att statsmedel skall tas i anspråk i annan ordning än genom budgetreglering. Som illustration kan här nämnas s.k. specialdestination. I förarbetena till regering</w:t>
      </w:r>
      <w:r w:rsidRPr="002057E5">
        <w:t>s</w:t>
      </w:r>
      <w:r w:rsidRPr="002057E5">
        <w:t xml:space="preserve">formen skilde man mellan tre slag av specialdestination: </w:t>
      </w:r>
    </w:p>
    <w:p w:rsidR="003F27C6" w:rsidRPr="002057E5" w:rsidRDefault="003F27C6">
      <w:pPr>
        <w:pStyle w:val="Lista"/>
        <w:numPr>
          <w:ilvl w:val="0"/>
          <w:numId w:val="2"/>
        </w:numPr>
      </w:pPr>
      <w:r w:rsidRPr="002057E5">
        <w:t>Vid sidan om statsbudgeten (t.ex. ATP).</w:t>
      </w:r>
    </w:p>
    <w:p w:rsidR="003F27C6" w:rsidRPr="002057E5" w:rsidRDefault="003F27C6">
      <w:pPr>
        <w:pStyle w:val="Lista"/>
        <w:numPr>
          <w:ilvl w:val="0"/>
          <w:numId w:val="2"/>
        </w:numPr>
      </w:pPr>
      <w:r w:rsidRPr="002057E5">
        <w:t>I anslutning till statsbudgeten (t.ex. affärsverken).</w:t>
      </w:r>
    </w:p>
    <w:p w:rsidR="003F27C6" w:rsidRPr="002057E5" w:rsidRDefault="003F27C6">
      <w:pPr>
        <w:pStyle w:val="Lista"/>
        <w:numPr>
          <w:ilvl w:val="0"/>
          <w:numId w:val="2"/>
        </w:numPr>
      </w:pPr>
      <w:r w:rsidRPr="002057E5">
        <w:t>Inom statsbudgeten.</w:t>
      </w:r>
    </w:p>
    <w:p w:rsidR="003F27C6" w:rsidRPr="002057E5" w:rsidRDefault="003F27C6">
      <w:r w:rsidRPr="002057E5">
        <w:t>Den första formen av specialdestination sker helt utanför budgetregleringen. Den andra påverkar statsbudgeten på så sätt att t.ex. vinstmedel förs upp på inkomsttitel. Den tredje specialdestinationen sker helt inom ramen för stat</w:t>
      </w:r>
      <w:r w:rsidRPr="002057E5">
        <w:t>s</w:t>
      </w:r>
      <w:r w:rsidRPr="002057E5">
        <w:t>budgeten. Rik</w:t>
      </w:r>
      <w:r w:rsidRPr="002057E5">
        <w:t>s</w:t>
      </w:r>
      <w:r w:rsidRPr="002057E5">
        <w:t>dagen har samma formella inflytande över specialdesti</w:t>
      </w:r>
      <w:r w:rsidRPr="002057E5">
        <w:softHyphen/>
        <w:t>nationerna som över ansl</w:t>
      </w:r>
      <w:r w:rsidRPr="002057E5">
        <w:t>a</w:t>
      </w:r>
      <w:r w:rsidRPr="002057E5">
        <w:t>gen.</w:t>
      </w:r>
    </w:p>
    <w:p w:rsidR="003F27C6" w:rsidRPr="002057E5" w:rsidRDefault="003F27C6">
      <w:pPr>
        <w:pStyle w:val="Rubrik3"/>
        <w:rPr>
          <w:noProof w:val="0"/>
        </w:rPr>
      </w:pPr>
      <w:bookmarkStart w:id="12" w:name="_Toc41187406"/>
      <w:r w:rsidRPr="002057E5">
        <w:rPr>
          <w:noProof w:val="0"/>
        </w:rPr>
        <w:t>Lag om statsbudgeten (budgetlagen)</w:t>
      </w:r>
      <w:bookmarkEnd w:id="12"/>
      <w:r w:rsidRPr="002057E5">
        <w:rPr>
          <w:noProof w:val="0"/>
        </w:rPr>
        <w:t xml:space="preserve"> </w:t>
      </w:r>
    </w:p>
    <w:p w:rsidR="003F27C6" w:rsidRPr="002057E5" w:rsidRDefault="003F27C6">
      <w:r w:rsidRPr="002057E5">
        <w:t>Bruttoredovisningsprincipen innebär att statens inkomster och utgifter skall tas upp var för sig i statsbudgeten. Principen kommer till uttryck i budgetl</w:t>
      </w:r>
      <w:r w:rsidRPr="002057E5">
        <w:t>a</w:t>
      </w:r>
      <w:r w:rsidRPr="002057E5">
        <w:t>gen, bl.a. i 17 §, där det står att statens inkomster och utgifter skall budgeteras och redovisas brutto på statsbudgeten. Undantag från denna bestämmelse gäller om inkomsterna från en verksamhet endast bidrar till att täcka ver</w:t>
      </w:r>
      <w:r w:rsidRPr="002057E5">
        <w:t>k</w:t>
      </w:r>
      <w:r w:rsidRPr="002057E5">
        <w:t>samhetens kostnader (17 § första stycket) och om statens kostnader helt skall täckas med verksamhetens intäkter (18 §). Inkomsterna regleras också i 9 §, där begreppet definieras, och i 30 §, som säger att om riksdagen har beslutat om försäljning av egendom skall inkomsten redovisa</w:t>
      </w:r>
      <w:r w:rsidRPr="002057E5">
        <w:t>s mot en inkomsttitel på statsbudgeten, om inte riksdagen b</w:t>
      </w:r>
      <w:r w:rsidRPr="002057E5">
        <w:t>e</w:t>
      </w:r>
      <w:r w:rsidRPr="002057E5">
        <w:t xml:space="preserve">stämmer annat. </w:t>
      </w:r>
    </w:p>
    <w:p w:rsidR="003F27C6" w:rsidRPr="002057E5" w:rsidRDefault="003F27C6">
      <w:pPr>
        <w:pStyle w:val="Normaltindrag"/>
      </w:pPr>
      <w:r w:rsidRPr="002057E5">
        <w:t>En annan princip som regleras i budgetlagen är fullständighetsprincipen. Enligt 16 § skall regeringens förslag till statsbudget omfatta alla inkomster och utgifter med de undantag som nämns i föregående stycke.</w:t>
      </w:r>
    </w:p>
    <w:p w:rsidR="003F27C6" w:rsidRPr="002057E5" w:rsidRDefault="003F27C6">
      <w:pPr>
        <w:pStyle w:val="Rubrik3"/>
        <w:spacing w:before="860"/>
        <w:rPr>
          <w:noProof w:val="0"/>
        </w:rPr>
      </w:pPr>
      <w:bookmarkStart w:id="13" w:name="_Toc41187407"/>
      <w:r w:rsidRPr="002057E5">
        <w:rPr>
          <w:noProof w:val="0"/>
        </w:rPr>
        <w:br w:type="page"/>
        <w:t>Nuvarande ordning för budgetering och redovisning av inkomster från utdelningar samt utgifter för insatser i statliga bolag</w:t>
      </w:r>
      <w:bookmarkEnd w:id="13"/>
    </w:p>
    <w:p w:rsidR="003F27C6" w:rsidRPr="002057E5" w:rsidRDefault="003F27C6">
      <w:r w:rsidRPr="002057E5">
        <w:t>Inkomster från utdelningar redovisas av riksdagen mot inkomsttitel.</w:t>
      </w:r>
    </w:p>
    <w:p w:rsidR="003F27C6" w:rsidRPr="002057E5" w:rsidRDefault="003F27C6">
      <w:pPr>
        <w:pStyle w:val="Normaltindrag"/>
      </w:pPr>
      <w:r w:rsidRPr="002057E5">
        <w:t>Insatser i form av utgift för aktieägartillskott beslutas genom att anslag a</w:t>
      </w:r>
      <w:r w:rsidRPr="002057E5">
        <w:t>n</w:t>
      </w:r>
      <w:r w:rsidRPr="002057E5">
        <w:t>visas för ändamålet, medan lån kan tas upp av myndigheterna inom den kr</w:t>
      </w:r>
      <w:r w:rsidRPr="002057E5">
        <w:t>e</w:t>
      </w:r>
      <w:r w:rsidRPr="002057E5">
        <w:t>ditram som riksdagen årligen fastställer och de närmare villkor som regerin</w:t>
      </w:r>
      <w:r w:rsidRPr="002057E5">
        <w:t>g</w:t>
      </w:r>
      <w:r w:rsidRPr="002057E5">
        <w:t>en beslutar om.</w:t>
      </w:r>
    </w:p>
    <w:p w:rsidR="003F27C6" w:rsidRPr="002057E5" w:rsidRDefault="003F27C6">
      <w:pPr>
        <w:pStyle w:val="Rubrik3"/>
        <w:rPr>
          <w:noProof w:val="0"/>
        </w:rPr>
      </w:pPr>
      <w:bookmarkStart w:id="14" w:name="_Toc41187408"/>
      <w:r w:rsidRPr="002057E5">
        <w:rPr>
          <w:noProof w:val="0"/>
        </w:rPr>
        <w:t>Utskottets ställningstagande</w:t>
      </w:r>
      <w:bookmarkEnd w:id="14"/>
    </w:p>
    <w:p w:rsidR="003F27C6" w:rsidRPr="002057E5" w:rsidRDefault="003F27C6">
      <w:pPr>
        <w:pStyle w:val="R4"/>
      </w:pPr>
      <w:r w:rsidRPr="002057E5">
        <w:t>Ändrade anslag för utgiftsområde 1 Rikets styrelse</w:t>
      </w:r>
    </w:p>
    <w:p w:rsidR="003F27C6" w:rsidRPr="002057E5" w:rsidRDefault="003F27C6">
      <w:r w:rsidRPr="002057E5">
        <w:t>Utskottet tillstyrker propositionsförslaget beträffande ändrade anslag inom utgiftsområde 1 Rikets styrelse.</w:t>
      </w:r>
    </w:p>
    <w:p w:rsidR="003F27C6" w:rsidRPr="002057E5" w:rsidRDefault="003F27C6">
      <w:pPr>
        <w:pStyle w:val="R4"/>
      </w:pPr>
      <w:r w:rsidRPr="002057E5">
        <w:t>Förbättrad kapitalstruktur</w:t>
      </w:r>
    </w:p>
    <w:p w:rsidR="003F27C6" w:rsidRPr="002057E5" w:rsidRDefault="003F27C6">
      <w:r w:rsidRPr="002057E5">
        <w:t>Utskottet begränsar sitt yttrande till att gälla beslutsformen och inte bedö</w:t>
      </w:r>
      <w:r w:rsidRPr="002057E5">
        <w:t>m</w:t>
      </w:r>
      <w:r w:rsidRPr="002057E5">
        <w:t>ningen av behovet av förbättrad kapitalstruktur.</w:t>
      </w:r>
    </w:p>
    <w:p w:rsidR="003F27C6" w:rsidRPr="002057E5" w:rsidRDefault="003F27C6">
      <w:pPr>
        <w:pStyle w:val="Normaltindrag"/>
      </w:pPr>
      <w:r w:rsidRPr="002057E5">
        <w:t>Enligt utskottets mening finns det goda skäl att underlätta kapitalomstru</w:t>
      </w:r>
      <w:r w:rsidRPr="002057E5">
        <w:t>k</w:t>
      </w:r>
      <w:r w:rsidRPr="002057E5">
        <w:t>tureringar i den statliga företagssfären genom att tillämpa specialdestination. Förfarandet kan liknas vid att staten agerar som moderbolag och ger koncer</w:t>
      </w:r>
      <w:r w:rsidRPr="002057E5">
        <w:t>n</w:t>
      </w:r>
      <w:r w:rsidRPr="002057E5">
        <w:t>bidrag till vissa dotterbolag och finansierar detta med medel från andra dotte</w:t>
      </w:r>
      <w:r w:rsidRPr="002057E5">
        <w:t>r</w:t>
      </w:r>
      <w:r w:rsidRPr="002057E5">
        <w:t>företag. Utskottet anser emellertid att regeringens förslag bör modifieras på ett par punkter.</w:t>
      </w:r>
    </w:p>
    <w:p w:rsidR="003F27C6" w:rsidRPr="002057E5" w:rsidRDefault="003F27C6">
      <w:pPr>
        <w:pStyle w:val="Normaltindrag"/>
      </w:pPr>
      <w:r w:rsidRPr="002057E5">
        <w:t>För det första bör bemyndigandet inte innebära att regeringen i brådskande fall och för smärre belopp får besluta om kapitalinsatser. Riksdagen bör b</w:t>
      </w:r>
      <w:r w:rsidRPr="002057E5">
        <w:t>e</w:t>
      </w:r>
      <w:r w:rsidRPr="002057E5">
        <w:t>sluta i varje enskilt fall om kapitalinsatser.</w:t>
      </w:r>
    </w:p>
    <w:p w:rsidR="003F27C6" w:rsidRPr="002057E5" w:rsidRDefault="003F27C6">
      <w:pPr>
        <w:pStyle w:val="Normaltindrag"/>
      </w:pPr>
      <w:r w:rsidRPr="002057E5">
        <w:t>För det andra bör bemyndigandet tidsbegränsas. Att på föreslaget sätt föra inkomster från extrautdelningar till ett särskilt konto i Riksgäldskontoret måste vara en engångsåtgärd. Kontots varaktighet bör dessutom bli föremål för riksdagens årliga prövning. Önskar regeringen att överblivna medel skall stå kvar på kontot i Riksgäldskontoret även under nästa år får den återkomma med förslag härom senare, lämpligtvis i budgetpropositionen. Skulle riksd</w:t>
      </w:r>
      <w:r w:rsidRPr="002057E5">
        <w:t>a</w:t>
      </w:r>
      <w:r w:rsidRPr="002057E5">
        <w:t>gen inte förlänga bemyndigandet skall innestående medel på kontot i Rik</w:t>
      </w:r>
      <w:r w:rsidRPr="002057E5">
        <w:t>s</w:t>
      </w:r>
      <w:r w:rsidRPr="002057E5">
        <w:t>gäldskontoret jämte eventuella ytterligare utdelningsinkomster från extrau</w:t>
      </w:r>
      <w:r w:rsidRPr="002057E5">
        <w:t>t</w:t>
      </w:r>
      <w:r w:rsidRPr="002057E5">
        <w:t>delningarna redovisas mot inkomsttitel i statsbu</w:t>
      </w:r>
      <w:r w:rsidRPr="002057E5">
        <w:t>d</w:t>
      </w:r>
      <w:r w:rsidRPr="002057E5">
        <w:t>geten.</w:t>
      </w:r>
    </w:p>
    <w:p w:rsidR="003F27C6" w:rsidRPr="002057E5" w:rsidRDefault="003F27C6">
      <w:pPr>
        <w:pStyle w:val="Normaltindrag"/>
      </w:pPr>
      <w:r w:rsidRPr="002057E5">
        <w:t>Slutligen bör det tydligt framgå av riksdagens beslut att maximalt 3 milja</w:t>
      </w:r>
      <w:r w:rsidRPr="002057E5">
        <w:t>r</w:t>
      </w:r>
      <w:r w:rsidRPr="002057E5">
        <w:t>der kronor får överföras till det särskilda kontot.</w:t>
      </w:r>
    </w:p>
    <w:p w:rsidR="003F27C6" w:rsidRPr="002057E5" w:rsidRDefault="003F27C6">
      <w:pPr>
        <w:pStyle w:val="Brdtext"/>
      </w:pPr>
      <w:r w:rsidRPr="002057E5">
        <w:t>Det kan finnas anledning att i lämpligt sammanhang närmare överväga fo</w:t>
      </w:r>
      <w:r w:rsidRPr="002057E5">
        <w:t>r</w:t>
      </w:r>
      <w:r w:rsidRPr="002057E5">
        <w:t>merna för kapitalomstruktureringar i den statliga företagssfären. Om rege</w:t>
      </w:r>
      <w:r w:rsidRPr="002057E5">
        <w:t>r</w:t>
      </w:r>
      <w:r w:rsidRPr="002057E5">
        <w:t>ingen menar att det skall finnas en permanent särskild ordning för sådana beslut bör den återkomma till riksdagen med förslag om hur en sådan ordning bör regleras. En lämplig tidpunkt att behandla frågan vore att ta upp den i samband med den översyn av budgetlagen som pågår i Regeringskansliet. Proposition om ändringar i budgetlagen kan, enligt upplysningar från Finan</w:t>
      </w:r>
      <w:r w:rsidRPr="002057E5">
        <w:t>s</w:t>
      </w:r>
      <w:r w:rsidRPr="002057E5">
        <w:t>departementet, väntas under nästa rik</w:t>
      </w:r>
      <w:r w:rsidRPr="002057E5">
        <w:t>s</w:t>
      </w:r>
      <w:r w:rsidRPr="002057E5">
        <w:t>möte.</w:t>
      </w:r>
    </w:p>
    <w:p w:rsidR="003F27C6" w:rsidRPr="002057E5" w:rsidRDefault="003F27C6">
      <w:pPr>
        <w:pStyle w:val="Utskriftsdatum"/>
      </w:pPr>
      <w:r w:rsidRPr="002057E5">
        <w:t>Stockholm den 15 maj 2</w:t>
      </w:r>
      <w:r w:rsidRPr="002057E5">
        <w:t>003</w:t>
      </w:r>
    </w:p>
    <w:p w:rsidR="003F27C6" w:rsidRPr="002057E5" w:rsidRDefault="003F27C6">
      <w:pPr>
        <w:pStyle w:val="Lista"/>
      </w:pPr>
      <w:r w:rsidRPr="002057E5">
        <w:t>På konstitutionsutskottets vägnar</w:t>
      </w:r>
    </w:p>
    <w:p w:rsidR="003F27C6" w:rsidRPr="002057E5" w:rsidRDefault="003F27C6">
      <w:pPr>
        <w:pStyle w:val="Ordfranden"/>
        <w:rPr>
          <w:noProof w:val="0"/>
        </w:rPr>
      </w:pPr>
      <w:bookmarkStart w:id="15" w:name="Ordförande"/>
      <w:bookmarkEnd w:id="15"/>
      <w:r w:rsidRPr="002057E5">
        <w:rPr>
          <w:noProof w:val="0"/>
        </w:rPr>
        <w:t xml:space="preserve">Gunnar Hökmark </w:t>
      </w:r>
    </w:p>
    <w:p w:rsidR="003F27C6" w:rsidRPr="002057E5" w:rsidRDefault="003F27C6">
      <w:pPr>
        <w:pStyle w:val="Deltagare"/>
        <w:rPr>
          <w:noProof w:val="0"/>
        </w:rPr>
      </w:pPr>
      <w:bookmarkStart w:id="16" w:name="Deltagare"/>
      <w:bookmarkEnd w:id="16"/>
      <w:r w:rsidRPr="002057E5">
        <w:rPr>
          <w:noProof w:val="0"/>
        </w:rPr>
        <w:t>Följande ledamöter har deltagit i beslutet: Gunnar Hökmark (m), Göran Magnusson (s), Barbro Hietala Nordlund (s), Helena Bargholtz (fp), Pär Axel Sahlberg (s), Kenth Högström (s), Mats Einarsson (v), Mats Berglind (s), Henrik S Järrel (m), Anders Bengtsson (s), Tobias Krantz (fp), Kerstin Lundgren (c), Helene Petersson (s), Nils Fredrik Aurelius (m), Billy Gustafsson (s), Gustav Fridolin (mp) och Tuve Skånberg (kd).</w:t>
      </w:r>
    </w:p>
    <w:p w:rsidR="003F27C6" w:rsidRPr="002057E5" w:rsidRDefault="003F27C6">
      <w:pPr>
        <w:pStyle w:val="R1"/>
      </w:pPr>
      <w:r w:rsidRPr="002057E5">
        <w:br w:type="page"/>
      </w:r>
      <w:bookmarkStart w:id="17" w:name="_Toc41187409"/>
      <w:r w:rsidRPr="002057E5">
        <w:t>Avvikande meningar</w:t>
      </w:r>
      <w:bookmarkEnd w:id="17"/>
    </w:p>
    <w:p w:rsidR="003F27C6" w:rsidRPr="002057E5" w:rsidRDefault="003F27C6">
      <w:pPr>
        <w:pStyle w:val="Yttrandepunkt"/>
        <w:spacing w:before="0"/>
        <w:rPr>
          <w:noProof w:val="0"/>
        </w:rPr>
      </w:pPr>
      <w:bookmarkStart w:id="18" w:name="_Toc41187410"/>
      <w:r w:rsidRPr="002057E5">
        <w:rPr>
          <w:noProof w:val="0"/>
        </w:rPr>
        <w:t>1. Ändrade anslag för utgiftsområde 1 Rikets styrelse</w:t>
      </w:r>
      <w:bookmarkEnd w:id="18"/>
    </w:p>
    <w:p w:rsidR="003F27C6" w:rsidRPr="002057E5" w:rsidRDefault="003F27C6">
      <w:pPr>
        <w:pStyle w:val="Reservanter"/>
      </w:pPr>
      <w:r w:rsidRPr="002057E5">
        <w:t xml:space="preserve"> Kerstin Lundgren (c) anför:</w:t>
      </w:r>
    </w:p>
    <w:p w:rsidR="003F27C6" w:rsidRPr="002057E5" w:rsidRDefault="003F27C6">
      <w:r w:rsidRPr="002057E5">
        <w:t>Jag menar att utskottet borde ha bifallit förslaget i motion Fi17 (c) om sänkt anslag till Regeringskansliet (yrkande 12 delvis). Kostnaderna har under senare år ökat på ett omotiverat sätt.</w:t>
      </w:r>
    </w:p>
    <w:p w:rsidR="003F27C6" w:rsidRPr="002057E5" w:rsidRDefault="003F27C6">
      <w:pPr>
        <w:pStyle w:val="Yttrandepunkt"/>
        <w:rPr>
          <w:noProof w:val="0"/>
        </w:rPr>
      </w:pPr>
      <w:bookmarkStart w:id="19" w:name="_Toc41187411"/>
      <w:r w:rsidRPr="002057E5">
        <w:rPr>
          <w:noProof w:val="0"/>
        </w:rPr>
        <w:t>2. Förbättrad kapitalstruktur</w:t>
      </w:r>
      <w:bookmarkEnd w:id="19"/>
    </w:p>
    <w:p w:rsidR="003F27C6" w:rsidRPr="002057E5" w:rsidRDefault="003F27C6">
      <w:pPr>
        <w:pStyle w:val="Reservanter"/>
      </w:pPr>
      <w:r w:rsidRPr="002057E5">
        <w:t>Gunnar Hökmark (m), Helena Bargholtz (fp), Henrik S Järrel (m), Tobias Krantz (fp), Kerstin Lundgren (c), Nils Fredrik Aurelius (m) och Tuve Skånberg (kd) anför:</w:t>
      </w:r>
    </w:p>
    <w:p w:rsidR="003F27C6" w:rsidRPr="002057E5" w:rsidRDefault="003F27C6">
      <w:r w:rsidRPr="002057E5">
        <w:t>Vi anser att finansutskottet bör avstyrka regeringens förslag om förbättrad kapitalstruktur. Skälen för detta är följande, och då gäller det formen för omstruktureringen. Frågan om huruvida kapitalomstruktureringen behövs ankommer på finansu</w:t>
      </w:r>
      <w:r w:rsidRPr="002057E5">
        <w:t>t</w:t>
      </w:r>
      <w:r w:rsidRPr="002057E5">
        <w:t>skottet att pröva.</w:t>
      </w:r>
    </w:p>
    <w:p w:rsidR="003F27C6" w:rsidRPr="002057E5" w:rsidRDefault="003F27C6">
      <w:pPr>
        <w:pStyle w:val="Normaltindrag"/>
      </w:pPr>
      <w:r w:rsidRPr="002057E5">
        <w:t>En grundläggande invändning är att förslaget står i strid med budgetlagen och är konstitutionellt tvivelaktigt. Regeringen menar att den nuvarande or</w:t>
      </w:r>
      <w:r w:rsidRPr="002057E5">
        <w:t>d</w:t>
      </w:r>
      <w:r w:rsidRPr="002057E5">
        <w:t>ningen, dvs. att riksdagen inom ramen för den ordinarie budgetprocessen beslutar om i vilken utsträckning skattebetalarnas pengar skall användas för kapitaltillskott i statligt hel- och delägda aktiebolag, ”begränsar ägarens handlingsmöjligheter på ett olämpligt sätt”. Det är fel. Ägarens, dvs. i fö</w:t>
      </w:r>
      <w:r w:rsidRPr="002057E5">
        <w:t>r</w:t>
      </w:r>
      <w:r w:rsidRPr="002057E5">
        <w:t>längningen medborgarnas, företrädare, dvs. riksdagen, har fullständig han</w:t>
      </w:r>
      <w:r w:rsidRPr="002057E5">
        <w:t>d</w:t>
      </w:r>
      <w:r w:rsidRPr="002057E5">
        <w:t>lingsfrihet. Däremot begränsas regeringens handlingsfrihet, vilket är avsikten med den gällande ordningen. Vi anser att det ur demokrati</w:t>
      </w:r>
      <w:r w:rsidRPr="002057E5">
        <w:t>sk synvinkel är angeläget att denna ordning består. Det är oroväckande att en av motiverin</w:t>
      </w:r>
      <w:r w:rsidRPr="002057E5">
        <w:t>g</w:t>
      </w:r>
      <w:r w:rsidRPr="002057E5">
        <w:t>arna till förslaget är att riksdagens medverkan i beslutsprocessen anses hä</w:t>
      </w:r>
      <w:r w:rsidRPr="002057E5">
        <w:t>m</w:t>
      </w:r>
      <w:r w:rsidRPr="002057E5">
        <w:t>ma statens förvaltning av bolagen till nackdel för bolagens utveckling och att regeringen därmed föreslås få möjlighet, även om det endast är i undantag</w:t>
      </w:r>
      <w:r w:rsidRPr="002057E5">
        <w:t>s</w:t>
      </w:r>
      <w:r w:rsidRPr="002057E5">
        <w:t>fall, att själv disponera medlen på kontot för att göra nödvändiga kapitalinsa</w:t>
      </w:r>
      <w:r w:rsidRPr="002057E5">
        <w:t>t</w:t>
      </w:r>
      <w:r w:rsidRPr="002057E5">
        <w:t xml:space="preserve">ser. </w:t>
      </w:r>
    </w:p>
    <w:p w:rsidR="003F27C6" w:rsidRPr="002057E5" w:rsidRDefault="003F27C6">
      <w:pPr>
        <w:pStyle w:val="Normaltindrag"/>
      </w:pPr>
      <w:r w:rsidRPr="002057E5">
        <w:t>En annan invändning gäller användandet av bemyndigande på finansma</w:t>
      </w:r>
      <w:r w:rsidRPr="002057E5">
        <w:t>k</w:t>
      </w:r>
      <w:r w:rsidRPr="002057E5">
        <w:t>tens område. En viktig motivering för budgetlagen var att den ersatte en up</w:t>
      </w:r>
      <w:r w:rsidRPr="002057E5">
        <w:t>p</w:t>
      </w:r>
      <w:r w:rsidRPr="002057E5">
        <w:t>sjö av bemyndiganden som riksdagen givit regeringen. Bemyndigandena var av den omfattningen att det var svårt att få en önskvärd överblick, och det förelåg risk för att det kunde uppstå oklarhet om vad riksdagen hade beslutat. Det fanns behov av reglering på finansmaktens område som låg mellan r</w:t>
      </w:r>
      <w:r w:rsidRPr="002057E5">
        <w:t>e</w:t>
      </w:r>
      <w:r w:rsidRPr="002057E5">
        <w:t>geringsformens och riksdagsordningens generella regler och de detaljerade och oöverblickbara bemyndigandena. Vid sidan om bemyndigandena f</w:t>
      </w:r>
      <w:r w:rsidRPr="002057E5">
        <w:t>anns dessutom en rikt utvecklad praxis som det sågs behov av att kodifiera. Försl</w:t>
      </w:r>
      <w:r w:rsidRPr="002057E5">
        <w:t>a</w:t>
      </w:r>
      <w:r w:rsidRPr="002057E5">
        <w:t>get i vårpropositionen om förbättrad kapitalstruktur tillhör den typ av bemy</w:t>
      </w:r>
      <w:r w:rsidRPr="002057E5">
        <w:t>n</w:t>
      </w:r>
      <w:r w:rsidRPr="002057E5">
        <w:t>diganden som riksdagen avsåg att undvika genom införandet av bu</w:t>
      </w:r>
      <w:r w:rsidRPr="002057E5">
        <w:t>d</w:t>
      </w:r>
      <w:r w:rsidRPr="002057E5">
        <w:t xml:space="preserve">getlagen. </w:t>
      </w:r>
    </w:p>
    <w:p w:rsidR="003F27C6" w:rsidRPr="002057E5" w:rsidRDefault="003F27C6">
      <w:pPr>
        <w:pStyle w:val="Normaltindrag"/>
      </w:pPr>
      <w:r w:rsidRPr="002057E5">
        <w:t>Vi vill vidare betona den betydelse som principerna om bruttoredovisning och fullständig budgetproposition har för att riksdagen skall kunna utöva sin grundlagsreglerade finansmakt. Regeringsförslaget, liksom utskottsförslaget, innebär ett flagrant brott mot budgetlagens bestäm</w:t>
      </w:r>
      <w:r w:rsidRPr="002057E5">
        <w:t>melser. Att det handlar om en engångshändelse, som utskottet anger i sitt modifierade förslag, ändrar inte det förhålla</w:t>
      </w:r>
      <w:r w:rsidRPr="002057E5">
        <w:t>n</w:t>
      </w:r>
      <w:r w:rsidRPr="002057E5">
        <w:t xml:space="preserve">det. </w:t>
      </w:r>
    </w:p>
    <w:p w:rsidR="003F27C6" w:rsidRPr="002057E5" w:rsidRDefault="003F27C6">
      <w:pPr>
        <w:pStyle w:val="Normaltindrag"/>
      </w:pPr>
      <w:r w:rsidRPr="002057E5">
        <w:t>Vi har ställt oss undrande inför den specialdestination som regeringen f</w:t>
      </w:r>
      <w:r w:rsidRPr="002057E5">
        <w:t>ö</w:t>
      </w:r>
      <w:r w:rsidRPr="002057E5">
        <w:t>reslår, eftersom den innebär en specialdestination av vissa men inte alla u</w:t>
      </w:r>
      <w:r w:rsidRPr="002057E5">
        <w:t>t</w:t>
      </w:r>
      <w:r w:rsidRPr="002057E5">
        <w:t xml:space="preserve">delningsinkomster och vissa men inte alla kapitalinsatser och därför är mer av en hybrid än de former som anges i förarbetena till regeringsformen. </w:t>
      </w:r>
    </w:p>
    <w:p w:rsidR="003F27C6" w:rsidRPr="002057E5" w:rsidRDefault="003F27C6">
      <w:pPr>
        <w:pStyle w:val="Normaltindrag"/>
      </w:pPr>
      <w:r w:rsidRPr="002057E5">
        <w:t>Vi noterar att den valda budgettekniken inte motiveras i propositionen. Det verkliga skälet torde vara att regeringen ännu en gång manövrerar för att kringgå de restriktioner i budgetprocessen i form av bl.a. utgiftstaket som den själv varit med om att besluta.</w:t>
      </w:r>
    </w:p>
    <w:p w:rsidR="003F27C6" w:rsidRPr="002057E5" w:rsidRDefault="003F27C6">
      <w:pPr>
        <w:pStyle w:val="Normaltindrag"/>
      </w:pPr>
      <w:r w:rsidRPr="002057E5">
        <w:t>Eftersom det även i framtiden kommer att finnas behov av att göra förän</w:t>
      </w:r>
      <w:r w:rsidRPr="002057E5">
        <w:t>d</w:t>
      </w:r>
      <w:r w:rsidRPr="002057E5">
        <w:t>ringar i kapitalstrukturen i statliga företag riskerar den modell som regeringen föreslår och utskottet marginellt modifierat att få en permanent karaktär. För att öka öppenheten samt för att inordna modellen för förändringar i statliga bolags kapitalstruktur i statsbudgeten, bör riksdagen stifta en lag som avgrä</w:t>
      </w:r>
      <w:r w:rsidRPr="002057E5">
        <w:t>n</w:t>
      </w:r>
      <w:r w:rsidRPr="002057E5">
        <w:t>sar kontots användning och beskriver hur de medel som använts skall redov</w:t>
      </w:r>
      <w:r w:rsidRPr="002057E5">
        <w:t>i</w:t>
      </w:r>
      <w:r w:rsidRPr="002057E5">
        <w:t>sas i statsbudgeten. En sådan lag bör tydligt avgränsa regeringens befogenhet att göra kapitalinsatser utan att i förväg h</w:t>
      </w:r>
      <w:r w:rsidRPr="002057E5">
        <w:t>a inhämtat riksdagens godkännande.</w:t>
      </w:r>
    </w:p>
    <w:p w:rsidR="003F27C6" w:rsidRPr="002057E5" w:rsidRDefault="003F27C6">
      <w:pPr>
        <w:pStyle w:val="Normaltindrag"/>
      </w:pPr>
    </w:p>
    <w:p w:rsidR="003F27C6" w:rsidRPr="002057E5" w:rsidRDefault="003F27C6">
      <w:pPr>
        <w:pStyle w:val="R1"/>
      </w:pPr>
      <w:r w:rsidRPr="002057E5">
        <w:br w:type="page"/>
      </w:r>
      <w:bookmarkStart w:id="20" w:name="_Toc41187412"/>
      <w:r w:rsidRPr="002057E5">
        <w:t>Särskilda yttranden</w:t>
      </w:r>
      <w:bookmarkEnd w:id="20"/>
    </w:p>
    <w:p w:rsidR="003F27C6" w:rsidRPr="002057E5" w:rsidRDefault="003F27C6">
      <w:pPr>
        <w:pStyle w:val="Yttrandepunkt"/>
        <w:spacing w:before="110"/>
        <w:rPr>
          <w:noProof w:val="0"/>
        </w:rPr>
      </w:pPr>
      <w:bookmarkStart w:id="21" w:name="_Toc41187413"/>
      <w:r w:rsidRPr="002057E5">
        <w:rPr>
          <w:noProof w:val="0"/>
        </w:rPr>
        <w:t>1. Anslagsförändringar på tilläggsbudget</w:t>
      </w:r>
      <w:bookmarkEnd w:id="21"/>
    </w:p>
    <w:p w:rsidR="003F27C6" w:rsidRPr="002057E5" w:rsidRDefault="003F27C6">
      <w:pPr>
        <w:pStyle w:val="Reservanter"/>
        <w:rPr>
          <w:b/>
        </w:rPr>
      </w:pPr>
      <w:r w:rsidRPr="002057E5">
        <w:t>Gunnar Hökmark (m), Henrik S Järrel (m) och Nils Fredrik Aurelius (m) anför:</w:t>
      </w:r>
    </w:p>
    <w:p w:rsidR="003F27C6" w:rsidRPr="002057E5" w:rsidRDefault="003F27C6">
      <w:r w:rsidRPr="002057E5">
        <w:t>Då riksdagen beslutat om innevarande års budget finner vi varken möjlighet enligt de regler som gäller för budgetprocessen att arbeta om denna eller att åter redovisa hela vårt budgetförslag – trots att om detta blivit riksdagens beslut hade det inte medfört nuvarande problem med skenande utgifter.</w:t>
      </w:r>
    </w:p>
    <w:p w:rsidR="003F27C6" w:rsidRPr="002057E5" w:rsidRDefault="003F27C6">
      <w:pPr>
        <w:pStyle w:val="Normaltindrag"/>
      </w:pPr>
      <w:r w:rsidRPr="002057E5">
        <w:t>På vissa områden i tilläggsbudgeten har vi en annan syn på vad som skall göras och ger därför förslag på andra åtgärder. Det gäller t.ex. utformningen av förslagen för att minska kostnaderna för sjukförsäkringen.</w:t>
      </w:r>
    </w:p>
    <w:p w:rsidR="003F27C6" w:rsidRPr="002057E5" w:rsidRDefault="003F27C6">
      <w:pPr>
        <w:pStyle w:val="Yttrandepunkt"/>
        <w:rPr>
          <w:b w:val="0"/>
          <w:noProof w:val="0"/>
        </w:rPr>
      </w:pPr>
      <w:bookmarkStart w:id="22" w:name="_Toc41187414"/>
      <w:r w:rsidRPr="002057E5">
        <w:rPr>
          <w:noProof w:val="0"/>
        </w:rPr>
        <w:t>2. Anslagsförändringar på tilläggsbudget</w:t>
      </w:r>
      <w:bookmarkEnd w:id="22"/>
    </w:p>
    <w:p w:rsidR="003F27C6" w:rsidRPr="002057E5" w:rsidRDefault="003F27C6">
      <w:pPr>
        <w:pStyle w:val="Reservanter"/>
        <w:rPr>
          <w:b/>
        </w:rPr>
      </w:pPr>
      <w:r w:rsidRPr="002057E5">
        <w:t xml:space="preserve"> Helena Bargholtz (fp) och Tobias Krantz (fp) anför:</w:t>
      </w:r>
    </w:p>
    <w:p w:rsidR="003F27C6" w:rsidRPr="002057E5" w:rsidRDefault="003F27C6">
      <w:pPr>
        <w:rPr>
          <w:snapToGrid w:val="0"/>
        </w:rPr>
      </w:pPr>
      <w:r w:rsidRPr="002057E5">
        <w:rPr>
          <w:snapToGrid w:val="0"/>
        </w:rPr>
        <w:t>Folkpartiet hade som väl är känt ett annat budgetalternativ för 2003. Detta innehöll både lägre utgifter och skatter, en lång rad radikala förslag till refo</w:t>
      </w:r>
      <w:r w:rsidRPr="002057E5">
        <w:rPr>
          <w:snapToGrid w:val="0"/>
        </w:rPr>
        <w:t>r</w:t>
      </w:r>
      <w:r w:rsidRPr="002057E5">
        <w:rPr>
          <w:snapToGrid w:val="0"/>
        </w:rPr>
        <w:t>mer av arbetsmarknad, integrationspolitik och socialförsäkringar. Det var ett omfattande program för att få ned sjukfrånvaron med insatser för att männ</w:t>
      </w:r>
      <w:r w:rsidRPr="002057E5">
        <w:rPr>
          <w:snapToGrid w:val="0"/>
        </w:rPr>
        <w:t>i</w:t>
      </w:r>
      <w:r w:rsidRPr="002057E5">
        <w:rPr>
          <w:snapToGrid w:val="0"/>
        </w:rPr>
        <w:t>skor skall få ihop ”livspusslet”, insatser för att öka vård och rehabilitering och med större krav mot överutnyttjande av systemen. Folkpartiets budgetaltern</w:t>
      </w:r>
      <w:r w:rsidRPr="002057E5">
        <w:rPr>
          <w:snapToGrid w:val="0"/>
        </w:rPr>
        <w:t>a</w:t>
      </w:r>
      <w:r w:rsidRPr="002057E5">
        <w:rPr>
          <w:snapToGrid w:val="0"/>
        </w:rPr>
        <w:t>tiv för 2003 innehöll en budgeteringsmarginal på 11 miljarder kronor. Tyvärr valde riksdagens majoritet av socialdemokrater, vänsterpartister och milj</w:t>
      </w:r>
      <w:r w:rsidRPr="002057E5">
        <w:rPr>
          <w:snapToGrid w:val="0"/>
        </w:rPr>
        <w:t>ö</w:t>
      </w:r>
      <w:r w:rsidRPr="002057E5">
        <w:rPr>
          <w:snapToGrid w:val="0"/>
        </w:rPr>
        <w:t>partister att rösta ned detta förslag den 20 decem</w:t>
      </w:r>
      <w:r w:rsidRPr="002057E5">
        <w:rPr>
          <w:snapToGrid w:val="0"/>
        </w:rPr>
        <w:t>ber.</w:t>
      </w:r>
    </w:p>
    <w:p w:rsidR="003F27C6" w:rsidRPr="002057E5" w:rsidRDefault="003F27C6">
      <w:pPr>
        <w:pStyle w:val="Normaltindrag"/>
        <w:rPr>
          <w:snapToGrid w:val="0"/>
        </w:rPr>
      </w:pPr>
      <w:r w:rsidRPr="002057E5">
        <w:rPr>
          <w:snapToGrid w:val="0"/>
        </w:rPr>
        <w:t>Det är nu enligt vår uppfattning samma majoritet som får ta ansvar för att rädda situationen med sin egen dåligt underbyggda budget för innevarande år. Vi är givetvis alltid, varje dag och varje vecka, beredda att ta över ansvaret för Sverige. Om Folkpartiet får ta över regeringsansvaret har vi att utgå från verkligheten så som den ser ut. Det var därför vi i valrörelsen reviderade våra egna förslag över vad som var möjligt. Skulle vi få möjlighet att ta över a</w:t>
      </w:r>
      <w:r w:rsidRPr="002057E5">
        <w:rPr>
          <w:snapToGrid w:val="0"/>
        </w:rPr>
        <w:t>n</w:t>
      </w:r>
      <w:r w:rsidRPr="002057E5">
        <w:rPr>
          <w:snapToGrid w:val="0"/>
        </w:rPr>
        <w:t>svaret för landet skulle vi omgående genomföra utgiftsbegränsningar och besparingar så att utgiftstaket kunde hållas i avvaktan på att mer genomgr</w:t>
      </w:r>
      <w:r w:rsidRPr="002057E5">
        <w:rPr>
          <w:snapToGrid w:val="0"/>
        </w:rPr>
        <w:t>i</w:t>
      </w:r>
      <w:r w:rsidRPr="002057E5">
        <w:rPr>
          <w:snapToGrid w:val="0"/>
        </w:rPr>
        <w:t>pande systemreformer som ökar tillväxten och minskar kostnader för sju</w:t>
      </w:r>
      <w:r w:rsidRPr="002057E5">
        <w:rPr>
          <w:snapToGrid w:val="0"/>
        </w:rPr>
        <w:t>k</w:t>
      </w:r>
      <w:r w:rsidRPr="002057E5">
        <w:rPr>
          <w:snapToGrid w:val="0"/>
        </w:rPr>
        <w:t>frånvaro och arbetslö</w:t>
      </w:r>
      <w:r w:rsidRPr="002057E5">
        <w:rPr>
          <w:snapToGrid w:val="0"/>
        </w:rPr>
        <w:t>s</w:t>
      </w:r>
      <w:r w:rsidRPr="002057E5">
        <w:rPr>
          <w:snapToGrid w:val="0"/>
        </w:rPr>
        <w:t xml:space="preserve">het får ekonomiska effekter. </w:t>
      </w:r>
    </w:p>
    <w:p w:rsidR="003F27C6" w:rsidRPr="002057E5" w:rsidRDefault="003F27C6">
      <w:pPr>
        <w:pStyle w:val="Normaltindrag"/>
        <w:rPr>
          <w:rFonts w:ascii="Helv" w:hAnsi="Helv"/>
          <w:snapToGrid w:val="0"/>
        </w:rPr>
      </w:pPr>
      <w:r w:rsidRPr="002057E5">
        <w:rPr>
          <w:snapToGrid w:val="0"/>
        </w:rPr>
        <w:t>Folkpartiet tar heller inte i detalj ställning till de förslag regeringen och dess stödpartier lägger fram som förändringar i sin egen budget. Vi har enligt riksdagsordningen inte heller utrymme att föreslå förändringar på andra a</w:t>
      </w:r>
      <w:r w:rsidRPr="002057E5">
        <w:rPr>
          <w:snapToGrid w:val="0"/>
        </w:rPr>
        <w:t>n</w:t>
      </w:r>
      <w:r w:rsidRPr="002057E5">
        <w:rPr>
          <w:snapToGrid w:val="0"/>
        </w:rPr>
        <w:t>slag än de av regeringen nu aktualiserade.</w:t>
      </w:r>
    </w:p>
    <w:p w:rsidR="003F27C6" w:rsidRPr="002057E5" w:rsidRDefault="003F27C6">
      <w:pPr>
        <w:pStyle w:val="Yttrandepunkt"/>
        <w:rPr>
          <w:b w:val="0"/>
          <w:noProof w:val="0"/>
        </w:rPr>
      </w:pPr>
      <w:r w:rsidRPr="002057E5">
        <w:rPr>
          <w:noProof w:val="0"/>
        </w:rPr>
        <w:br w:type="page"/>
      </w:r>
      <w:bookmarkStart w:id="23" w:name="_Toc41187415"/>
      <w:r w:rsidRPr="002057E5">
        <w:rPr>
          <w:noProof w:val="0"/>
        </w:rPr>
        <w:t>3. Anslagsförändringar på tilläggsbudget</w:t>
      </w:r>
      <w:bookmarkEnd w:id="23"/>
    </w:p>
    <w:p w:rsidR="003F27C6" w:rsidRPr="002057E5" w:rsidRDefault="003F27C6">
      <w:pPr>
        <w:pStyle w:val="Reservanter"/>
        <w:rPr>
          <w:b/>
        </w:rPr>
      </w:pPr>
      <w:r w:rsidRPr="002057E5">
        <w:t xml:space="preserve"> Tuve Skånberg (kd) anför:</w:t>
      </w:r>
    </w:p>
    <w:p w:rsidR="003F27C6" w:rsidRPr="002057E5" w:rsidRDefault="003F27C6">
      <w:r w:rsidRPr="002057E5">
        <w:t>Kristdemokraterna förordade under hösten 2002 i parti- och kommittémoti</w:t>
      </w:r>
      <w:r w:rsidRPr="002057E5">
        <w:t>o</w:t>
      </w:r>
      <w:r w:rsidRPr="002057E5">
        <w:t>ner ett komplett och sammanhängande budgetalternativ för budgetåret 2003. Detta förslag innehöll för utgiftsområde 1, Riket styrelse, anslagsförändringar i förhållande till regeringens förslag med – 6 miljoner kronor avseende Dat</w:t>
      </w:r>
      <w:r w:rsidRPr="002057E5">
        <w:t>a</w:t>
      </w:r>
      <w:r w:rsidRPr="002057E5">
        <w:t>inspektion, – 75 miljoner kronor avseende presstödet och – 410 miljoner kronor avseende Regeringskansliet. Detta alternativ avslogs av riksdagen i den första beslutsomgången om utgiftsområdesramar och skatteinkomster till förmån för den inriktning av den ekonomiska politiken och b</w:t>
      </w:r>
      <w:r w:rsidRPr="002057E5">
        <w:t>udgetpolitiken som Socialdemokraterna föreslog. Av detta skäl deltog vi inte i den därpå följande behan</w:t>
      </w:r>
      <w:r w:rsidRPr="002057E5">
        <w:t>d</w:t>
      </w:r>
      <w:r w:rsidRPr="002057E5">
        <w:t>lingen av anslag inom respektive utgiftsområde.</w:t>
      </w:r>
    </w:p>
    <w:p w:rsidR="003F27C6" w:rsidRPr="002057E5" w:rsidRDefault="003F27C6">
      <w:pPr>
        <w:pStyle w:val="Normaltindrag"/>
      </w:pPr>
      <w:r w:rsidRPr="002057E5">
        <w:t>Av samma skäl deltar vi inte heller i den fortsatta behandlingen av delar av anslagen för budgetåret 2003, den nu föreliggande tilläggsbudgeten. Tillägg</w:t>
      </w:r>
      <w:r w:rsidRPr="002057E5">
        <w:t>s</w:t>
      </w:r>
      <w:r w:rsidRPr="002057E5">
        <w:t>budgeten är Socialdemokraternas försök att hantera alla egna felbudgeteringar som gjordes hösten 2002. Därtill gäller att det inte finns någon möjlighet för oppositionspartierna att yrka på förändringar av andra anslag än dem rege</w:t>
      </w:r>
      <w:r w:rsidRPr="002057E5">
        <w:t>r</w:t>
      </w:r>
      <w:r w:rsidRPr="002057E5">
        <w:t xml:space="preserve">ingen tar upp, eftersom den typen av förslag enligt gällande praxis inte anses ligga inom ärendets ram. Den ekonomiska politik och det budgetalternativ vi skulle vilja genomföra för 2003 går således inte att lägga fram för riksdagen, varpå följer att det inte är meningsfullt för </w:t>
      </w:r>
      <w:r w:rsidRPr="002057E5">
        <w:t>oss att delta i behandlingen av Sociald</w:t>
      </w:r>
      <w:r w:rsidRPr="002057E5">
        <w:t>e</w:t>
      </w:r>
      <w:r w:rsidRPr="002057E5">
        <w:t>mokraternas felbudgeteringar.</w:t>
      </w:r>
    </w:p>
    <w:p w:rsidR="003F27C6" w:rsidRPr="002057E5" w:rsidRDefault="003F27C6">
      <w:pPr>
        <w:pStyle w:val="R1"/>
      </w:pPr>
      <w:r w:rsidRPr="002057E5">
        <w:br w:type="page"/>
      </w:r>
      <w:bookmarkStart w:id="24" w:name="_Toc41187416"/>
      <w:r w:rsidRPr="002057E5">
        <w:t>Innehållsförteckning</w:t>
      </w:r>
      <w:bookmarkEnd w:id="24"/>
    </w:p>
    <w:p w:rsidR="003F27C6" w:rsidRPr="002057E5" w:rsidRDefault="003F27C6">
      <w:pPr>
        <w:pStyle w:val="Innehll2"/>
      </w:pPr>
      <w:r w:rsidRPr="002057E5">
        <w:t>Propositionen</w:t>
      </w:r>
      <w:r w:rsidRPr="002057E5">
        <w:tab/>
        <w:t>1</w:t>
      </w:r>
    </w:p>
    <w:p w:rsidR="003F27C6" w:rsidRPr="002057E5" w:rsidRDefault="003F27C6">
      <w:pPr>
        <w:pStyle w:val="Innehll3"/>
      </w:pPr>
      <w:r w:rsidRPr="002057E5">
        <w:t>Ändrade anslag för utgiftsområde 1 Rikets styrelse</w:t>
      </w:r>
      <w:r w:rsidRPr="002057E5">
        <w:tab/>
        <w:t>1</w:t>
      </w:r>
    </w:p>
    <w:p w:rsidR="003F27C6" w:rsidRPr="002057E5" w:rsidRDefault="003F27C6">
      <w:pPr>
        <w:pStyle w:val="Innehll3"/>
      </w:pPr>
      <w:r w:rsidRPr="002057E5">
        <w:t>Förbättrad kapitalstruktur</w:t>
      </w:r>
      <w:r w:rsidRPr="002057E5">
        <w:tab/>
        <w:t>2</w:t>
      </w:r>
    </w:p>
    <w:p w:rsidR="003F27C6" w:rsidRPr="002057E5" w:rsidRDefault="003F27C6">
      <w:pPr>
        <w:pStyle w:val="Innehll2"/>
      </w:pPr>
      <w:r w:rsidRPr="002057E5">
        <w:t>Motionerna</w:t>
      </w:r>
      <w:r w:rsidRPr="002057E5">
        <w:tab/>
        <w:t>2</w:t>
      </w:r>
    </w:p>
    <w:p w:rsidR="003F27C6" w:rsidRPr="002057E5" w:rsidRDefault="003F27C6">
      <w:pPr>
        <w:pStyle w:val="Innehll3"/>
      </w:pPr>
      <w:r w:rsidRPr="002057E5">
        <w:t>Ändrade anslag för utgiftsområde 1 Rikets styrelse</w:t>
      </w:r>
      <w:r w:rsidRPr="002057E5">
        <w:tab/>
        <w:t>2</w:t>
      </w:r>
    </w:p>
    <w:p w:rsidR="003F27C6" w:rsidRPr="002057E5" w:rsidRDefault="003F27C6">
      <w:pPr>
        <w:pStyle w:val="Innehll3"/>
      </w:pPr>
      <w:r w:rsidRPr="002057E5">
        <w:t>Förbättrad kapitalstruktur</w:t>
      </w:r>
      <w:r w:rsidRPr="002057E5">
        <w:tab/>
        <w:t>2</w:t>
      </w:r>
    </w:p>
    <w:p w:rsidR="003F27C6" w:rsidRPr="002057E5" w:rsidRDefault="003F27C6">
      <w:pPr>
        <w:pStyle w:val="Innehll2"/>
      </w:pPr>
      <w:r w:rsidRPr="002057E5">
        <w:t>Utskottet</w:t>
      </w:r>
      <w:r w:rsidRPr="002057E5">
        <w:tab/>
        <w:t>4</w:t>
      </w:r>
    </w:p>
    <w:p w:rsidR="003F27C6" w:rsidRPr="002057E5" w:rsidRDefault="003F27C6">
      <w:pPr>
        <w:pStyle w:val="Innehll3"/>
      </w:pPr>
      <w:r w:rsidRPr="002057E5">
        <w:t>Regeringsformen</w:t>
      </w:r>
      <w:r w:rsidRPr="002057E5">
        <w:tab/>
        <w:t>4</w:t>
      </w:r>
    </w:p>
    <w:p w:rsidR="003F27C6" w:rsidRPr="002057E5" w:rsidRDefault="003F27C6">
      <w:pPr>
        <w:pStyle w:val="Innehll3"/>
      </w:pPr>
      <w:r w:rsidRPr="002057E5">
        <w:t>Lag om statsbudgeten (budgetlagen)</w:t>
      </w:r>
      <w:r w:rsidRPr="002057E5">
        <w:tab/>
        <w:t>4</w:t>
      </w:r>
    </w:p>
    <w:p w:rsidR="003F27C6" w:rsidRPr="002057E5" w:rsidRDefault="003F27C6">
      <w:pPr>
        <w:pStyle w:val="Innehll3"/>
      </w:pPr>
      <w:r w:rsidRPr="002057E5">
        <w:t>Nuvarande ordning för budgetering och redovisning av inkomster från utdelningar samt utgifter för insatser i statliga bolag</w:t>
      </w:r>
      <w:r w:rsidRPr="002057E5">
        <w:tab/>
        <w:t>5</w:t>
      </w:r>
    </w:p>
    <w:p w:rsidR="003F27C6" w:rsidRPr="002057E5" w:rsidRDefault="003F27C6">
      <w:pPr>
        <w:pStyle w:val="Innehll3"/>
      </w:pPr>
      <w:r w:rsidRPr="002057E5">
        <w:t>Utskottets ställningstagande</w:t>
      </w:r>
      <w:r w:rsidRPr="002057E5">
        <w:tab/>
        <w:t>5</w:t>
      </w:r>
    </w:p>
    <w:p w:rsidR="003F27C6" w:rsidRPr="002057E5" w:rsidRDefault="003F27C6">
      <w:pPr>
        <w:pStyle w:val="Innehll1"/>
      </w:pPr>
      <w:r w:rsidRPr="002057E5">
        <w:t>Avvikande meningar</w:t>
      </w:r>
      <w:r w:rsidRPr="002057E5">
        <w:tab/>
      </w:r>
      <w:bookmarkStart w:id="25" w:name="_Hlt41190365"/>
      <w:r w:rsidRPr="002057E5">
        <w:t>7</w:t>
      </w:r>
      <w:bookmarkEnd w:id="25"/>
    </w:p>
    <w:p w:rsidR="003F27C6" w:rsidRPr="002057E5" w:rsidRDefault="003F27C6">
      <w:pPr>
        <w:pStyle w:val="Innehll2"/>
      </w:pPr>
      <w:r w:rsidRPr="002057E5">
        <w:t>1. Ändrade anslag för utgiftsområde 1 Rikets styrelse</w:t>
      </w:r>
      <w:r w:rsidRPr="002057E5">
        <w:tab/>
        <w:t>7</w:t>
      </w:r>
    </w:p>
    <w:p w:rsidR="003F27C6" w:rsidRPr="002057E5" w:rsidRDefault="003F27C6">
      <w:pPr>
        <w:pStyle w:val="Innehll2"/>
      </w:pPr>
      <w:r w:rsidRPr="002057E5">
        <w:t>2. Förbättrad kapitalstruktur</w:t>
      </w:r>
      <w:r w:rsidRPr="002057E5">
        <w:tab/>
        <w:t>7</w:t>
      </w:r>
    </w:p>
    <w:p w:rsidR="003F27C6" w:rsidRPr="002057E5" w:rsidRDefault="003F27C6">
      <w:pPr>
        <w:pStyle w:val="Innehll1"/>
      </w:pPr>
      <w:r w:rsidRPr="002057E5">
        <w:t>Särskilda yttranden</w:t>
      </w:r>
      <w:r w:rsidRPr="002057E5">
        <w:tab/>
        <w:t>9</w:t>
      </w:r>
    </w:p>
    <w:p w:rsidR="003F27C6" w:rsidRPr="002057E5" w:rsidRDefault="003F27C6">
      <w:pPr>
        <w:pStyle w:val="Innehll2"/>
      </w:pPr>
      <w:r w:rsidRPr="002057E5">
        <w:t>1. Anslagsförändringar på tilläggsbudget</w:t>
      </w:r>
      <w:r w:rsidRPr="002057E5">
        <w:tab/>
        <w:t>9</w:t>
      </w:r>
    </w:p>
    <w:p w:rsidR="003F27C6" w:rsidRPr="002057E5" w:rsidRDefault="003F27C6">
      <w:pPr>
        <w:pStyle w:val="Innehll2"/>
      </w:pPr>
      <w:r w:rsidRPr="002057E5">
        <w:t>2. Anslagsförändringar på tilläggsbudget</w:t>
      </w:r>
      <w:r w:rsidRPr="002057E5">
        <w:tab/>
        <w:t>9</w:t>
      </w:r>
    </w:p>
    <w:p w:rsidR="003F27C6" w:rsidRPr="002057E5" w:rsidRDefault="003F27C6">
      <w:pPr>
        <w:pStyle w:val="Innehll2"/>
      </w:pPr>
      <w:r w:rsidRPr="002057E5">
        <w:t>3. Anslagsförändringar på tilläggsbudget</w:t>
      </w:r>
      <w:r w:rsidRPr="002057E5">
        <w:tab/>
        <w:t>10</w:t>
      </w:r>
    </w:p>
    <w:p w:rsidR="003F27C6" w:rsidRPr="002057E5" w:rsidRDefault="003F27C6">
      <w:pPr>
        <w:pStyle w:val="Innehll1"/>
      </w:pPr>
    </w:p>
    <w:p w:rsidR="003F27C6" w:rsidRPr="002057E5" w:rsidRDefault="003F27C6"/>
    <w:p w:rsidR="003F27C6" w:rsidRPr="002057E5" w:rsidRDefault="003F27C6">
      <w:pPr>
        <w:pStyle w:val="Tryckort"/>
        <w:framePr w:wrap="around"/>
      </w:pPr>
      <w:r w:rsidRPr="002057E5">
        <w:t>Elanders Gotab, Stockholm  2003</w:t>
      </w:r>
    </w:p>
    <w:p w:rsidR="003F27C6" w:rsidRPr="002057E5" w:rsidRDefault="003F27C6">
      <w:pPr>
        <w:pStyle w:val="Normaltindrag"/>
      </w:pPr>
    </w:p>
    <w:sectPr w:rsidR="003F27C6" w:rsidRPr="002057E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7C6" w:rsidRPr="002057E5" w:rsidRDefault="003F27C6">
      <w:pPr>
        <w:spacing w:before="0" w:line="240" w:lineRule="auto"/>
      </w:pPr>
      <w:r w:rsidRPr="002057E5">
        <w:separator/>
      </w:r>
    </w:p>
  </w:endnote>
  <w:endnote w:type="continuationSeparator" w:id="0">
    <w:p w:rsidR="003F27C6" w:rsidRPr="002057E5" w:rsidRDefault="003F27C6">
      <w:pPr>
        <w:spacing w:before="0" w:line="240" w:lineRule="auto"/>
      </w:pPr>
      <w:r w:rsidRPr="00205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fotV"/>
      <w:framePr w:w="8732" w:h="284" w:hRule="exact" w:hSpace="0" w:vSpace="0" w:wrap="around" w:xAlign="inside" w:y="13042" w:anchorLock="0"/>
    </w:pPr>
    <w:r w:rsidRPr="002057E5">
      <w:fldChar w:fldCharType="begin" w:fldLock="1"/>
    </w:r>
    <w:r w:rsidRPr="002057E5">
      <w:instrText xml:space="preserve"> P</w:instrText>
    </w:r>
    <w:r w:rsidRPr="002057E5">
      <w:instrText>A</w:instrText>
    </w:r>
    <w:r w:rsidRPr="002057E5">
      <w:instrText xml:space="preserve">GE </w:instrText>
    </w:r>
    <w:r w:rsidRPr="002057E5">
      <w:fldChar w:fldCharType="separate"/>
    </w:r>
    <w:r w:rsidRPr="002057E5">
      <w:t>2</w:t>
    </w:r>
    <w:r w:rsidRPr="002057E5">
      <w:fldChar w:fldCharType="end"/>
    </w:r>
  </w:p>
  <w:p w:rsidR="003F27C6" w:rsidRPr="002057E5" w:rsidRDefault="003F2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fotH"/>
      <w:framePr w:w="8732" w:h="284" w:hRule="exact" w:hSpace="0" w:vSpace="0" w:wrap="around" w:xAlign="inside" w:y="13042" w:anchorLock="0"/>
    </w:pPr>
    <w:r w:rsidRPr="002057E5">
      <w:fldChar w:fldCharType="begin" w:fldLock="1"/>
    </w:r>
    <w:r w:rsidRPr="002057E5">
      <w:instrText xml:space="preserve"> P</w:instrText>
    </w:r>
    <w:r w:rsidRPr="002057E5">
      <w:instrText>A</w:instrText>
    </w:r>
    <w:r w:rsidRPr="002057E5">
      <w:instrText xml:space="preserve">GE </w:instrText>
    </w:r>
    <w:r w:rsidRPr="002057E5">
      <w:fldChar w:fldCharType="separate"/>
    </w:r>
    <w:r w:rsidRPr="002057E5">
      <w:t>3</w:t>
    </w:r>
    <w:r w:rsidRPr="002057E5">
      <w:fldChar w:fldCharType="end"/>
    </w:r>
  </w:p>
  <w:p w:rsidR="003F27C6" w:rsidRPr="002057E5" w:rsidRDefault="003F27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fotV"/>
      <w:framePr w:w="8732" w:h="284" w:hRule="exact" w:hSpace="0" w:vSpace="0" w:wrap="around" w:xAlign="inside" w:y="13042" w:anchorLock="0"/>
    </w:pPr>
    <w:r w:rsidRPr="002057E5">
      <w:fldChar w:fldCharType="begin" w:fldLock="1"/>
    </w:r>
    <w:r w:rsidRPr="002057E5">
      <w:instrText xml:space="preserve"> if </w:instrText>
    </w:r>
    <w:r w:rsidRPr="002057E5">
      <w:fldChar w:fldCharType="begin" w:fldLock="1"/>
    </w:r>
    <w:r w:rsidRPr="002057E5">
      <w:instrText xml:space="preserve"> = </w:instrText>
    </w:r>
    <w:r w:rsidRPr="002057E5">
      <w:fldChar w:fldCharType="begin" w:fldLock="1"/>
    </w:r>
    <w:r w:rsidRPr="002057E5">
      <w:instrText xml:space="preserve"> = </w:instrText>
    </w:r>
    <w:r w:rsidRPr="002057E5">
      <w:fldChar w:fldCharType="begin" w:fldLock="1"/>
    </w:r>
    <w:r w:rsidRPr="002057E5">
      <w:instrText xml:space="preserve"> page</w:instrText>
    </w:r>
    <w:r w:rsidRPr="002057E5">
      <w:fldChar w:fldCharType="separate"/>
    </w:r>
    <w:r w:rsidR="002057E5">
      <w:rPr>
        <w:noProof/>
      </w:rPr>
      <w:instrText>1</w:instrText>
    </w:r>
    <w:r w:rsidRPr="002057E5">
      <w:fldChar w:fldCharType="end"/>
    </w:r>
    <w:r w:rsidRPr="002057E5">
      <w:instrText xml:space="preserve">/2 </w:instrText>
    </w:r>
    <w:r w:rsidRPr="002057E5">
      <w:fldChar w:fldCharType="separate"/>
    </w:r>
    <w:r w:rsidR="002057E5">
      <w:rPr>
        <w:noProof/>
      </w:rPr>
      <w:instrText>0,5</w:instrText>
    </w:r>
    <w:r w:rsidRPr="002057E5">
      <w:fldChar w:fldCharType="end"/>
    </w:r>
    <w:r w:rsidRPr="002057E5">
      <w:instrText xml:space="preserve"> - </w:instrText>
    </w:r>
    <w:r w:rsidRPr="002057E5">
      <w:fldChar w:fldCharType="begin" w:fldLock="1"/>
    </w:r>
    <w:r w:rsidRPr="002057E5">
      <w:instrText xml:space="preserve"> = int(</w:instrText>
    </w:r>
    <w:r w:rsidRPr="002057E5">
      <w:fldChar w:fldCharType="begin" w:fldLock="1"/>
    </w:r>
    <w:r w:rsidRPr="002057E5">
      <w:instrText xml:space="preserve"> page</w:instrText>
    </w:r>
    <w:r w:rsidRPr="002057E5">
      <w:fldChar w:fldCharType="separate"/>
    </w:r>
    <w:r w:rsidR="002057E5">
      <w:rPr>
        <w:noProof/>
      </w:rPr>
      <w:instrText>1</w:instrText>
    </w:r>
    <w:r w:rsidRPr="002057E5">
      <w:fldChar w:fldCharType="end"/>
    </w:r>
    <w:r w:rsidRPr="002057E5">
      <w:instrText xml:space="preserve">/2) </w:instrText>
    </w:r>
    <w:r w:rsidRPr="002057E5">
      <w:fldChar w:fldCharType="separate"/>
    </w:r>
    <w:r w:rsidR="002057E5">
      <w:rPr>
        <w:noProof/>
      </w:rPr>
      <w:instrText>0</w:instrText>
    </w:r>
    <w:r w:rsidRPr="002057E5">
      <w:fldChar w:fldCharType="end"/>
    </w:r>
    <w:r w:rsidRPr="002057E5">
      <w:fldChar w:fldCharType="separate"/>
    </w:r>
    <w:r w:rsidR="002057E5">
      <w:rPr>
        <w:noProof/>
      </w:rPr>
      <w:instrText>0,5</w:instrText>
    </w:r>
    <w:r w:rsidRPr="002057E5">
      <w:fldChar w:fldCharType="end"/>
    </w:r>
    <w:r w:rsidRPr="002057E5">
      <w:instrText xml:space="preserve"> = 0 "</w:instrText>
    </w:r>
    <w:r w:rsidRPr="002057E5">
      <w:fldChar w:fldCharType="begin" w:fldLock="1"/>
    </w:r>
    <w:r w:rsidRPr="002057E5">
      <w:instrText xml:space="preserve"> P</w:instrText>
    </w:r>
    <w:r w:rsidRPr="002057E5">
      <w:instrText>A</w:instrText>
    </w:r>
    <w:r w:rsidRPr="002057E5">
      <w:instrText xml:space="preserve">GE </w:instrText>
    </w:r>
    <w:r w:rsidRPr="002057E5">
      <w:fldChar w:fldCharType="separate"/>
    </w:r>
    <w:r w:rsidRPr="002057E5">
      <w:instrText>12</w:instrText>
    </w:r>
    <w:r w:rsidRPr="002057E5">
      <w:fldChar w:fldCharType="end"/>
    </w:r>
  </w:p>
  <w:p w:rsidR="003F27C6" w:rsidRPr="002057E5" w:rsidRDefault="003F27C6">
    <w:pPr>
      <w:pStyle w:val="SidfotH"/>
      <w:framePr w:w="8732" w:h="284" w:hRule="exact" w:hSpace="0" w:vSpace="0" w:wrap="around" w:xAlign="inside" w:y="13042" w:anchorLock="0"/>
    </w:pPr>
    <w:r w:rsidRPr="002057E5">
      <w:instrText>""</w:instrText>
    </w:r>
    <w:r w:rsidRPr="002057E5">
      <w:fldChar w:fldCharType="begin" w:fldLock="1"/>
    </w:r>
    <w:r w:rsidRPr="002057E5">
      <w:instrText xml:space="preserve"> P</w:instrText>
    </w:r>
    <w:r w:rsidRPr="002057E5">
      <w:instrText>A</w:instrText>
    </w:r>
    <w:r w:rsidRPr="002057E5">
      <w:instrText xml:space="preserve">GE </w:instrText>
    </w:r>
    <w:r w:rsidRPr="002057E5">
      <w:fldChar w:fldCharType="separate"/>
    </w:r>
    <w:r w:rsidR="002057E5">
      <w:rPr>
        <w:noProof/>
      </w:rPr>
      <w:instrText>1</w:instrText>
    </w:r>
    <w:r w:rsidRPr="002057E5">
      <w:fldChar w:fldCharType="end"/>
    </w:r>
    <w:r w:rsidRPr="002057E5">
      <w:instrText>"</w:instrText>
    </w:r>
    <w:r w:rsidRPr="002057E5">
      <w:fldChar w:fldCharType="separate"/>
    </w:r>
    <w:r w:rsidR="002057E5">
      <w:rPr>
        <w:noProof/>
      </w:rPr>
      <w:t>1</w:t>
    </w:r>
    <w:r w:rsidRPr="002057E5">
      <w:fldChar w:fldCharType="end"/>
    </w:r>
  </w:p>
  <w:p w:rsidR="003F27C6" w:rsidRPr="002057E5" w:rsidRDefault="003F2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7C6" w:rsidRPr="002057E5" w:rsidRDefault="003F27C6">
      <w:pPr>
        <w:pStyle w:val="Sidfot"/>
      </w:pPr>
    </w:p>
  </w:footnote>
  <w:footnote w:type="continuationSeparator" w:id="0">
    <w:p w:rsidR="003F27C6" w:rsidRPr="002057E5" w:rsidRDefault="003F27C6">
      <w:pPr>
        <w:spacing w:before="0" w:line="240" w:lineRule="auto"/>
      </w:pPr>
      <w:r w:rsidRPr="00205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huvudKantJmn"/>
      <w:framePr w:w="8732" w:h="567" w:hRule="exact" w:vSpace="0" w:wrap="around" w:vAnchor="page" w:y="341" w:anchorLock="0"/>
    </w:pPr>
    <w:r w:rsidRPr="002057E5">
      <w:rPr>
        <w:rStyle w:val="SidhuvudUtskott"/>
      </w:rPr>
      <w:t>2002/03:KU6y</w:t>
    </w:r>
    <w:r w:rsidRPr="002057E5">
      <w:t xml:space="preserve">     </w:t>
    </w:r>
    <w:r w:rsidRPr="002057E5">
      <w:rPr>
        <w:rStyle w:val="SidhuvudBilaga"/>
      </w:rPr>
      <w:t xml:space="preserve"> </w:t>
    </w:r>
    <w:r w:rsidRPr="002057E5">
      <w:rPr>
        <w:rStyle w:val="SidhuvudRubrikReferens"/>
      </w:rPr>
      <w:t>Konstitutionsutskottets yttrande</w:t>
    </w:r>
  </w:p>
  <w:p w:rsidR="003F27C6" w:rsidRPr="002057E5" w:rsidRDefault="003F27C6">
    <w:pPr>
      <w:pStyle w:val="SidhuvudKantJmn"/>
      <w:framePr w:w="8732" w:h="567" w:hRule="exact" w:vSpace="0" w:wrap="around" w:vAnchor="page" w:y="341" w:anchorLock="0"/>
    </w:pPr>
  </w:p>
  <w:p w:rsidR="003F27C6" w:rsidRPr="002057E5" w:rsidRDefault="003F27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huvudKantUdda"/>
      <w:framePr w:w="8732" w:h="567" w:hRule="exact" w:vSpace="0" w:wrap="around" w:vAnchor="page" w:y="341" w:anchorLock="0"/>
    </w:pPr>
    <w:r w:rsidRPr="002057E5">
      <w:rPr>
        <w:rStyle w:val="SidhuvudRubrikReferens"/>
      </w:rPr>
      <w:t>Konstitutionsutskottets yttrande</w:t>
    </w:r>
    <w:r w:rsidRPr="002057E5">
      <w:rPr>
        <w:rStyle w:val="SidhuvudBilaga"/>
      </w:rPr>
      <w:t xml:space="preserve"> </w:t>
    </w:r>
    <w:r w:rsidRPr="002057E5">
      <w:t xml:space="preserve">     </w:t>
    </w:r>
    <w:r w:rsidRPr="002057E5">
      <w:rPr>
        <w:rStyle w:val="SidhuvudUtskott"/>
      </w:rPr>
      <w:t>2002/03:KU6y</w:t>
    </w:r>
  </w:p>
  <w:p w:rsidR="003F27C6" w:rsidRPr="002057E5" w:rsidRDefault="003F27C6">
    <w:pPr>
      <w:pStyle w:val="SidhuvudKantUdda"/>
      <w:framePr w:w="8732" w:h="567" w:hRule="exact" w:vSpace="0" w:wrap="around" w:vAnchor="page" w:y="341" w:anchorLock="0"/>
    </w:pPr>
  </w:p>
  <w:p w:rsidR="003F27C6" w:rsidRPr="002057E5" w:rsidRDefault="003F27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C6" w:rsidRPr="002057E5" w:rsidRDefault="003F27C6">
    <w:pPr>
      <w:pStyle w:val="SidhuvudKantUdda"/>
      <w:framePr w:w="8732" w:h="567" w:hRule="exact" w:vSpace="0" w:wrap="around" w:vAnchor="page" w:y="341" w:anchorLock="0"/>
    </w:pPr>
    <w:r w:rsidRPr="002057E5">
      <w:t xml:space="preserve"> </w:t>
    </w:r>
  </w:p>
  <w:p w:rsidR="003F27C6" w:rsidRPr="002057E5" w:rsidRDefault="003F27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A94"/>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24906028">
    <w:abstractNumId w:val="1"/>
  </w:num>
  <w:num w:numId="2" w16cid:durableId="134879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980CA6"/>
    <w:rsid w:val="002057E5"/>
    <w:rsid w:val="003F27C6"/>
    <w:rsid w:val="00980C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368092-6A57-498B-99D7-6FBD5F86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pacing w:after="120"/>
    </w:pPr>
    <w:rPr>
      <w:b w:val="0"/>
      <w:i/>
      <w:color w:val="auto"/>
      <w:spacing w:val="0"/>
      <w:sz w:val="14"/>
    </w:rPr>
  </w:style>
  <w:style w:type="paragraph" w:styleId="Brdtext">
    <w:name w:val="Body Text"/>
    <w:basedOn w:val="Normal"/>
    <w:semiHidden/>
    <w:pPr>
      <w:spacing w:after="120"/>
    </w:pPr>
  </w:style>
  <w:style w:type="paragraph" w:styleId="Lista">
    <w:name w:val="List"/>
    <w:basedOn w:val="Normal"/>
    <w:semiHidden/>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2899</Words>
  <Characters>17774</Characters>
  <Application>Microsoft Office Word</Application>
  <DocSecurity>4</DocSecurity>
  <Lines>394</Lines>
  <Paragraphs>160</Paragraphs>
  <ScaleCrop>false</ScaleCrop>
  <HeadingPairs>
    <vt:vector size="6" baseType="variant">
      <vt:variant>
        <vt:lpstr>Title</vt:lpstr>
      </vt:variant>
      <vt:variant>
        <vt:i4>1</vt:i4>
      </vt:variant>
      <vt:variant>
        <vt:lpstr>Rubriker</vt:lpstr>
      </vt:variant>
      <vt:variant>
        <vt:i4>16</vt:i4>
      </vt:variant>
      <vt:variant>
        <vt:lpstr>Rubrik</vt:lpstr>
      </vt:variant>
      <vt:variant>
        <vt:i4>1</vt:i4>
      </vt:variant>
    </vt:vector>
  </HeadingPairs>
  <TitlesOfParts>
    <vt:vector size="18" baseType="lpstr">
      <vt:lpstr>1999/2000:T1</vt:lpstr>
      <vt:lpstr>    Propositionen</vt:lpstr>
      <vt:lpstr>        Ändrade anslag för utgiftsområde 1 Rikets styrelse</vt:lpstr>
      <vt:lpstr>        Förbättrad kapitalstruktur</vt:lpstr>
      <vt:lpstr>    Motionerna</vt:lpstr>
      <vt:lpstr>        Ändrade anslag för utgiftsområde 1 Rikets styrelse</vt:lpstr>
      <vt:lpstr>        Förbättrad kapitalstruktur</vt:lpstr>
      <vt:lpstr>    Utskottet</vt:lpstr>
      <vt:lpstr>        Regeringsformen</vt:lpstr>
      <vt:lpstr>        Lag om statsbudgeten (budgetlagen) </vt:lpstr>
      <vt:lpstr>        Nuvarande ordning för budgetering och redovisning av inkomster från utdelningar</vt:lpstr>
      <vt:lpstr>        Utskottets ställningstagande</vt:lpstr>
      <vt:lpstr>    1. Ändrade anslag för utgiftsområde 1 Rikets styrelse</vt:lpstr>
      <vt:lpstr>    2. Förbättrad kapitalstruktur</vt:lpstr>
      <vt:lpstr>    1. Anslagsförändringar på tilläggsbudget</vt:lpstr>
      <vt:lpstr>    2. Anslagsförändringar på tilläggsbudget</vt:lpstr>
      <vt:lpstr>    3. Anslagsförändringar på tilläggsbudget</vt:lpstr>
      <vt:lpstr>1999/2000:T1</vt:lpstr>
    </vt:vector>
  </TitlesOfParts>
  <Company>Riksdagen</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2003-05-20T08:37:00Z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