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413" w:rsidRPr="00FC71C9" w:rsidRDefault="002F6413">
      <w:pPr>
        <w:pStyle w:val="RubrikSammanf"/>
        <w:shd w:val="clear" w:color="000000" w:fill="auto"/>
      </w:pPr>
      <w:r w:rsidRPr="00FC71C9">
        <w:t>Sammanfattning</w:t>
      </w:r>
    </w:p>
    <w:p w:rsidR="002F6413" w:rsidRPr="00FC71C9" w:rsidRDefault="002F6413">
      <w:pPr>
        <w:shd w:val="clear" w:color="000000" w:fill="auto"/>
      </w:pPr>
      <w:r w:rsidRPr="00FC71C9">
        <w:t>Mililjöpartiet de gröna kan konstatera att regeringens förslag till budget leder till segregering, ökad utslagning och ett ökat utanförskap. Regeringens förslag inom utgiftsområdet utgör en blandad kompott. Något är dock bra, annat är mindre bra, och en del förslag är verkligen att beklaga. Miljöpartiet har svårt att förstå hur en regering kan lägga sig så platt inom dessa politikområden som man nu väljer att göra genom förslagen till nya mål. Vi avslår självklart dessa förslag.</w:t>
      </w:r>
    </w:p>
    <w:p w:rsidR="002F6413" w:rsidRPr="00FC71C9" w:rsidRDefault="002F6413">
      <w:pPr>
        <w:pStyle w:val="Normaltindrag"/>
        <w:shd w:val="clear" w:color="000000" w:fill="auto"/>
      </w:pPr>
      <w:r w:rsidRPr="00FC71C9">
        <w:t>Förslaget att per den 31 december 2008 avskaffa stödet för avhjälpande av fukt- och mögelskador i småhus beklagar vi verkligen. Däremot ser vi positivt på att regeringen tar till sig gröna förslag som exempelvis att lyfta fram den kooperativa hyresrätten.</w:t>
      </w:r>
    </w:p>
    <w:p w:rsidR="002F6413" w:rsidRPr="00FC71C9" w:rsidRDefault="002F6413">
      <w:pPr>
        <w:pStyle w:val="Normaltindrag"/>
        <w:shd w:val="clear" w:color="000000" w:fill="auto"/>
      </w:pPr>
      <w:r w:rsidRPr="00FC71C9">
        <w:t>Miljöpartiet oroas även över att regeringen inte tycks inse att den förän</w:t>
      </w:r>
      <w:r w:rsidRPr="00FC71C9">
        <w:t>d</w:t>
      </w:r>
      <w:r w:rsidRPr="00FC71C9">
        <w:t>ring man genomför på de flesta politikområden, där individen i ökad utsträc</w:t>
      </w:r>
      <w:r w:rsidRPr="00FC71C9">
        <w:t>k</w:t>
      </w:r>
      <w:r w:rsidRPr="00FC71C9">
        <w:t>ning förvandlas till kund i stället för att vara medborgare, innebär ett ökat behov av stöd. Det vore rimligt av regeringen att för att stärka konsumenterna i den alltmer utsatta rollen även stärkte Konsumentverket. Vi väljer att i vårt alternativa förslag ge Konsumentverket ökade resurser i stället för mindre för att möta de växande behov som regeringens politik skapar även om vi inte instämmer i många av de förslag som skapar beh</w:t>
      </w:r>
      <w:r w:rsidRPr="00FC71C9">
        <w:t>oven. Vi försöker att i våra förslag värna människorna även i det allt hårdare och mer utanför</w:t>
      </w:r>
      <w:r w:rsidRPr="00FC71C9">
        <w:softHyphen/>
        <w:t>skapande klimat som regeringens politik leder till.</w:t>
      </w:r>
    </w:p>
    <w:p w:rsidR="002F6413" w:rsidRPr="00FC71C9" w:rsidRDefault="002F6413">
      <w:pPr>
        <w:pStyle w:val="Hemstlrubrik"/>
        <w:shd w:val="clear" w:color="000000" w:fill="auto"/>
      </w:pPr>
      <w:r w:rsidRPr="00FC71C9">
        <w:lastRenderedPageBreak/>
        <w:t>Förslag till riksdagsbeslut</w:t>
      </w:r>
    </w:p>
    <w:p w:rsidR="002F6413" w:rsidRPr="00FC71C9" w:rsidRDefault="002F6413">
      <w:pPr>
        <w:pStyle w:val="Hemstlatt"/>
        <w:numPr>
          <w:ilvl w:val="0"/>
          <w:numId w:val="1"/>
        </w:numPr>
        <w:shd w:val="clear" w:color="000000" w:fill="auto"/>
      </w:pPr>
      <w:r w:rsidRPr="00FC71C9">
        <w:t>Riksdagen tillkännager för regeringen som sin mening vad som anförs i motionen om nya mål för politikområdet B</w:t>
      </w:r>
      <w:r w:rsidRPr="00FC71C9">
        <w:t>o</w:t>
      </w:r>
      <w:r w:rsidRPr="00FC71C9">
        <w:t>stadspolitik.</w:t>
      </w:r>
    </w:p>
    <w:p w:rsidR="002F6413" w:rsidRPr="00FC71C9" w:rsidRDefault="002F6413">
      <w:pPr>
        <w:pStyle w:val="Hemstlatt"/>
        <w:numPr>
          <w:ilvl w:val="0"/>
          <w:numId w:val="1"/>
        </w:numPr>
        <w:shd w:val="clear" w:color="000000" w:fill="auto"/>
      </w:pPr>
      <w:r w:rsidRPr="00FC71C9">
        <w:t>Riksdagen tillkännager för regeringen som sin mening vad som anförs i motionen om förslaget att avveckla stödet till åtgärder mot radon i bostäder.</w:t>
      </w:r>
    </w:p>
    <w:p w:rsidR="002F6413" w:rsidRPr="00FC71C9" w:rsidRDefault="002F6413">
      <w:pPr>
        <w:pStyle w:val="Hemstlatt"/>
        <w:numPr>
          <w:ilvl w:val="0"/>
          <w:numId w:val="1"/>
        </w:numPr>
        <w:shd w:val="clear" w:color="000000" w:fill="auto"/>
      </w:pPr>
      <w:r w:rsidRPr="00FC71C9">
        <w:t>Riksdagen tillkännager för regeringen som sin mening vad som anförs i motionen om Fonden för fukt- och mögelskador.</w:t>
      </w:r>
    </w:p>
    <w:p w:rsidR="002F6413" w:rsidRPr="00FC71C9" w:rsidRDefault="002F6413">
      <w:pPr>
        <w:pStyle w:val="Hemstlatt"/>
        <w:numPr>
          <w:ilvl w:val="0"/>
          <w:numId w:val="1"/>
        </w:numPr>
        <w:shd w:val="clear" w:color="000000" w:fill="auto"/>
      </w:pPr>
      <w:r w:rsidRPr="00FC71C9">
        <w:t>Riksdagen tillkännager för regeringen som sin mening vad som anförs i motionen om nytt mål för politikområdet Konsumentpol</w:t>
      </w:r>
      <w:r w:rsidRPr="00FC71C9">
        <w:t>i</w:t>
      </w:r>
      <w:r w:rsidRPr="00FC71C9">
        <w:t>tik.</w:t>
      </w:r>
    </w:p>
    <w:p w:rsidR="002F6413" w:rsidRPr="00FC71C9" w:rsidRDefault="002F6413">
      <w:pPr>
        <w:pStyle w:val="Hemstlatt"/>
        <w:numPr>
          <w:ilvl w:val="0"/>
          <w:numId w:val="1"/>
        </w:numPr>
        <w:shd w:val="clear" w:color="000000" w:fill="auto"/>
      </w:pPr>
      <w:r w:rsidRPr="00FC71C9">
        <w:t>Riksdagen tillkännager för regeringen som sin mening vad som anförs i motionen om behoven av förstärkning av resurser på ko</w:t>
      </w:r>
      <w:r w:rsidRPr="00FC71C9">
        <w:t>n</w:t>
      </w:r>
      <w:r w:rsidRPr="00FC71C9">
        <w:t>sumentpolitikens område.</w:t>
      </w:r>
    </w:p>
    <w:p w:rsidR="002F6413" w:rsidRPr="00FC71C9" w:rsidRDefault="002F6413">
      <w:pPr>
        <w:pStyle w:val="Hemstlatt"/>
        <w:numPr>
          <w:ilvl w:val="0"/>
          <w:numId w:val="1"/>
        </w:numPr>
        <w:shd w:val="clear" w:color="000000" w:fill="auto"/>
      </w:pPr>
      <w:r w:rsidRPr="00FC71C9">
        <w:t>Riksdagen tillkännager för regeringen som sin mening vad som anförs i motionen om omställningskostnader som förorsakats Ko</w:t>
      </w:r>
      <w:r w:rsidRPr="00FC71C9">
        <w:t>n</w:t>
      </w:r>
      <w:r w:rsidRPr="00FC71C9">
        <w:t>sumentverket på grund av utlokaliseringen till Karlstad.</w:t>
      </w:r>
    </w:p>
    <w:p w:rsidR="002F6413" w:rsidRPr="00FC71C9" w:rsidRDefault="002F6413">
      <w:pPr>
        <w:pStyle w:val="Hemstlatt"/>
        <w:numPr>
          <w:ilvl w:val="0"/>
          <w:numId w:val="1"/>
        </w:numPr>
        <w:shd w:val="clear" w:color="000000" w:fill="auto"/>
      </w:pPr>
      <w:r w:rsidRPr="00FC71C9">
        <w:t>Riksdagen anvisar med följande ändringar i förhållande till regeringens förslag utökade medel på utgiftsområde 18 Samhällsplan</w:t>
      </w:r>
      <w:r w:rsidRPr="00FC71C9">
        <w:t>e</w:t>
      </w:r>
      <w:r w:rsidRPr="00FC71C9">
        <w:t>ring, bostadsförsörjning, byggande samt konsumentpolitik under respe</w:t>
      </w:r>
      <w:r w:rsidRPr="00FC71C9">
        <w:t>k</w:t>
      </w:r>
      <w:r w:rsidRPr="00FC71C9">
        <w:t>tive anslag enligt uppställning:</w:t>
      </w:r>
    </w:p>
    <w:tbl>
      <w:tblPr>
        <w:tblW w:w="6010" w:type="dxa"/>
        <w:tblInd w:w="70" w:type="dxa"/>
        <w:tblCellMar>
          <w:left w:w="70" w:type="dxa"/>
          <w:right w:w="70" w:type="dxa"/>
        </w:tblCellMar>
        <w:tblLook w:val="0000" w:firstRow="0" w:lastRow="0" w:firstColumn="0" w:lastColumn="0" w:noHBand="0" w:noVBand="0"/>
      </w:tblPr>
      <w:tblGrid>
        <w:gridCol w:w="1064"/>
        <w:gridCol w:w="1751"/>
        <w:gridCol w:w="1065"/>
        <w:gridCol w:w="1065"/>
        <w:gridCol w:w="1065"/>
      </w:tblGrid>
      <w:tr w:rsidR="00000000" w:rsidRPr="00FC71C9">
        <w:trPr>
          <w:trHeight w:val="270"/>
        </w:trPr>
        <w:tc>
          <w:tcPr>
            <w:tcW w:w="1064" w:type="dxa"/>
            <w:tcBorders>
              <w:top w:val="single" w:sz="4" w:space="0" w:color="auto"/>
              <w:bottom w:val="single" w:sz="4" w:space="0" w:color="auto"/>
            </w:tcBorders>
            <w:noWrap/>
            <w:vAlign w:val="bottom"/>
          </w:tcPr>
          <w:p w:rsidR="002F6413" w:rsidRPr="00FC71C9" w:rsidRDefault="002F6413">
            <w:pPr>
              <w:shd w:val="clear" w:color="000000" w:fill="auto"/>
              <w:spacing w:before="60" w:line="200" w:lineRule="exact"/>
              <w:rPr>
                <w:sz w:val="16"/>
                <w:szCs w:val="16"/>
              </w:rPr>
            </w:pPr>
            <w:r w:rsidRPr="00FC71C9">
              <w:rPr>
                <w:b/>
                <w:bCs/>
                <w:sz w:val="16"/>
                <w:szCs w:val="16"/>
              </w:rPr>
              <w:t xml:space="preserve">Anslag </w:t>
            </w:r>
          </w:p>
        </w:tc>
        <w:tc>
          <w:tcPr>
            <w:tcW w:w="1751" w:type="dxa"/>
            <w:tcBorders>
              <w:top w:val="single" w:sz="4" w:space="0" w:color="auto"/>
              <w:bottom w:val="single" w:sz="4" w:space="0" w:color="auto"/>
            </w:tcBorders>
            <w:noWrap/>
            <w:vAlign w:val="bottom"/>
          </w:tcPr>
          <w:p w:rsidR="002F6413" w:rsidRPr="00FC71C9" w:rsidRDefault="002F6413">
            <w:pPr>
              <w:shd w:val="clear" w:color="000000" w:fill="auto"/>
              <w:spacing w:before="60" w:line="200" w:lineRule="exact"/>
              <w:rPr>
                <w:b/>
                <w:bCs/>
                <w:sz w:val="16"/>
                <w:szCs w:val="16"/>
              </w:rPr>
            </w:pPr>
          </w:p>
        </w:tc>
        <w:tc>
          <w:tcPr>
            <w:tcW w:w="3195" w:type="dxa"/>
            <w:gridSpan w:val="3"/>
            <w:tcBorders>
              <w:top w:val="single" w:sz="4" w:space="0" w:color="auto"/>
              <w:bottom w:val="single" w:sz="4" w:space="0" w:color="auto"/>
            </w:tcBorders>
            <w:noWrap/>
            <w:vAlign w:val="bottom"/>
          </w:tcPr>
          <w:p w:rsidR="002F6413" w:rsidRPr="00FC71C9" w:rsidRDefault="002F6413">
            <w:pPr>
              <w:shd w:val="clear" w:color="000000" w:fill="auto"/>
              <w:spacing w:before="60" w:line="200" w:lineRule="exact"/>
              <w:rPr>
                <w:b/>
                <w:bCs/>
                <w:sz w:val="16"/>
                <w:szCs w:val="16"/>
              </w:rPr>
            </w:pPr>
            <w:r w:rsidRPr="00FC71C9">
              <w:rPr>
                <w:b/>
                <w:bCs/>
                <w:sz w:val="16"/>
                <w:szCs w:val="16"/>
              </w:rPr>
              <w:t>Anslagsförändring (miljoner kronor)</w:t>
            </w:r>
          </w:p>
        </w:tc>
      </w:tr>
      <w:tr w:rsidR="00000000" w:rsidRPr="00FC71C9">
        <w:trPr>
          <w:trHeight w:val="270"/>
        </w:trPr>
        <w:tc>
          <w:tcPr>
            <w:tcW w:w="1064" w:type="dxa"/>
            <w:tcBorders>
              <w:top w:val="single" w:sz="4" w:space="0" w:color="auto"/>
              <w:bottom w:val="single" w:sz="4" w:space="0" w:color="auto"/>
            </w:tcBorders>
            <w:noWrap/>
            <w:vAlign w:val="bottom"/>
          </w:tcPr>
          <w:p w:rsidR="002F6413" w:rsidRPr="00FC71C9" w:rsidRDefault="002F6413">
            <w:pPr>
              <w:shd w:val="clear" w:color="000000" w:fill="auto"/>
              <w:spacing w:before="60" w:line="200" w:lineRule="exact"/>
            </w:pPr>
          </w:p>
        </w:tc>
        <w:tc>
          <w:tcPr>
            <w:tcW w:w="1751" w:type="dxa"/>
            <w:tcBorders>
              <w:top w:val="single" w:sz="4" w:space="0" w:color="auto"/>
              <w:bottom w:val="single" w:sz="4" w:space="0" w:color="auto"/>
            </w:tcBorders>
            <w:noWrap/>
            <w:vAlign w:val="bottom"/>
          </w:tcPr>
          <w:p w:rsidR="002F6413" w:rsidRPr="00FC71C9" w:rsidRDefault="002F6413">
            <w:pPr>
              <w:shd w:val="clear" w:color="000000" w:fill="auto"/>
              <w:spacing w:before="60" w:line="200" w:lineRule="exact"/>
              <w:rPr>
                <w:b/>
                <w:bCs/>
                <w:sz w:val="16"/>
                <w:szCs w:val="16"/>
              </w:rPr>
            </w:pPr>
          </w:p>
        </w:tc>
        <w:tc>
          <w:tcPr>
            <w:tcW w:w="1065" w:type="dxa"/>
            <w:tcBorders>
              <w:top w:val="single" w:sz="4" w:space="0" w:color="auto"/>
              <w:bottom w:val="single" w:sz="4" w:space="0" w:color="auto"/>
            </w:tcBorders>
            <w:noWrap/>
            <w:vAlign w:val="bottom"/>
          </w:tcPr>
          <w:p w:rsidR="002F6413" w:rsidRPr="00FC71C9" w:rsidRDefault="002F6413">
            <w:pPr>
              <w:shd w:val="clear" w:color="000000" w:fill="auto"/>
              <w:spacing w:before="60" w:line="200" w:lineRule="exact"/>
              <w:jc w:val="center"/>
              <w:rPr>
                <w:b/>
                <w:bCs/>
                <w:sz w:val="16"/>
                <w:szCs w:val="16"/>
              </w:rPr>
            </w:pPr>
            <w:r w:rsidRPr="00FC71C9">
              <w:rPr>
                <w:b/>
                <w:bCs/>
                <w:sz w:val="16"/>
                <w:szCs w:val="16"/>
              </w:rPr>
              <w:t>2008</w:t>
            </w:r>
          </w:p>
        </w:tc>
        <w:tc>
          <w:tcPr>
            <w:tcW w:w="1065" w:type="dxa"/>
            <w:tcBorders>
              <w:top w:val="single" w:sz="4" w:space="0" w:color="auto"/>
              <w:bottom w:val="single" w:sz="4" w:space="0" w:color="auto"/>
            </w:tcBorders>
            <w:vAlign w:val="bottom"/>
          </w:tcPr>
          <w:p w:rsidR="002F6413" w:rsidRPr="00FC71C9" w:rsidRDefault="002F6413">
            <w:pPr>
              <w:shd w:val="clear" w:color="000000" w:fill="auto"/>
              <w:spacing w:before="60" w:line="200" w:lineRule="exact"/>
              <w:jc w:val="center"/>
              <w:rPr>
                <w:b/>
                <w:bCs/>
                <w:sz w:val="16"/>
                <w:szCs w:val="16"/>
              </w:rPr>
            </w:pPr>
            <w:r w:rsidRPr="00FC71C9">
              <w:rPr>
                <w:b/>
                <w:bCs/>
                <w:sz w:val="16"/>
                <w:szCs w:val="16"/>
              </w:rPr>
              <w:t>2009</w:t>
            </w:r>
          </w:p>
        </w:tc>
        <w:tc>
          <w:tcPr>
            <w:tcW w:w="1065" w:type="dxa"/>
            <w:tcBorders>
              <w:top w:val="single" w:sz="4" w:space="0" w:color="auto"/>
              <w:bottom w:val="single" w:sz="4" w:space="0" w:color="auto"/>
            </w:tcBorders>
            <w:vAlign w:val="bottom"/>
          </w:tcPr>
          <w:p w:rsidR="002F6413" w:rsidRPr="00FC71C9" w:rsidRDefault="002F6413">
            <w:pPr>
              <w:shd w:val="clear" w:color="000000" w:fill="auto"/>
              <w:spacing w:before="60" w:line="200" w:lineRule="exact"/>
              <w:jc w:val="center"/>
              <w:rPr>
                <w:b/>
                <w:bCs/>
                <w:sz w:val="16"/>
                <w:szCs w:val="16"/>
              </w:rPr>
            </w:pPr>
            <w:r w:rsidRPr="00FC71C9">
              <w:rPr>
                <w:b/>
                <w:bCs/>
                <w:sz w:val="16"/>
                <w:szCs w:val="16"/>
              </w:rPr>
              <w:t>2010</w:t>
            </w:r>
          </w:p>
        </w:tc>
      </w:tr>
      <w:tr w:rsidR="00000000" w:rsidRPr="00FC71C9">
        <w:trPr>
          <w:trHeight w:val="255"/>
        </w:trPr>
        <w:tc>
          <w:tcPr>
            <w:tcW w:w="1064" w:type="dxa"/>
            <w:noWrap/>
            <w:vAlign w:val="bottom"/>
          </w:tcPr>
          <w:p w:rsidR="002F6413" w:rsidRPr="00FC71C9" w:rsidRDefault="002F6413">
            <w:pPr>
              <w:shd w:val="clear" w:color="000000" w:fill="auto"/>
              <w:spacing w:before="60" w:line="200" w:lineRule="exact"/>
              <w:rPr>
                <w:sz w:val="16"/>
                <w:szCs w:val="16"/>
              </w:rPr>
            </w:pPr>
            <w:r w:rsidRPr="00FC71C9">
              <w:rPr>
                <w:sz w:val="16"/>
                <w:szCs w:val="16"/>
              </w:rPr>
              <w:t>40:2</w:t>
            </w:r>
          </w:p>
        </w:tc>
        <w:tc>
          <w:tcPr>
            <w:tcW w:w="1751" w:type="dxa"/>
            <w:noWrap/>
            <w:vAlign w:val="bottom"/>
          </w:tcPr>
          <w:p w:rsidR="002F6413" w:rsidRPr="00FC71C9" w:rsidRDefault="002F6413">
            <w:pPr>
              <w:shd w:val="clear" w:color="000000" w:fill="auto"/>
              <w:spacing w:before="60" w:line="200" w:lineRule="exact"/>
              <w:rPr>
                <w:sz w:val="16"/>
                <w:szCs w:val="16"/>
              </w:rPr>
            </w:pPr>
            <w:r w:rsidRPr="00FC71C9">
              <w:rPr>
                <w:sz w:val="16"/>
                <w:szCs w:val="16"/>
              </w:rPr>
              <w:t>Konsumentverket</w:t>
            </w:r>
          </w:p>
        </w:tc>
        <w:tc>
          <w:tcPr>
            <w:tcW w:w="1065" w:type="dxa"/>
            <w:noWrap/>
            <w:vAlign w:val="bottom"/>
          </w:tcPr>
          <w:p w:rsidR="002F6413" w:rsidRPr="00FC71C9" w:rsidRDefault="002F6413">
            <w:pPr>
              <w:shd w:val="clear" w:color="000000" w:fill="auto"/>
              <w:spacing w:before="60" w:line="200" w:lineRule="exact"/>
              <w:ind w:left="-350" w:right="315"/>
              <w:jc w:val="right"/>
              <w:rPr>
                <w:sz w:val="16"/>
                <w:szCs w:val="16"/>
              </w:rPr>
            </w:pPr>
            <w:r w:rsidRPr="00FC71C9">
              <w:rPr>
                <w:sz w:val="16"/>
                <w:szCs w:val="16"/>
              </w:rPr>
              <w:t>37</w:t>
            </w:r>
          </w:p>
        </w:tc>
        <w:tc>
          <w:tcPr>
            <w:tcW w:w="1065" w:type="dxa"/>
            <w:noWrap/>
            <w:vAlign w:val="bottom"/>
          </w:tcPr>
          <w:p w:rsidR="002F6413" w:rsidRPr="00FC71C9" w:rsidRDefault="002F6413">
            <w:pPr>
              <w:shd w:val="clear" w:color="000000" w:fill="auto"/>
              <w:spacing w:before="60" w:line="200" w:lineRule="exact"/>
              <w:ind w:left="-350" w:right="315"/>
              <w:jc w:val="right"/>
              <w:rPr>
                <w:sz w:val="16"/>
                <w:szCs w:val="16"/>
              </w:rPr>
            </w:pPr>
            <w:r w:rsidRPr="00FC71C9">
              <w:rPr>
                <w:sz w:val="16"/>
                <w:szCs w:val="16"/>
              </w:rPr>
              <w:t>37</w:t>
            </w:r>
          </w:p>
        </w:tc>
        <w:tc>
          <w:tcPr>
            <w:tcW w:w="1065" w:type="dxa"/>
            <w:noWrap/>
            <w:vAlign w:val="bottom"/>
          </w:tcPr>
          <w:p w:rsidR="002F6413" w:rsidRPr="00FC71C9" w:rsidRDefault="002F6413">
            <w:pPr>
              <w:shd w:val="clear" w:color="000000" w:fill="auto"/>
              <w:spacing w:before="60" w:line="200" w:lineRule="exact"/>
              <w:ind w:left="-350" w:right="315"/>
              <w:jc w:val="right"/>
              <w:rPr>
                <w:sz w:val="16"/>
                <w:szCs w:val="16"/>
              </w:rPr>
            </w:pPr>
            <w:r w:rsidRPr="00FC71C9">
              <w:rPr>
                <w:sz w:val="16"/>
                <w:szCs w:val="16"/>
              </w:rPr>
              <w:t>37</w:t>
            </w:r>
          </w:p>
        </w:tc>
      </w:tr>
      <w:tr w:rsidR="00000000" w:rsidRPr="00FC71C9">
        <w:trPr>
          <w:trHeight w:val="255"/>
        </w:trPr>
        <w:tc>
          <w:tcPr>
            <w:tcW w:w="1064" w:type="dxa"/>
            <w:noWrap/>
            <w:vAlign w:val="bottom"/>
          </w:tcPr>
          <w:p w:rsidR="002F6413" w:rsidRPr="00FC71C9" w:rsidRDefault="002F6413">
            <w:pPr>
              <w:shd w:val="clear" w:color="000000" w:fill="auto"/>
              <w:spacing w:before="60" w:line="200" w:lineRule="exact"/>
              <w:rPr>
                <w:sz w:val="16"/>
                <w:szCs w:val="16"/>
              </w:rPr>
            </w:pPr>
            <w:r w:rsidRPr="00FC71C9">
              <w:rPr>
                <w:sz w:val="16"/>
                <w:szCs w:val="16"/>
              </w:rPr>
              <w:t>34:4</w:t>
            </w:r>
          </w:p>
        </w:tc>
        <w:tc>
          <w:tcPr>
            <w:tcW w:w="1751" w:type="dxa"/>
            <w:noWrap/>
            <w:vAlign w:val="bottom"/>
          </w:tcPr>
          <w:p w:rsidR="002F6413" w:rsidRPr="00FC71C9" w:rsidRDefault="002F6413">
            <w:pPr>
              <w:shd w:val="clear" w:color="000000" w:fill="auto"/>
              <w:spacing w:before="60" w:line="200" w:lineRule="exact"/>
              <w:rPr>
                <w:sz w:val="16"/>
                <w:szCs w:val="16"/>
              </w:rPr>
            </w:pPr>
            <w:r w:rsidRPr="00FC71C9">
              <w:rPr>
                <w:sz w:val="16"/>
                <w:szCs w:val="16"/>
              </w:rPr>
              <w:t>Radon i bostäder</w:t>
            </w:r>
          </w:p>
        </w:tc>
        <w:tc>
          <w:tcPr>
            <w:tcW w:w="1065" w:type="dxa"/>
            <w:noWrap/>
            <w:vAlign w:val="bottom"/>
          </w:tcPr>
          <w:p w:rsidR="002F6413" w:rsidRPr="00FC71C9" w:rsidRDefault="002F6413">
            <w:pPr>
              <w:shd w:val="clear" w:color="000000" w:fill="auto"/>
              <w:spacing w:before="60" w:line="200" w:lineRule="exact"/>
              <w:ind w:left="-350" w:right="315"/>
              <w:jc w:val="right"/>
              <w:rPr>
                <w:sz w:val="16"/>
                <w:szCs w:val="16"/>
              </w:rPr>
            </w:pPr>
            <w:r w:rsidRPr="00FC71C9">
              <w:rPr>
                <w:sz w:val="16"/>
                <w:szCs w:val="16"/>
              </w:rPr>
              <w:t>2</w:t>
            </w:r>
          </w:p>
        </w:tc>
        <w:tc>
          <w:tcPr>
            <w:tcW w:w="1065" w:type="dxa"/>
            <w:noWrap/>
            <w:vAlign w:val="bottom"/>
          </w:tcPr>
          <w:p w:rsidR="002F6413" w:rsidRPr="00FC71C9" w:rsidRDefault="002F6413">
            <w:pPr>
              <w:shd w:val="clear" w:color="000000" w:fill="auto"/>
              <w:spacing w:before="60" w:line="200" w:lineRule="exact"/>
              <w:ind w:left="-350" w:right="315"/>
              <w:jc w:val="right"/>
              <w:rPr>
                <w:sz w:val="16"/>
                <w:szCs w:val="16"/>
              </w:rPr>
            </w:pPr>
            <w:r w:rsidRPr="00FC71C9">
              <w:rPr>
                <w:sz w:val="16"/>
                <w:szCs w:val="16"/>
              </w:rPr>
              <w:t>2</w:t>
            </w:r>
          </w:p>
        </w:tc>
        <w:tc>
          <w:tcPr>
            <w:tcW w:w="1065" w:type="dxa"/>
            <w:noWrap/>
            <w:vAlign w:val="bottom"/>
          </w:tcPr>
          <w:p w:rsidR="002F6413" w:rsidRPr="00FC71C9" w:rsidRDefault="002F6413">
            <w:pPr>
              <w:shd w:val="clear" w:color="000000" w:fill="auto"/>
              <w:spacing w:before="60" w:line="200" w:lineRule="exact"/>
              <w:ind w:left="-350" w:right="315"/>
              <w:jc w:val="right"/>
              <w:rPr>
                <w:sz w:val="16"/>
                <w:szCs w:val="16"/>
              </w:rPr>
            </w:pPr>
            <w:r w:rsidRPr="00FC71C9">
              <w:rPr>
                <w:sz w:val="16"/>
                <w:szCs w:val="16"/>
              </w:rPr>
              <w:t>2</w:t>
            </w:r>
          </w:p>
        </w:tc>
      </w:tr>
      <w:tr w:rsidR="00000000" w:rsidRPr="00FC71C9">
        <w:trPr>
          <w:trHeight w:val="255"/>
        </w:trPr>
        <w:tc>
          <w:tcPr>
            <w:tcW w:w="1064" w:type="dxa"/>
            <w:noWrap/>
          </w:tcPr>
          <w:p w:rsidR="002F6413" w:rsidRPr="00FC71C9" w:rsidRDefault="002F6413">
            <w:pPr>
              <w:shd w:val="clear" w:color="000000" w:fill="auto"/>
              <w:spacing w:before="60" w:line="200" w:lineRule="exact"/>
              <w:rPr>
                <w:sz w:val="16"/>
                <w:szCs w:val="16"/>
              </w:rPr>
            </w:pPr>
            <w:r w:rsidRPr="00FC71C9">
              <w:rPr>
                <w:sz w:val="16"/>
                <w:szCs w:val="16"/>
              </w:rPr>
              <w:t>31:10</w:t>
            </w:r>
          </w:p>
        </w:tc>
        <w:tc>
          <w:tcPr>
            <w:tcW w:w="1751" w:type="dxa"/>
            <w:noWrap/>
            <w:vAlign w:val="bottom"/>
          </w:tcPr>
          <w:p w:rsidR="002F6413" w:rsidRPr="00FC71C9" w:rsidRDefault="002F6413">
            <w:pPr>
              <w:shd w:val="clear" w:color="000000" w:fill="auto"/>
              <w:spacing w:before="60" w:line="200" w:lineRule="exact"/>
              <w:ind w:right="170"/>
              <w:rPr>
                <w:sz w:val="16"/>
                <w:szCs w:val="16"/>
              </w:rPr>
            </w:pPr>
            <w:r w:rsidRPr="00FC71C9">
              <w:rPr>
                <w:sz w:val="16"/>
                <w:szCs w:val="16"/>
              </w:rPr>
              <w:t>Fonden för fukt- och mögelskador</w:t>
            </w:r>
          </w:p>
        </w:tc>
        <w:tc>
          <w:tcPr>
            <w:tcW w:w="1065" w:type="dxa"/>
            <w:noWrap/>
            <w:vAlign w:val="bottom"/>
          </w:tcPr>
          <w:p w:rsidR="002F6413" w:rsidRPr="00FC71C9" w:rsidRDefault="002F6413">
            <w:pPr>
              <w:shd w:val="clear" w:color="000000" w:fill="auto"/>
              <w:spacing w:before="60" w:line="200" w:lineRule="exact"/>
              <w:ind w:left="-350" w:right="315"/>
              <w:rPr>
                <w:sz w:val="16"/>
                <w:szCs w:val="16"/>
              </w:rPr>
            </w:pPr>
          </w:p>
        </w:tc>
        <w:tc>
          <w:tcPr>
            <w:tcW w:w="1065" w:type="dxa"/>
            <w:noWrap/>
            <w:vAlign w:val="bottom"/>
          </w:tcPr>
          <w:p w:rsidR="002F6413" w:rsidRPr="00FC71C9" w:rsidRDefault="002F6413">
            <w:pPr>
              <w:shd w:val="clear" w:color="000000" w:fill="auto"/>
              <w:spacing w:before="60" w:line="200" w:lineRule="exact"/>
              <w:ind w:left="-350" w:right="315"/>
              <w:jc w:val="right"/>
              <w:rPr>
                <w:sz w:val="16"/>
                <w:szCs w:val="16"/>
              </w:rPr>
            </w:pPr>
            <w:r w:rsidRPr="00FC71C9">
              <w:rPr>
                <w:sz w:val="16"/>
                <w:szCs w:val="16"/>
              </w:rPr>
              <w:t>10</w:t>
            </w:r>
          </w:p>
        </w:tc>
        <w:tc>
          <w:tcPr>
            <w:tcW w:w="1065" w:type="dxa"/>
            <w:noWrap/>
            <w:vAlign w:val="bottom"/>
          </w:tcPr>
          <w:p w:rsidR="002F6413" w:rsidRPr="00FC71C9" w:rsidRDefault="002F6413">
            <w:pPr>
              <w:shd w:val="clear" w:color="000000" w:fill="auto"/>
              <w:spacing w:before="60" w:line="200" w:lineRule="exact"/>
              <w:ind w:left="-350" w:right="315"/>
              <w:jc w:val="right"/>
              <w:rPr>
                <w:sz w:val="16"/>
                <w:szCs w:val="16"/>
              </w:rPr>
            </w:pPr>
            <w:r w:rsidRPr="00FC71C9">
              <w:rPr>
                <w:sz w:val="16"/>
                <w:szCs w:val="16"/>
              </w:rPr>
              <w:t>10</w:t>
            </w:r>
          </w:p>
        </w:tc>
      </w:tr>
      <w:tr w:rsidR="00000000" w:rsidRPr="00FC71C9">
        <w:trPr>
          <w:trHeight w:val="270"/>
        </w:trPr>
        <w:tc>
          <w:tcPr>
            <w:tcW w:w="2815" w:type="dxa"/>
            <w:gridSpan w:val="2"/>
            <w:tcBorders>
              <w:bottom w:val="single" w:sz="4" w:space="0" w:color="auto"/>
            </w:tcBorders>
            <w:noWrap/>
            <w:vAlign w:val="bottom"/>
          </w:tcPr>
          <w:p w:rsidR="002F6413" w:rsidRPr="00FC71C9" w:rsidRDefault="002F6413">
            <w:pPr>
              <w:shd w:val="clear" w:color="000000" w:fill="auto"/>
              <w:spacing w:before="60" w:line="200" w:lineRule="exact"/>
              <w:rPr>
                <w:b/>
                <w:bCs/>
                <w:sz w:val="16"/>
                <w:szCs w:val="16"/>
              </w:rPr>
            </w:pPr>
            <w:r w:rsidRPr="00FC71C9">
              <w:rPr>
                <w:b/>
                <w:bCs/>
                <w:sz w:val="16"/>
                <w:szCs w:val="16"/>
              </w:rPr>
              <w:t>Summa för utgiftsområdet</w:t>
            </w:r>
          </w:p>
        </w:tc>
        <w:tc>
          <w:tcPr>
            <w:tcW w:w="1065" w:type="dxa"/>
            <w:tcBorders>
              <w:bottom w:val="single" w:sz="4" w:space="0" w:color="auto"/>
            </w:tcBorders>
            <w:noWrap/>
            <w:vAlign w:val="bottom"/>
          </w:tcPr>
          <w:p w:rsidR="002F6413" w:rsidRPr="00FC71C9" w:rsidRDefault="002F6413">
            <w:pPr>
              <w:shd w:val="clear" w:color="000000" w:fill="auto"/>
              <w:spacing w:before="60" w:line="200" w:lineRule="exact"/>
              <w:ind w:left="-350" w:right="315"/>
              <w:jc w:val="right"/>
              <w:rPr>
                <w:b/>
                <w:bCs/>
                <w:sz w:val="16"/>
                <w:szCs w:val="16"/>
              </w:rPr>
            </w:pPr>
            <w:r w:rsidRPr="00FC71C9">
              <w:rPr>
                <w:b/>
                <w:bCs/>
                <w:sz w:val="16"/>
                <w:szCs w:val="16"/>
              </w:rPr>
              <w:t>39</w:t>
            </w:r>
          </w:p>
        </w:tc>
        <w:tc>
          <w:tcPr>
            <w:tcW w:w="1065" w:type="dxa"/>
            <w:tcBorders>
              <w:bottom w:val="single" w:sz="4" w:space="0" w:color="auto"/>
            </w:tcBorders>
            <w:noWrap/>
            <w:vAlign w:val="bottom"/>
          </w:tcPr>
          <w:p w:rsidR="002F6413" w:rsidRPr="00FC71C9" w:rsidRDefault="002F6413">
            <w:pPr>
              <w:shd w:val="clear" w:color="000000" w:fill="auto"/>
              <w:spacing w:before="60" w:line="200" w:lineRule="exact"/>
              <w:ind w:left="-350" w:right="315"/>
              <w:jc w:val="right"/>
              <w:rPr>
                <w:b/>
                <w:bCs/>
                <w:sz w:val="16"/>
                <w:szCs w:val="16"/>
              </w:rPr>
            </w:pPr>
            <w:r w:rsidRPr="00FC71C9">
              <w:rPr>
                <w:b/>
                <w:bCs/>
                <w:sz w:val="16"/>
                <w:szCs w:val="16"/>
              </w:rPr>
              <w:t>49</w:t>
            </w:r>
          </w:p>
        </w:tc>
        <w:tc>
          <w:tcPr>
            <w:tcW w:w="1065" w:type="dxa"/>
            <w:tcBorders>
              <w:bottom w:val="single" w:sz="4" w:space="0" w:color="auto"/>
            </w:tcBorders>
            <w:noWrap/>
            <w:vAlign w:val="bottom"/>
          </w:tcPr>
          <w:p w:rsidR="002F6413" w:rsidRPr="00FC71C9" w:rsidRDefault="002F6413">
            <w:pPr>
              <w:shd w:val="clear" w:color="000000" w:fill="auto"/>
              <w:spacing w:before="60" w:line="200" w:lineRule="exact"/>
              <w:ind w:left="-350" w:right="315"/>
              <w:jc w:val="right"/>
              <w:rPr>
                <w:b/>
                <w:bCs/>
                <w:sz w:val="16"/>
                <w:szCs w:val="16"/>
              </w:rPr>
            </w:pPr>
            <w:r w:rsidRPr="00FC71C9">
              <w:rPr>
                <w:b/>
                <w:bCs/>
                <w:sz w:val="16"/>
                <w:szCs w:val="16"/>
              </w:rPr>
              <w:t>49</w:t>
            </w:r>
          </w:p>
        </w:tc>
      </w:tr>
    </w:tbl>
    <w:p w:rsidR="002F6413" w:rsidRPr="00FC71C9" w:rsidRDefault="002F6413">
      <w:pPr>
        <w:shd w:val="clear" w:color="000000" w:fill="auto"/>
      </w:pPr>
    </w:p>
    <w:p w:rsidR="002F6413" w:rsidRPr="00FC71C9" w:rsidRDefault="002F6413">
      <w:pPr>
        <w:pStyle w:val="Rubrik1"/>
        <w:shd w:val="clear" w:color="000000" w:fill="auto"/>
      </w:pPr>
      <w:r w:rsidRPr="00FC71C9">
        <w:t>Bostadspolitikens område</w:t>
      </w:r>
    </w:p>
    <w:p w:rsidR="002F6413" w:rsidRPr="00FC71C9" w:rsidRDefault="002F6413">
      <w:pPr>
        <w:pStyle w:val="Rubrik2"/>
        <w:shd w:val="clear" w:color="000000" w:fill="auto"/>
        <w:spacing w:before="120"/>
      </w:pPr>
      <w:r w:rsidRPr="00FC71C9">
        <w:t>Bostadspolitiskt mål</w:t>
      </w:r>
    </w:p>
    <w:p w:rsidR="002F6413" w:rsidRPr="00FC71C9" w:rsidRDefault="002F6413">
      <w:pPr>
        <w:shd w:val="clear" w:color="000000" w:fill="auto"/>
      </w:pPr>
      <w:r w:rsidRPr="00FC71C9">
        <w:t>Bostadspolitiken är inte i första hand till för dem som klarar sig utan den politiken, vilket regeringen tycks anse. I stället är den till för dem som beh</w:t>
      </w:r>
      <w:r w:rsidRPr="00FC71C9">
        <w:t>ö</w:t>
      </w:r>
      <w:r w:rsidRPr="00FC71C9">
        <w:t>ver stöd i någon form. Regeringen föreslår att bostadspolitikens mål nu skall reduceras till ren efterfrågebalans. Det föreslagna målet för bostadsfrågorna föreslås bli att konsumenten skall kunna utgå från att marknaden tillhandahå</w:t>
      </w:r>
      <w:r w:rsidRPr="00FC71C9">
        <w:t>l</w:t>
      </w:r>
      <w:r w:rsidRPr="00FC71C9">
        <w:t>ler ett utbud som svarar mot konsumentens behov. Regeringen utgår då från att behovet är detsamma som den bostadskonsumenten efterfrågar.</w:t>
      </w:r>
    </w:p>
    <w:p w:rsidR="002F6413" w:rsidRPr="00FC71C9" w:rsidRDefault="002F6413">
      <w:pPr>
        <w:pStyle w:val="Normaltindrag"/>
        <w:shd w:val="clear" w:color="000000" w:fill="auto"/>
      </w:pPr>
      <w:r w:rsidRPr="00FC71C9">
        <w:t>Att det finns konsumenter som behöver en bostadspolitik värd namnet vä</w:t>
      </w:r>
      <w:r w:rsidRPr="00FC71C9">
        <w:t>l</w:t>
      </w:r>
      <w:r w:rsidRPr="00FC71C9">
        <w:t>jer regeringen att inte se. Regeringen tar för givet att konsumentens efterfr</w:t>
      </w:r>
      <w:r w:rsidRPr="00FC71C9">
        <w:t>å</w:t>
      </w:r>
      <w:r w:rsidRPr="00FC71C9">
        <w:t>gan svarar mot behovet. Att efterfrågan på en renodlat kommersiell bostad</w:t>
      </w:r>
      <w:r w:rsidRPr="00FC71C9">
        <w:t>s</w:t>
      </w:r>
      <w:r w:rsidRPr="00FC71C9">
        <w:t>marknad, vilket är det regeringen nu genomför, snarare är kopplad till beta</w:t>
      </w:r>
      <w:r w:rsidRPr="00FC71C9">
        <w:t>l</w:t>
      </w:r>
      <w:r w:rsidRPr="00FC71C9">
        <w:t>ningsförmågan än till behoven har regeringen missat.</w:t>
      </w:r>
    </w:p>
    <w:p w:rsidR="002F6413" w:rsidRPr="00FC71C9" w:rsidRDefault="002F6413">
      <w:pPr>
        <w:pStyle w:val="Normaltindrag"/>
        <w:shd w:val="clear" w:color="000000" w:fill="auto"/>
      </w:pPr>
      <w:r w:rsidRPr="00FC71C9">
        <w:t>Regeringen konstaterar även att bristen på bostäder kommer att kvarstå under överskådlig tid. Den situationen är knappast den mest lämpade för en total omvandling till marknadshyror. Gapet mellan behov och betalförmåga, dvs. efter</w:t>
      </w:r>
      <w:r w:rsidRPr="00FC71C9">
        <w:t>frågan, riskerar att växa snabbt och med svåra konsekvenser. Milj</w:t>
      </w:r>
      <w:r w:rsidRPr="00FC71C9">
        <w:t>ö</w:t>
      </w:r>
      <w:r w:rsidRPr="00FC71C9">
        <w:t>partiet menar att en bostadspolitik värd namnet även måste innehålla kvalit</w:t>
      </w:r>
      <w:r w:rsidRPr="00FC71C9">
        <w:t>a</w:t>
      </w:r>
      <w:r w:rsidRPr="00FC71C9">
        <w:t>tiva ambitioner. Ett fortsatt mål om bra bostäder till rimliga priser är därför nödvändigt.</w:t>
      </w:r>
    </w:p>
    <w:p w:rsidR="002F6413" w:rsidRPr="00FC71C9" w:rsidRDefault="002F6413">
      <w:pPr>
        <w:pStyle w:val="Normaltindrag"/>
        <w:shd w:val="clear" w:color="000000" w:fill="auto"/>
      </w:pPr>
      <w:r w:rsidRPr="00FC71C9">
        <w:t>Regeringen har även formulerat ett mål för samhällsbyggande, vilket är i</w:t>
      </w:r>
      <w:r w:rsidRPr="00FC71C9">
        <w:t>n</w:t>
      </w:r>
      <w:r w:rsidRPr="00FC71C9">
        <w:t>tressant. Tyvärr har man dock inte fyllt målet med något innehåll. De tidigare bostadspolitiska ambitionerna om stimulerande miljöer liksom målet om att planeringen skall bidra till jämlika och värdiga levnadsförhållanden och sä</w:t>
      </w:r>
      <w:r w:rsidRPr="00FC71C9">
        <w:t>r</w:t>
      </w:r>
      <w:r w:rsidRPr="00FC71C9">
        <w:t>skilt främja en god uppväxt för barn och ungdomar har helt fallit bort. Kvar finns nu enbart de gamla kraven om bra social miljö och ekologisk hänsyn. Nytt är att bostadspolitiken nu skall främja tillväxt och utveckling.</w:t>
      </w:r>
    </w:p>
    <w:p w:rsidR="002F6413" w:rsidRPr="00FC71C9" w:rsidRDefault="002F6413">
      <w:pPr>
        <w:pStyle w:val="Normaltindrag"/>
        <w:shd w:val="clear" w:color="000000" w:fill="auto"/>
      </w:pPr>
      <w:r w:rsidRPr="00FC71C9">
        <w:t xml:space="preserve">Eftersom tillväxt och utveckling nästan alltid mäts i pengar </w:t>
      </w:r>
      <w:r w:rsidRPr="00FC71C9">
        <w:t>är det svårt att inse på vilket sätt sådana mål kan bidra till att förbättra de boendes situation. Tvärtom strider det direkt mot ett mål som bra bostäder till rimliga kostnader. Troligen är det orsaken till att den ambitionen inte längre ryms inom bostad</w:t>
      </w:r>
      <w:r w:rsidRPr="00FC71C9">
        <w:t>s</w:t>
      </w:r>
      <w:r w:rsidRPr="00FC71C9">
        <w:t>politikens område.</w:t>
      </w:r>
    </w:p>
    <w:p w:rsidR="002F6413" w:rsidRPr="00FC71C9" w:rsidRDefault="002F6413">
      <w:pPr>
        <w:pStyle w:val="Normaltindrag"/>
        <w:shd w:val="clear" w:color="000000" w:fill="auto"/>
      </w:pPr>
      <w:r w:rsidRPr="00FC71C9">
        <w:t>Den förändring regeringen nu genomför av målet med bostadspolitiken är så omfattande och innebär så stora ingrepp i de flesta medborgares vardag att det inte är rimligt att genomföra den utan en omfattande dialog med dem som berörs. Riml</w:t>
      </w:r>
      <w:r w:rsidRPr="00FC71C9">
        <w:t>igt vore att först utreda konsekvenserna så att regeringen vet vad förändringen kan innebära och att sedan genomföra en omfattande remiss. Tyvärr har vi nu sett ett flertal exempel på hur illa det kan gå när regeringen först genomför något och sedan börjar fundera över effekterna. Det borde inte bli en vana att en regering i en demokrati arbetar på det viset även om det är en majoritetsregering.</w:t>
      </w:r>
    </w:p>
    <w:p w:rsidR="002F6413" w:rsidRPr="00FC71C9" w:rsidRDefault="002F6413">
      <w:pPr>
        <w:pStyle w:val="Normaltindrag"/>
        <w:shd w:val="clear" w:color="000000" w:fill="auto"/>
      </w:pPr>
      <w:r w:rsidRPr="00FC71C9">
        <w:t>Mot bakgrund av det ovan anförda anser Miljöpartiet att förslaget till ett nytt mål för bostadspolitiken inte kan</w:t>
      </w:r>
      <w:r w:rsidRPr="00FC71C9">
        <w:t xml:space="preserve"> smygas igenom i en budgetproposition utan måste hanteras som en större fråga med sedvanlig beredning. Miljöpart</w:t>
      </w:r>
      <w:r w:rsidRPr="00FC71C9">
        <w:t>i</w:t>
      </w:r>
      <w:r w:rsidRPr="00FC71C9">
        <w:t>et avslår därför regeringens förslag till nytt mål på bostadspolitikens område.</w:t>
      </w:r>
    </w:p>
    <w:p w:rsidR="002F6413" w:rsidRPr="00FC71C9" w:rsidRDefault="002F6413">
      <w:pPr>
        <w:pStyle w:val="Rubrik2"/>
        <w:shd w:val="clear" w:color="000000" w:fill="auto"/>
      </w:pPr>
      <w:r w:rsidRPr="00FC71C9">
        <w:t>Radon i bostäder</w:t>
      </w:r>
    </w:p>
    <w:p w:rsidR="002F6413" w:rsidRPr="00FC71C9" w:rsidRDefault="002F6413">
      <w:pPr>
        <w:shd w:val="clear" w:color="000000" w:fill="auto"/>
      </w:pPr>
      <w:r w:rsidRPr="00FC71C9">
        <w:t>Miljöpartiet har i tidigare budgetar påpekat att stora folkhälsovinster och samhälls</w:t>
      </w:r>
      <w:r w:rsidRPr="00FC71C9">
        <w:softHyphen/>
        <w:t>kostnader kan inbesparas om sanering av radon i bostäder påskyndas. Vi vidhåller vår ståndpunkt och markerar detta med att i vårt budgetförslag anvisa en utökning av anslag 31:4 med 2 miljoner kronor per år.</w:t>
      </w:r>
    </w:p>
    <w:p w:rsidR="002F6413" w:rsidRPr="00FC71C9" w:rsidRDefault="002F6413">
      <w:pPr>
        <w:pStyle w:val="Rubrik2"/>
        <w:shd w:val="clear" w:color="000000" w:fill="auto"/>
      </w:pPr>
      <w:r w:rsidRPr="00FC71C9">
        <w:t>Fonden för fukt- och mögelskador</w:t>
      </w:r>
    </w:p>
    <w:p w:rsidR="002F6413" w:rsidRPr="00FC71C9" w:rsidRDefault="002F6413">
      <w:pPr>
        <w:shd w:val="clear" w:color="000000" w:fill="auto"/>
      </w:pPr>
      <w:r w:rsidRPr="00FC71C9">
        <w:t>Miljöpartiet delar inte regeringens bedömning att problem med fukt- och mögelskador i småhus skulle vara en historisk fråga som inte längre drabbar småhusägare. Regeringen föreslår att fonden avvecklas från 2009. Vi avslår det förslaget.</w:t>
      </w:r>
    </w:p>
    <w:p w:rsidR="002F6413" w:rsidRPr="00FC71C9" w:rsidRDefault="002F6413">
      <w:pPr>
        <w:pStyle w:val="Normaltindrag"/>
        <w:shd w:val="clear" w:color="000000" w:fill="auto"/>
      </w:pPr>
      <w:r w:rsidRPr="00FC71C9">
        <w:t>Att byggherrens ansvar i dag är utökat tycks inte i praktiken lösa den ek</w:t>
      </w:r>
      <w:r w:rsidRPr="00FC71C9">
        <w:t>o</w:t>
      </w:r>
      <w:r w:rsidRPr="00FC71C9">
        <w:t>nomiska situationen för den som drabbas. Självklart är det även vår förhop</w:t>
      </w:r>
      <w:r w:rsidRPr="00FC71C9">
        <w:t>p</w:t>
      </w:r>
      <w:r w:rsidRPr="00FC71C9">
        <w:t>ning att fonden med tiden skall kunna avvecklas utan men för drabbade, men innan vi kan se det i praktiken är vi inte beredda att avveckla den. Däremot ser det ut som om behoven minskar, varför anslaget kan anpassas till detta. Miljöpartiet föreslår att riksdagen anslår tio miljoner kronor vardera för åren 2009 och 2010 till Fonden för fukt- och mögelskador.</w:t>
      </w:r>
    </w:p>
    <w:p w:rsidR="002F6413" w:rsidRPr="00FC71C9" w:rsidRDefault="002F6413">
      <w:pPr>
        <w:pStyle w:val="Rubrik1"/>
        <w:shd w:val="clear" w:color="000000" w:fill="auto"/>
      </w:pPr>
      <w:r w:rsidRPr="00FC71C9">
        <w:t>Konsumentpolitiken</w:t>
      </w:r>
    </w:p>
    <w:p w:rsidR="002F6413" w:rsidRPr="00FC71C9" w:rsidRDefault="002F6413">
      <w:pPr>
        <w:pStyle w:val="Rubrik2"/>
        <w:shd w:val="clear" w:color="000000" w:fill="auto"/>
        <w:spacing w:before="120"/>
      </w:pPr>
      <w:r w:rsidRPr="00FC71C9">
        <w:t>Konsumentpolitiskt mål</w:t>
      </w:r>
    </w:p>
    <w:p w:rsidR="002F6413" w:rsidRPr="00FC71C9" w:rsidRDefault="002F6413">
      <w:pPr>
        <w:shd w:val="clear" w:color="000000" w:fill="auto"/>
      </w:pPr>
      <w:r w:rsidRPr="00FC71C9">
        <w:t>När de stora dragen i regeringens politik konkret innebär att medborgarna i allt större utsträckning förvandlas till konsumenter är det av största vikt att Konsumentverkets mål inte utarmas på det sätt regeringen föreslår. Att inte ha några utpekade ambitioner med konsumentpolitiken synes märkligt. Att i</w:t>
      </w:r>
      <w:r w:rsidRPr="00FC71C9">
        <w:t>n</w:t>
      </w:r>
      <w:r w:rsidRPr="00FC71C9">
        <w:t>skränka målet till att enbart innebära att konsumenten skall ha möjlighet att göra aktiva val är egentligen att helt avskaffa politikområdet. Det råder så vitt vi uppfattar saken konsensus i vårt land om att en marknadsekonomi är gru</w:t>
      </w:r>
      <w:r w:rsidRPr="00FC71C9">
        <w:t>n</w:t>
      </w:r>
      <w:r w:rsidRPr="00FC71C9">
        <w:t>den för vårt samhällsbygge.</w:t>
      </w:r>
    </w:p>
    <w:p w:rsidR="002F6413" w:rsidRPr="00FC71C9" w:rsidRDefault="002F6413">
      <w:pPr>
        <w:pStyle w:val="Normaltindrag"/>
        <w:shd w:val="clear" w:color="000000" w:fill="auto"/>
      </w:pPr>
      <w:r w:rsidRPr="00FC71C9">
        <w:t>Konsumentpolitik har hittills handlat om på vilket sätt samhället har haft ambitioner att stötta de svaga och utsatta konsumenterna i denna marknad</w:t>
      </w:r>
      <w:r w:rsidRPr="00FC71C9">
        <w:t>s</w:t>
      </w:r>
      <w:r w:rsidRPr="00FC71C9">
        <w:t>ekonomi. Nu anser regeringen att målet enbart behöver vara att upprätthålla denna marknad så att konsumenterna på egen hand kan göra sina aktiva val. Vi kan inte se att det finns något behov av att uttrycka ett sådant mål. Dä</w:t>
      </w:r>
      <w:r w:rsidRPr="00FC71C9">
        <w:t>r</w:t>
      </w:r>
      <w:r w:rsidRPr="00FC71C9">
        <w:t>emot finns det stora och växande behov av en aktiv konsumentpolitik. Vi skulle gärna vilja utveckla den i samverkan med samtliga riksdagens partier. I denna budgetmotion finns inte utrymme för att göra det, utan här yrkas enbart att regeringes förslag avslås samt att den tidigare ambi</w:t>
      </w:r>
      <w:r w:rsidRPr="00FC71C9">
        <w:t>tionen om ett högt konsumentskydd behålls. Mest anmärkningsvärt är kanske att alla ambitioner på området hållbara konsumtionsmönster är utraderade. Regeringens tal om en aktiv klimat- och miljöpolitik blir i ljuset av detta beklämmande urvattnat.</w:t>
      </w:r>
    </w:p>
    <w:p w:rsidR="002F6413" w:rsidRPr="00FC71C9" w:rsidRDefault="002F6413">
      <w:pPr>
        <w:pStyle w:val="Rubrik2"/>
        <w:shd w:val="clear" w:color="000000" w:fill="auto"/>
      </w:pPr>
      <w:r w:rsidRPr="00FC71C9">
        <w:t>Förstärkningar på konsumentområdet</w:t>
      </w:r>
    </w:p>
    <w:p w:rsidR="002F6413" w:rsidRPr="00FC71C9" w:rsidRDefault="002F6413">
      <w:pPr>
        <w:pStyle w:val="Rubrik3"/>
        <w:shd w:val="clear" w:color="000000" w:fill="auto"/>
        <w:spacing w:before="120"/>
      </w:pPr>
      <w:r w:rsidRPr="00FC71C9">
        <w:t>Ökning av fria resurser</w:t>
      </w:r>
    </w:p>
    <w:p w:rsidR="002F6413" w:rsidRPr="00FC71C9" w:rsidRDefault="002F6413">
      <w:pPr>
        <w:shd w:val="clear" w:color="000000" w:fill="auto"/>
      </w:pPr>
      <w:r w:rsidRPr="00FC71C9">
        <w:t>Det blir alltmer komplicerat att vara konsument, vilket gör att Konsumentve</w:t>
      </w:r>
      <w:r w:rsidRPr="00FC71C9">
        <w:t>r</w:t>
      </w:r>
      <w:r w:rsidRPr="00FC71C9">
        <w:t xml:space="preserve">ket är en allt viktigare stödresurs för konsumenterna. Behovet av att granska utbudssidan och att utveckla pedagogiska material för att stödja kunden ökar ständigt. Verkets ramanslag bör därför ökas med minst 10 miljoner kronor. Detta kan motiveras bl.a. mot bakgrund av att regeringen föreslår förändrade mål inom såväl bostadspolitiken som konsumentpolitiken, där det görs tydligt att konsumenterna i allt större utsträckning lämnas utan skyddsnät på en allt mindre styrd marknad. Likaså är det snabbt ökande </w:t>
      </w:r>
      <w:r w:rsidRPr="00FC71C9">
        <w:t>samarbetet på kons</w:t>
      </w:r>
      <w:r w:rsidRPr="00FC71C9">
        <w:t>u</w:t>
      </w:r>
      <w:r w:rsidRPr="00FC71C9">
        <w:t>mentområdet inom EU en verksamhet som kräver alltmer resurser från Ko</w:t>
      </w:r>
      <w:r w:rsidRPr="00FC71C9">
        <w:t>n</w:t>
      </w:r>
      <w:r w:rsidRPr="00FC71C9">
        <w:t>sumentverket.</w:t>
      </w:r>
    </w:p>
    <w:p w:rsidR="002F6413" w:rsidRPr="00FC71C9" w:rsidRDefault="002F6413">
      <w:pPr>
        <w:pStyle w:val="Rubrik3"/>
        <w:shd w:val="clear" w:color="000000" w:fill="auto"/>
      </w:pPr>
      <w:r w:rsidRPr="00FC71C9">
        <w:t>Material och utbildning till kommunala konsumentrådgivare</w:t>
      </w:r>
    </w:p>
    <w:p w:rsidR="002F6413" w:rsidRPr="00FC71C9" w:rsidRDefault="002F6413">
      <w:pPr>
        <w:shd w:val="clear" w:color="000000" w:fill="auto"/>
      </w:pPr>
      <w:r w:rsidRPr="00FC71C9">
        <w:t>Riksdagen bör även lämna ett riktat anslag till Konsumentverket på 2 milj</w:t>
      </w:r>
      <w:r w:rsidRPr="00FC71C9">
        <w:t>o</w:t>
      </w:r>
      <w:r w:rsidRPr="00FC71C9">
        <w:t>ner kronor per år de kommande tre åren för att verket skall kunna öka stödet och utbildningen av de kommunala konsumentrådgivarna i samma omfat</w:t>
      </w:r>
      <w:r w:rsidRPr="00FC71C9">
        <w:t>t</w:t>
      </w:r>
      <w:r w:rsidRPr="00FC71C9">
        <w:t>ning.</w:t>
      </w:r>
    </w:p>
    <w:p w:rsidR="002F6413" w:rsidRPr="00FC71C9" w:rsidRDefault="002F6413">
      <w:pPr>
        <w:pStyle w:val="Rubrik3"/>
        <w:shd w:val="clear" w:color="000000" w:fill="auto"/>
      </w:pPr>
      <w:r w:rsidRPr="00FC71C9">
        <w:t>Informationsspridning m.m.</w:t>
      </w:r>
    </w:p>
    <w:p w:rsidR="002F6413" w:rsidRPr="00FC71C9" w:rsidRDefault="002F6413">
      <w:pPr>
        <w:shd w:val="clear" w:color="000000" w:fill="auto"/>
      </w:pPr>
      <w:r w:rsidRPr="00FC71C9">
        <w:t>Anslaget för information bör även utökas med 1 miljon kronor för att i någon mån kunna möta bl.a. den snabbt växande marknadsföringen från utländska spelbolag i Sverige och ökningen av marknadsföring till förmån för nätfö</w:t>
      </w:r>
      <w:r w:rsidRPr="00FC71C9">
        <w:t>r</w:t>
      </w:r>
      <w:r w:rsidRPr="00FC71C9">
        <w:t>säljning av alkohol. Snabba lån för impulskonsumtion är även det ett område som vuxit och motiverar att verket får ökade möjligheter att informera om riskerna.</w:t>
      </w:r>
    </w:p>
    <w:p w:rsidR="002F6413" w:rsidRPr="00FC71C9" w:rsidRDefault="002F6413">
      <w:pPr>
        <w:pStyle w:val="Rubrik3"/>
        <w:shd w:val="clear" w:color="000000" w:fill="auto"/>
      </w:pPr>
      <w:r w:rsidRPr="00FC71C9">
        <w:t>Bidrag till organisationer för konsumentprojekt</w:t>
      </w:r>
    </w:p>
    <w:p w:rsidR="002F6413" w:rsidRPr="00FC71C9" w:rsidRDefault="002F6413">
      <w:pPr>
        <w:shd w:val="clear" w:color="000000" w:fill="auto"/>
      </w:pPr>
      <w:r w:rsidRPr="00FC71C9">
        <w:t>Regeringen föreslår ingen fortsättning på riktade medel för stöd åt organis</w:t>
      </w:r>
      <w:r w:rsidRPr="00FC71C9">
        <w:t>a</w:t>
      </w:r>
      <w:r w:rsidRPr="00FC71C9">
        <w:t>tioner för kampanjarbeten och projektverksamhet, vilket är allvarligt. Vi m</w:t>
      </w:r>
      <w:r w:rsidRPr="00FC71C9">
        <w:t>e</w:t>
      </w:r>
      <w:r w:rsidRPr="00FC71C9">
        <w:t>nar att 2 miljoner kronor riktat för detta ändamål varje år är ett minimum för att stödja konsumenter i den allt svåröverskådliga djungeln av regler och villkor som växer fram.</w:t>
      </w:r>
    </w:p>
    <w:p w:rsidR="002F6413" w:rsidRPr="00FC71C9" w:rsidRDefault="002F6413">
      <w:pPr>
        <w:pStyle w:val="Normaltindrag"/>
        <w:shd w:val="clear" w:color="000000" w:fill="auto"/>
      </w:pPr>
      <w:r w:rsidRPr="00FC71C9">
        <w:t>Detta innebär sammantaget 15 miljoner kronor per år i förstärkning av a</w:t>
      </w:r>
      <w:r w:rsidRPr="00FC71C9">
        <w:t>n</w:t>
      </w:r>
      <w:r w:rsidRPr="00FC71C9">
        <w:t>slag 40:2 för ökade satsningar på att stödja konsumenterna. Det är i minsta laget för att möta alla de problem vi ser för alltmer utsatta grupper. Att vara konsument blir allt svårare och riskablare.</w:t>
      </w:r>
    </w:p>
    <w:p w:rsidR="002F6413" w:rsidRPr="00FC71C9" w:rsidRDefault="002F6413">
      <w:pPr>
        <w:pStyle w:val="Rubrik2"/>
        <w:shd w:val="clear" w:color="000000" w:fill="auto"/>
      </w:pPr>
      <w:r w:rsidRPr="00FC71C9">
        <w:t>Ansvar för omställningskostnader</w:t>
      </w:r>
    </w:p>
    <w:p w:rsidR="002F6413" w:rsidRPr="00FC71C9" w:rsidRDefault="002F6413">
      <w:pPr>
        <w:shd w:val="clear" w:color="000000" w:fill="auto"/>
      </w:pPr>
      <w:r w:rsidRPr="00FC71C9">
        <w:t>När de stora dragen i regeringens politik konkret innebär att medborgarna i allt större utsträckning förvandlas till konsumenter är det av största vikt att Konsumentverket kan ge ökat stöd. Omställningskostnaderna kan verket inte bära på annat sätt än att nästan halvera sin personal och därmed lämna ko</w:t>
      </w:r>
      <w:r w:rsidRPr="00FC71C9">
        <w:t>n</w:t>
      </w:r>
      <w:r w:rsidRPr="00FC71C9">
        <w:t>sumenterna utan nödvändigt stöd.</w:t>
      </w:r>
    </w:p>
    <w:p w:rsidR="002F6413" w:rsidRPr="00FC71C9" w:rsidRDefault="002F6413">
      <w:pPr>
        <w:pStyle w:val="Normaltindrag"/>
        <w:shd w:val="clear" w:color="000000" w:fill="auto"/>
      </w:pPr>
      <w:r w:rsidRPr="00FC71C9">
        <w:t>Vi anser att riksdagen måste ta ett ansvar för att lösa den svåra ekonomiska situation som Konsumentverket hamnat i på grund av flytten till Karlstad. När statens ekonomi är god är det lämpligt att bl.a. använda den till att städa upp i de egna verksamheterna. Vi menar att Konsumentverkets merkostnader på 66 miljoner kronor bl.a. på grund av personalavveckling måste lösas ut av riksdagen. Genom att avsätta 22 miljoner kronor per år i tre år till Kons</w:t>
      </w:r>
      <w:r w:rsidRPr="00FC71C9">
        <w:t>u</w:t>
      </w:r>
      <w:r w:rsidRPr="00FC71C9">
        <w:t>mentverket tar vi vårt ansvar för att en verksamhet som är avgörande för konsumenternas ekonomi och därmed landets får möjlighet att arbeta på ri</w:t>
      </w:r>
      <w:r w:rsidRPr="00FC71C9">
        <w:t>m</w:t>
      </w:r>
      <w:r w:rsidRPr="00FC71C9">
        <w:t>liga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71C9">
        <w:trPr>
          <w:cantSplit/>
        </w:trPr>
        <w:tc>
          <w:tcPr>
            <w:tcW w:w="3046" w:type="dxa"/>
          </w:tcPr>
          <w:p w:rsidR="002F6413" w:rsidRPr="00FC71C9" w:rsidRDefault="002F6413">
            <w:pPr>
              <w:pStyle w:val="UnderskriftDatum"/>
              <w:shd w:val="clear" w:color="000000" w:fill="auto"/>
              <w:spacing w:before="240"/>
            </w:pPr>
            <w:r w:rsidRPr="00FC71C9">
              <w:t>Stockholm den 4 oktober 2007</w:t>
            </w:r>
          </w:p>
        </w:tc>
        <w:tc>
          <w:tcPr>
            <w:tcW w:w="3047" w:type="dxa"/>
          </w:tcPr>
          <w:p w:rsidR="002F6413" w:rsidRPr="00FC71C9" w:rsidRDefault="002F6413">
            <w:pPr>
              <w:pStyle w:val="Underskrifter"/>
              <w:shd w:val="clear" w:color="000000" w:fill="auto"/>
              <w:spacing w:before="240"/>
            </w:pPr>
          </w:p>
        </w:tc>
      </w:tr>
      <w:tr w:rsidR="00000000" w:rsidRPr="00FC71C9">
        <w:trPr>
          <w:cantSplit/>
        </w:trPr>
        <w:tc>
          <w:tcPr>
            <w:tcW w:w="3046" w:type="dxa"/>
          </w:tcPr>
          <w:p w:rsidR="002F6413" w:rsidRPr="00FC71C9" w:rsidRDefault="002F6413">
            <w:pPr>
              <w:pStyle w:val="Underskrifter"/>
              <w:shd w:val="clear" w:color="000000" w:fill="auto"/>
            </w:pPr>
            <w:r w:rsidRPr="00FC71C9">
              <w:t>Jan Lindholm (mp)</w:t>
            </w:r>
          </w:p>
        </w:tc>
        <w:tc>
          <w:tcPr>
            <w:tcW w:w="3046" w:type="dxa"/>
          </w:tcPr>
          <w:p w:rsidR="002F6413" w:rsidRPr="00FC71C9" w:rsidRDefault="002F6413">
            <w:pPr>
              <w:pStyle w:val="Underskrifter"/>
              <w:shd w:val="clear" w:color="000000" w:fill="auto"/>
            </w:pPr>
          </w:p>
        </w:tc>
      </w:tr>
      <w:tr w:rsidR="00000000" w:rsidRPr="00FC71C9">
        <w:trPr>
          <w:cantSplit/>
        </w:trPr>
        <w:tc>
          <w:tcPr>
            <w:tcW w:w="3046" w:type="dxa"/>
          </w:tcPr>
          <w:p w:rsidR="002F6413" w:rsidRPr="00FC71C9" w:rsidRDefault="002F6413">
            <w:pPr>
              <w:pStyle w:val="Underskrifter"/>
              <w:shd w:val="clear" w:color="000000" w:fill="auto"/>
            </w:pPr>
            <w:r w:rsidRPr="00FC71C9">
              <w:t>Ulf Holm (mp)</w:t>
            </w:r>
          </w:p>
        </w:tc>
        <w:tc>
          <w:tcPr>
            <w:tcW w:w="3046" w:type="dxa"/>
          </w:tcPr>
          <w:p w:rsidR="002F6413" w:rsidRPr="00FC71C9" w:rsidRDefault="002F6413">
            <w:pPr>
              <w:pStyle w:val="Underskrifter"/>
              <w:shd w:val="clear" w:color="000000" w:fill="auto"/>
            </w:pPr>
            <w:r w:rsidRPr="00FC71C9">
              <w:t>Christopher Ödmann (mp)</w:t>
            </w:r>
          </w:p>
        </w:tc>
      </w:tr>
    </w:tbl>
    <w:p w:rsidR="002F6413" w:rsidRPr="00FC71C9" w:rsidRDefault="002F6413">
      <w:pPr>
        <w:pStyle w:val="Normaltindrag"/>
        <w:shd w:val="clear" w:color="000000" w:fill="auto"/>
      </w:pPr>
    </w:p>
    <w:sectPr w:rsidR="002F6413" w:rsidRPr="00FC71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413" w:rsidRPr="00FC71C9" w:rsidRDefault="002F6413">
      <w:r w:rsidRPr="00FC71C9">
        <w:separator/>
      </w:r>
    </w:p>
  </w:endnote>
  <w:endnote w:type="continuationSeparator" w:id="0">
    <w:p w:rsidR="002F6413" w:rsidRPr="00FC71C9" w:rsidRDefault="002F6413">
      <w:r w:rsidRPr="00FC71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413" w:rsidRPr="00FC71C9" w:rsidRDefault="00FC71C9">
    <w:pPr>
      <w:pStyle w:val="Sidfot"/>
    </w:pPr>
    <w:r w:rsidRPr="00FC71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737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413" w:rsidRDefault="002F64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413" w:rsidRDefault="002F64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413" w:rsidRPr="00FC71C9" w:rsidRDefault="00FC71C9">
    <w:pPr>
      <w:pStyle w:val="Sidfot"/>
    </w:pPr>
    <w:r w:rsidRPr="00FC71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952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413" w:rsidRDefault="002F64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413" w:rsidRDefault="002F64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413" w:rsidRPr="00FC71C9" w:rsidRDefault="00FC71C9">
    <w:pPr>
      <w:pStyle w:val="Sidfot"/>
    </w:pPr>
    <w:r w:rsidRPr="00FC71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982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413" w:rsidRDefault="002F64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413" w:rsidRDefault="002F64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413" w:rsidRPr="00FC71C9" w:rsidRDefault="002F6413">
      <w:r w:rsidRPr="00FC71C9">
        <w:separator/>
      </w:r>
    </w:p>
  </w:footnote>
  <w:footnote w:type="continuationSeparator" w:id="0">
    <w:p w:rsidR="002F6413" w:rsidRPr="00FC71C9" w:rsidRDefault="002F6413">
      <w:r w:rsidRPr="00FC71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413" w:rsidRPr="00FC71C9" w:rsidRDefault="00FC71C9">
    <w:pPr>
      <w:pStyle w:val="Sidhuvud"/>
    </w:pPr>
    <w:r w:rsidRPr="00FC71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2556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413" w:rsidRDefault="002F64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413" w:rsidRDefault="002F64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413" w:rsidRPr="00FC71C9" w:rsidRDefault="00FC71C9">
    <w:pPr>
      <w:pStyle w:val="Sidhuvud"/>
    </w:pPr>
    <w:r w:rsidRPr="00FC71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533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413" w:rsidRDefault="002F64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413" w:rsidRDefault="002F64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413" w:rsidRPr="00FC71C9" w:rsidRDefault="002F6413">
    <w:pPr>
      <w:pStyle w:val="FSHNormal"/>
      <w:tabs>
        <w:tab w:val="right" w:pos="5840"/>
      </w:tabs>
    </w:pPr>
    <w:r w:rsidRPr="00FC71C9">
      <w:br/>
    </w:r>
    <w:r w:rsidRPr="00FC71C9">
      <w:fldChar w:fldCharType="begin" w:fldLock="1"/>
    </w:r>
    <w:r w:rsidRPr="00FC71C9">
      <w:instrText xml:space="preserve"> DOCPROPERTY</w:instrText>
    </w:r>
    <w:r w:rsidRPr="00FC71C9">
      <w:rPr>
        <w:sz w:val="18"/>
      </w:rPr>
      <w:instrText xml:space="preserve"> "YearUser" *\charformat </w:instrText>
    </w:r>
    <w:r w:rsidRPr="00FC71C9">
      <w:fldChar w:fldCharType="separate"/>
    </w:r>
    <w:r w:rsidRPr="00FC71C9">
      <w:t>2007/08</w:t>
    </w:r>
    <w:r w:rsidRPr="00FC71C9">
      <w:fldChar w:fldCharType="end"/>
    </w:r>
    <w:r w:rsidRPr="00FC71C9">
      <w:t xml:space="preserve"> </w:t>
    </w:r>
    <w:r w:rsidRPr="00FC71C9">
      <w:tab/>
      <w:t xml:space="preserve">mnr: </w:t>
    </w:r>
    <w:r w:rsidRPr="00FC71C9">
      <w:fldChar w:fldCharType="begin" w:fldLock="1"/>
    </w:r>
    <w:r w:rsidRPr="00FC71C9">
      <w:instrText xml:space="preserve"> DOCPROPERTY</w:instrText>
    </w:r>
    <w:r w:rsidRPr="00FC71C9">
      <w:rPr>
        <w:sz w:val="18"/>
      </w:rPr>
      <w:instrText xml:space="preserve"> "Motionsnummer" *\charformat </w:instrText>
    </w:r>
    <w:r w:rsidRPr="00FC71C9">
      <w:fldChar w:fldCharType="separate"/>
    </w:r>
    <w:r w:rsidRPr="00FC71C9">
      <w:t>C369</w:t>
    </w:r>
    <w:r w:rsidRPr="00FC71C9">
      <w:fldChar w:fldCharType="end"/>
    </w:r>
    <w:r w:rsidRPr="00FC71C9">
      <w:br/>
    </w:r>
    <w:r w:rsidRPr="00FC71C9">
      <w:fldChar w:fldCharType="begin" w:fldLock="1"/>
    </w:r>
    <w:r w:rsidRPr="00FC71C9">
      <w:instrText xml:space="preserve"> DOCPROPERTY</w:instrText>
    </w:r>
    <w:r w:rsidRPr="00FC71C9">
      <w:rPr>
        <w:sz w:val="18"/>
      </w:rPr>
      <w:instrText xml:space="preserve"> "Samling" *\charformat </w:instrText>
    </w:r>
    <w:r w:rsidRPr="00FC71C9">
      <w:fldChar w:fldCharType="end"/>
    </w:r>
    <w:r w:rsidRPr="00FC71C9">
      <w:tab/>
      <w:t xml:space="preserve">pnr: </w:t>
    </w:r>
    <w:r w:rsidRPr="00FC71C9">
      <w:fldChar w:fldCharType="begin" w:fldLock="1"/>
    </w:r>
    <w:r w:rsidRPr="00FC71C9">
      <w:instrText xml:space="preserve"> DOCPROPERTY</w:instrText>
    </w:r>
    <w:r w:rsidRPr="00FC71C9">
      <w:rPr>
        <w:sz w:val="18"/>
      </w:rPr>
      <w:instrText xml:space="preserve"> "Partinummer" *\charformat </w:instrText>
    </w:r>
    <w:r w:rsidRPr="00FC71C9">
      <w:fldChar w:fldCharType="separate"/>
    </w:r>
    <w:r w:rsidRPr="00FC71C9">
      <w:t>mp702</w:t>
    </w:r>
    <w:r w:rsidRPr="00FC71C9">
      <w:fldChar w:fldCharType="end"/>
    </w:r>
  </w:p>
  <w:p w:rsidR="002F6413" w:rsidRPr="00FC71C9" w:rsidRDefault="002F6413">
    <w:pPr>
      <w:pStyle w:val="FSHRub1"/>
    </w:pPr>
    <w:r w:rsidRPr="00FC71C9">
      <w:t>Motion till riksdagen</w:t>
    </w:r>
    <w:r w:rsidRPr="00FC71C9">
      <w:br/>
    </w:r>
    <w:r w:rsidRPr="00FC71C9">
      <w:fldChar w:fldCharType="begin" w:fldLock="1"/>
    </w:r>
    <w:r w:rsidRPr="00FC71C9">
      <w:instrText xml:space="preserve"> DOCPROPERTY "YearUser" *\charformat </w:instrText>
    </w:r>
    <w:r w:rsidRPr="00FC71C9">
      <w:fldChar w:fldCharType="separate"/>
    </w:r>
    <w:r w:rsidRPr="00FC71C9">
      <w:t>2007/08</w:t>
    </w:r>
    <w:r w:rsidRPr="00FC71C9">
      <w:fldChar w:fldCharType="end"/>
    </w:r>
    <w:r w:rsidRPr="00FC71C9">
      <w:t>:</w:t>
    </w:r>
    <w:r w:rsidRPr="00FC71C9">
      <w:fldChar w:fldCharType="begin" w:fldLock="1"/>
    </w:r>
    <w:r w:rsidRPr="00FC71C9">
      <w:instrText xml:space="preserve"> DOCPROPERTY "Motionsnummer" *\charformat </w:instrText>
    </w:r>
    <w:r w:rsidRPr="00FC71C9">
      <w:fldChar w:fldCharType="separate"/>
    </w:r>
    <w:r w:rsidRPr="00FC71C9">
      <w:t>C369</w:t>
    </w:r>
    <w:r w:rsidRPr="00FC71C9">
      <w:fldChar w:fldCharType="end"/>
    </w:r>
  </w:p>
  <w:p w:rsidR="002F6413" w:rsidRPr="00FC71C9" w:rsidRDefault="002F6413">
    <w:pPr>
      <w:pStyle w:val="FSHNormalS5"/>
    </w:pPr>
    <w:r w:rsidRPr="00FC71C9">
      <w:fldChar w:fldCharType="begin" w:fldLock="1"/>
    </w:r>
    <w:r w:rsidRPr="00FC71C9">
      <w:instrText xml:space="preserve"> DOCPROPERTY "MotionarText" *\charformat </w:instrText>
    </w:r>
    <w:r w:rsidRPr="00FC71C9">
      <w:fldChar w:fldCharType="separate"/>
    </w:r>
    <w:r w:rsidRPr="00FC71C9">
      <w:t>av Jan Lindholm m.fl. (mp)</w:t>
    </w:r>
    <w:r w:rsidRPr="00FC71C9">
      <w:fldChar w:fldCharType="end"/>
    </w:r>
    <w:r w:rsidRPr="00FC71C9">
      <w:br/>
    </w:r>
    <w:r w:rsidRPr="00FC71C9">
      <w:fldChar w:fldCharType="begin" w:fldLock="1"/>
    </w:r>
    <w:r w:rsidRPr="00FC71C9">
      <w:instrText xml:space="preserve"> DOCPROPERTY "SvarFrasKort" *\charformat </w:instrText>
    </w:r>
    <w:r w:rsidRPr="00FC71C9">
      <w:fldChar w:fldCharType="end"/>
    </w:r>
  </w:p>
  <w:p w:rsidR="002F6413" w:rsidRPr="00FC71C9" w:rsidRDefault="002F6413">
    <w:pPr>
      <w:pStyle w:val="FSHTitel"/>
    </w:pPr>
    <w:r w:rsidRPr="00FC71C9">
      <w:fldChar w:fldCharType="begin" w:fldLock="1"/>
    </w:r>
    <w:r w:rsidRPr="00FC71C9">
      <w:instrText xml:space="preserve"> DOCPROPERTY</w:instrText>
    </w:r>
    <w:r w:rsidRPr="00FC71C9">
      <w:rPr>
        <w:sz w:val="18"/>
      </w:rPr>
      <w:instrText xml:space="preserve"> "RubrikSvar" *\charformat </w:instrText>
    </w:r>
    <w:r w:rsidRPr="00FC71C9">
      <w:fldChar w:fldCharType="separate"/>
    </w:r>
    <w:r w:rsidRPr="00FC71C9">
      <w:t>Utgiftsområde 18 Samhällsplanering, bostadsförsörjning, byggande samt konsumentpolitik</w:t>
    </w:r>
    <w:r w:rsidRPr="00FC71C9">
      <w:fldChar w:fldCharType="end"/>
    </w:r>
  </w:p>
  <w:p w:rsidR="002F6413" w:rsidRPr="00FC71C9" w:rsidRDefault="002F6413">
    <w:pPr>
      <w:pStyle w:val="Normal00"/>
    </w:pPr>
  </w:p>
  <w:p w:rsidR="002F6413" w:rsidRPr="00FC71C9" w:rsidRDefault="002F64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ED2B51"/>
    <w:multiLevelType w:val="hybridMultilevel"/>
    <w:tmpl w:val="1608AAD0"/>
    <w:lvl w:ilvl="0" w:tplc="6D0A89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914043B"/>
    <w:multiLevelType w:val="hybridMultilevel"/>
    <w:tmpl w:val="F00C7E7E"/>
    <w:lvl w:ilvl="0" w:tplc="50A435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EEB63A1"/>
    <w:multiLevelType w:val="hybridMultilevel"/>
    <w:tmpl w:val="6B1CA5A6"/>
    <w:lvl w:ilvl="0" w:tplc="A87AF2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CB67E9F"/>
    <w:multiLevelType w:val="hybridMultilevel"/>
    <w:tmpl w:val="E5BE37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31937360">
    <w:abstractNumId w:val="8"/>
  </w:num>
  <w:num w:numId="2" w16cid:durableId="1253468575">
    <w:abstractNumId w:val="9"/>
  </w:num>
  <w:num w:numId="3" w16cid:durableId="1232615538">
    <w:abstractNumId w:val="8"/>
  </w:num>
  <w:num w:numId="4" w16cid:durableId="734284192">
    <w:abstractNumId w:val="9"/>
  </w:num>
  <w:num w:numId="5" w16cid:durableId="1238324233">
    <w:abstractNumId w:val="16"/>
  </w:num>
  <w:num w:numId="6" w16cid:durableId="576480228">
    <w:abstractNumId w:val="10"/>
  </w:num>
  <w:num w:numId="7" w16cid:durableId="1595894315">
    <w:abstractNumId w:val="11"/>
  </w:num>
  <w:num w:numId="8" w16cid:durableId="1317418557">
    <w:abstractNumId w:val="14"/>
  </w:num>
  <w:num w:numId="9" w16cid:durableId="18701706">
    <w:abstractNumId w:val="8"/>
  </w:num>
  <w:num w:numId="10" w16cid:durableId="808330249">
    <w:abstractNumId w:val="3"/>
  </w:num>
  <w:num w:numId="11" w16cid:durableId="469592664">
    <w:abstractNumId w:val="2"/>
  </w:num>
  <w:num w:numId="12" w16cid:durableId="90250140">
    <w:abstractNumId w:val="1"/>
  </w:num>
  <w:num w:numId="13" w16cid:durableId="1400590479">
    <w:abstractNumId w:val="0"/>
  </w:num>
  <w:num w:numId="14" w16cid:durableId="1223521067">
    <w:abstractNumId w:val="9"/>
  </w:num>
  <w:num w:numId="15" w16cid:durableId="476335105">
    <w:abstractNumId w:val="7"/>
  </w:num>
  <w:num w:numId="16" w16cid:durableId="286089917">
    <w:abstractNumId w:val="6"/>
  </w:num>
  <w:num w:numId="17" w16cid:durableId="938684824">
    <w:abstractNumId w:val="5"/>
  </w:num>
  <w:num w:numId="18" w16cid:durableId="1568538758">
    <w:abstractNumId w:val="4"/>
  </w:num>
  <w:num w:numId="19" w16cid:durableId="893660332">
    <w:abstractNumId w:val="17"/>
  </w:num>
  <w:num w:numId="20" w16cid:durableId="108087739">
    <w:abstractNumId w:val="13"/>
  </w:num>
  <w:num w:numId="21" w16cid:durableId="1206258915">
    <w:abstractNumId w:val="12"/>
  </w:num>
  <w:num w:numId="22" w16cid:durableId="1381596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87839E7-C05D-47B9-AB7F-246B82B1F61B},{DA08321F-F0BC-4060-A586-E39C9BA97177},{D647C219-7898-4362-BF73-F492DCC88E33}"/>
  </w:docVars>
  <w:rsids>
    <w:rsidRoot w:val="00041173"/>
    <w:rsid w:val="00041173"/>
    <w:rsid w:val="002F6413"/>
    <w:rsid w:val="00FC71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3A9233-E8E6-4B91-80E5-07B137C6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1773</Words>
  <Characters>9985</Characters>
  <Application>Microsoft Office Word</Application>
  <DocSecurity>4</DocSecurity>
  <Lines>212</Lines>
  <Paragraphs>82</Paragraphs>
  <ScaleCrop>false</ScaleCrop>
  <HeadingPairs>
    <vt:vector size="2" baseType="variant">
      <vt:variant>
        <vt:lpstr>Rubrik</vt:lpstr>
      </vt:variant>
      <vt:variant>
        <vt:i4>1</vt:i4>
      </vt:variant>
    </vt:vector>
  </HeadingPairs>
  <TitlesOfParts>
    <vt:vector size="1" baseType="lpstr">
      <vt:lpstr>mp702</vt:lpstr>
    </vt:vector>
  </TitlesOfParts>
  <Company>Riksdagen</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mp702</dc:title>
  <dc:subject>mp702</dc:subject>
  <dc:creator>Riksdagen</dc:creator>
  <cp:keywords>Riksdagen</cp:keywords>
  <dc:description>TKG-ktrl, MSMQ4mb, PersReg-Distribution mm</dc:description>
  <cp:lastModifiedBy>Lars Brink</cp:lastModifiedBy>
  <cp:revision>2</cp:revision>
  <cp:lastPrinted>2007-11-27T15:27:00Z</cp:lastPrinted>
  <dcterms:created xsi:type="dcterms:W3CDTF">2025-12-17T05:00:00Z</dcterms:created>
  <dcterms:modified xsi:type="dcterms:W3CDTF">2025-12-17T05:00:00Z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(mp)\Holm, Ulf (mp)\Ödmann,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Ulf Holm (mp), 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20072008000001090112000007020075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20072008000001090112000007020075</vt:lpwstr>
  </property>
  <property fmtid="{D5CDD505-2E9C-101B-9397-08002B2CF9AE}" pid="50" name="nummer">
    <vt:lpwstr>369</vt:lpwstr>
  </property>
  <property fmtid="{D5CDD505-2E9C-101B-9397-08002B2CF9AE}" pid="51" name="utskottsbeteckning">
    <vt:lpwstr>C</vt:lpwstr>
  </property>
  <property fmtid="{D5CDD505-2E9C-101B-9397-08002B2CF9AE}" pid="52" name="GlobalUID">
    <vt:lpwstr>{D33C9134-327A-41AF-A275-90757161568A}</vt:lpwstr>
  </property>
  <property fmtid="{D5CDD505-2E9C-101B-9397-08002B2CF9AE}" pid="53" name="Överföringar">
    <vt:i4>0</vt:i4>
  </property>
  <property fmtid="{D5CDD505-2E9C-101B-9397-08002B2CF9AE}" pid="54" name="Checksum">
    <vt:lpwstr>*0016638512112*</vt:lpwstr>
  </property>
  <property fmtid="{D5CDD505-2E9C-101B-9397-08002B2CF9AE}" pid="55" name="skuggnummer">
    <vt:lpwstr>2734</vt:lpwstr>
  </property>
  <property fmtid="{D5CDD505-2E9C-101B-9397-08002B2CF9AE}" pid="56" name="urixVersion">
    <vt:lpwstr>3.2.0.8</vt:lpwstr>
  </property>
  <property fmtid="{D5CDD505-2E9C-101B-9397-08002B2CF9AE}" pid="57" name="urixOrigin">
    <vt:lpwstr>080827 13:30:10.019</vt:lpwstr>
  </property>
  <property fmtid="{D5CDD505-2E9C-101B-9397-08002B2CF9AE}" pid="58" name="urixGuid">
    <vt:lpwstr>{8344FBAC-B03F-4D98-8093-2A662806D218}</vt:lpwstr>
  </property>
</Properties>
</file>