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AB4E3F">
              <w:rPr>
                <w:b/>
                <w:lang w:eastAsia="en-US"/>
              </w:rPr>
              <w:t>37</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AB4E3F" w:rsidP="00236428">
            <w:pPr>
              <w:spacing w:line="252" w:lineRule="auto"/>
              <w:rPr>
                <w:lang w:eastAsia="en-US"/>
              </w:rPr>
            </w:pPr>
            <w:r>
              <w:rPr>
                <w:lang w:eastAsia="en-US"/>
              </w:rPr>
              <w:t>2019-06-12</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DF4413" w:rsidRPr="00DF4413" w:rsidRDefault="00AB4E3F" w:rsidP="00AB4E3F">
            <w:pPr>
              <w:spacing w:line="252" w:lineRule="auto"/>
              <w:rPr>
                <w:color w:val="000000" w:themeColor="text1"/>
                <w:lang w:eastAsia="en-US"/>
              </w:rPr>
            </w:pPr>
            <w:r>
              <w:rPr>
                <w:color w:val="000000" w:themeColor="text1"/>
                <w:lang w:eastAsia="en-US"/>
              </w:rPr>
              <w:t>11.00</w:t>
            </w:r>
            <w:r w:rsidR="009415F4" w:rsidRPr="00831B47">
              <w:rPr>
                <w:color w:val="000000" w:themeColor="text1"/>
                <w:lang w:eastAsia="en-US"/>
              </w:rPr>
              <w:t xml:space="preserve"> </w:t>
            </w:r>
            <w:r w:rsidR="00012A1D" w:rsidRPr="00831B47">
              <w:rPr>
                <w:color w:val="000000" w:themeColor="text1"/>
                <w:lang w:eastAsia="en-US"/>
              </w:rPr>
              <w:t>–</w:t>
            </w:r>
            <w:r w:rsidR="009415F4">
              <w:rPr>
                <w:color w:val="000000" w:themeColor="text1"/>
                <w:lang w:eastAsia="en-US"/>
              </w:rPr>
              <w:t xml:space="preserve"> </w:t>
            </w:r>
            <w:r>
              <w:rPr>
                <w:color w:val="000000" w:themeColor="text1"/>
                <w:lang w:eastAsia="en-US"/>
              </w:rPr>
              <w:t>11.35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BB3655" w:rsidRPr="00DF4413" w:rsidTr="00E80105">
        <w:tc>
          <w:tcPr>
            <w:tcW w:w="567" w:type="dxa"/>
          </w:tcPr>
          <w:p w:rsidR="00BB3655" w:rsidRPr="00DF4413" w:rsidRDefault="00BB3655" w:rsidP="00BB3655">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rsidR="00BB3655" w:rsidRPr="00DF4413" w:rsidRDefault="00BB3655" w:rsidP="00BB365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rsidR="00BB3655" w:rsidRPr="00DF4413" w:rsidRDefault="00BB3655" w:rsidP="00AB4E3F">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 xml:space="preserve">den </w:t>
            </w:r>
            <w:r w:rsidR="00AB4E3F">
              <w:rPr>
                <w:snapToGrid w:val="0"/>
                <w:color w:val="000000" w:themeColor="text1"/>
                <w:lang w:eastAsia="en-US"/>
              </w:rPr>
              <w:t>5 juni</w:t>
            </w:r>
            <w:r w:rsidR="00CE4EC1">
              <w:rPr>
                <w:snapToGrid w:val="0"/>
                <w:color w:val="000000" w:themeColor="text1"/>
                <w:lang w:eastAsia="en-US"/>
              </w:rPr>
              <w:t xml:space="preserve"> 2019</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AB4E3F" w:rsidRPr="00944D43" w:rsidTr="00E80105">
        <w:tc>
          <w:tcPr>
            <w:tcW w:w="567" w:type="dxa"/>
          </w:tcPr>
          <w:p w:rsidR="00AB4E3F" w:rsidRPr="005B5C58" w:rsidRDefault="00AB4E3F" w:rsidP="00AB4E3F">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6946" w:type="dxa"/>
          </w:tcPr>
          <w:p w:rsidR="00AB4E3F" w:rsidRDefault="00AB4E3F" w:rsidP="00AB4E3F">
            <w:pPr>
              <w:tabs>
                <w:tab w:val="left" w:pos="1701"/>
              </w:tabs>
              <w:spacing w:line="252" w:lineRule="auto"/>
              <w:ind w:left="-70"/>
              <w:rPr>
                <w:snapToGrid w:val="0"/>
                <w:color w:val="000000" w:themeColor="text1"/>
                <w:lang w:eastAsia="en-US"/>
              </w:rPr>
            </w:pPr>
            <w:r>
              <w:rPr>
                <w:rFonts w:eastAsiaTheme="minorHAnsi"/>
                <w:b/>
                <w:bCs/>
                <w:color w:val="000000"/>
                <w:lang w:eastAsia="en-US"/>
              </w:rPr>
              <w:t>Ekonomiska och finansiella frågor</w:t>
            </w:r>
            <w:r>
              <w:rPr>
                <w:rFonts w:eastAsiaTheme="minorHAnsi"/>
                <w:color w:val="000000"/>
                <w:lang w:eastAsia="en-US"/>
              </w:rPr>
              <w:br/>
              <w:t>Finansminister Magdalena Andersson</w:t>
            </w:r>
            <w:r>
              <w:rPr>
                <w:b/>
                <w:snapToGrid w:val="0"/>
                <w:color w:val="000000" w:themeColor="text1"/>
                <w:lang w:eastAsia="en-US"/>
              </w:rPr>
              <w:t xml:space="preserve"> </w:t>
            </w:r>
            <w:r w:rsidRPr="00DF4413">
              <w:rPr>
                <w:snapToGrid w:val="0"/>
                <w:color w:val="000000" w:themeColor="text1"/>
                <w:lang w:eastAsia="en-US"/>
              </w:rPr>
              <w:t xml:space="preserve">m.fl. från </w:t>
            </w:r>
            <w:r>
              <w:rPr>
                <w:snapToGrid w:val="0"/>
                <w:color w:val="000000" w:themeColor="text1"/>
                <w:lang w:eastAsia="en-US"/>
              </w:rPr>
              <w:t>Finansdepartementet</w:t>
            </w:r>
            <w:r w:rsidRPr="00DF4413">
              <w:rPr>
                <w:snapToGrid w:val="0"/>
                <w:color w:val="000000" w:themeColor="text1"/>
                <w:lang w:eastAsia="en-US"/>
              </w:rPr>
              <w:t xml:space="preserve">, </w:t>
            </w:r>
            <w:r w:rsidRPr="00DF4413">
              <w:rPr>
                <w:rFonts w:eastAsiaTheme="minorHAnsi"/>
                <w:color w:val="000000"/>
                <w:lang w:eastAsia="en-US"/>
              </w:rPr>
              <w:t xml:space="preserve">samt medarbetare </w:t>
            </w:r>
            <w:r>
              <w:rPr>
                <w:rFonts w:eastAsiaTheme="minorHAnsi"/>
                <w:color w:val="000000"/>
                <w:lang w:eastAsia="en-US"/>
              </w:rPr>
              <w:t xml:space="preserve">från </w:t>
            </w:r>
            <w:r w:rsidRPr="00DF4413">
              <w:rPr>
                <w:rFonts w:eastAsiaTheme="minorHAnsi"/>
                <w:color w:val="000000"/>
                <w:lang w:eastAsia="en-US"/>
              </w:rPr>
              <w:t xml:space="preserve">Statsrådsberedningen </w:t>
            </w:r>
            <w:r w:rsidRPr="00DF4413">
              <w:rPr>
                <w:snapToGrid w:val="0"/>
                <w:color w:val="000000" w:themeColor="text1"/>
                <w:lang w:eastAsia="en-US"/>
              </w:rPr>
              <w:t>informerade och samrådde inför möte</w:t>
            </w:r>
            <w:r>
              <w:rPr>
                <w:snapToGrid w:val="0"/>
                <w:color w:val="000000" w:themeColor="text1"/>
                <w:lang w:eastAsia="en-US"/>
              </w:rPr>
              <w:t xml:space="preserve"> i rådet den 14 juni</w:t>
            </w:r>
            <w:r w:rsidRPr="00DF4413">
              <w:rPr>
                <w:snapToGrid w:val="0"/>
                <w:color w:val="000000" w:themeColor="text1"/>
                <w:lang w:eastAsia="en-US"/>
              </w:rPr>
              <w:t xml:space="preserve"> 2019.</w:t>
            </w:r>
          </w:p>
          <w:p w:rsidR="00AB4E3F" w:rsidRDefault="00AB4E3F" w:rsidP="00AB4E3F">
            <w:pPr>
              <w:tabs>
                <w:tab w:val="left" w:pos="1701"/>
              </w:tabs>
              <w:spacing w:line="252" w:lineRule="auto"/>
              <w:ind w:left="-70"/>
              <w:rPr>
                <w:snapToGrid w:val="0"/>
                <w:color w:val="000000" w:themeColor="text1"/>
                <w:lang w:eastAsia="en-US"/>
              </w:rPr>
            </w:pPr>
          </w:p>
          <w:p w:rsidR="00AB4E3F" w:rsidRDefault="00AB4E3F" w:rsidP="00AB4E3F">
            <w:pPr>
              <w:tabs>
                <w:tab w:val="left" w:pos="1701"/>
              </w:tabs>
              <w:spacing w:line="252" w:lineRule="auto"/>
              <w:rPr>
                <w:rFonts w:eastAsiaTheme="minorHAnsi"/>
                <w:color w:val="000000"/>
                <w:lang w:eastAsia="en-US"/>
              </w:rPr>
            </w:pPr>
            <w:r w:rsidRPr="00DF4413">
              <w:rPr>
                <w:b/>
                <w:snapToGrid w:val="0"/>
                <w:color w:val="000000" w:themeColor="text1"/>
                <w:lang w:eastAsia="en-US"/>
              </w:rPr>
              <w:t>Ämnen:</w:t>
            </w:r>
            <w:r w:rsidRPr="00DF4413">
              <w:rPr>
                <w:b/>
                <w:snapToGrid w:val="0"/>
                <w:color w:val="000000" w:themeColor="text1"/>
                <w:lang w:eastAsia="en-US"/>
              </w:rPr>
              <w:br/>
            </w:r>
            <w:r>
              <w:rPr>
                <w:b/>
                <w:snapToGrid w:val="0"/>
                <w:color w:val="000000" w:themeColor="text1"/>
                <w:lang w:eastAsia="en-US"/>
              </w:rPr>
              <w:t xml:space="preserve">- </w:t>
            </w:r>
            <w:r>
              <w:rPr>
                <w:rFonts w:eastAsiaTheme="minorHAnsi"/>
                <w:color w:val="000000"/>
                <w:lang w:eastAsia="en-US"/>
              </w:rPr>
              <w:t>Återrapport från möte i rådet den 17 maj 2019</w:t>
            </w:r>
          </w:p>
          <w:p w:rsidR="00AB4E3F" w:rsidRPr="00861028" w:rsidRDefault="00AB4E3F" w:rsidP="00AB4E3F">
            <w:pPr>
              <w:tabs>
                <w:tab w:val="left" w:pos="1701"/>
              </w:tabs>
              <w:spacing w:line="252" w:lineRule="auto"/>
              <w:rPr>
                <w:rFonts w:eastAsiaTheme="minorHAnsi"/>
                <w:b/>
                <w:color w:val="000000"/>
                <w:lang w:eastAsia="en-US"/>
              </w:rPr>
            </w:pPr>
            <w:r>
              <w:rPr>
                <w:rFonts w:eastAsiaTheme="minorHAnsi"/>
                <w:color w:val="000000"/>
                <w:lang w:eastAsia="en-US"/>
              </w:rPr>
              <w:t xml:space="preserve">- (ev.) Lägesrapport om bankunionen </w:t>
            </w:r>
            <w:r>
              <w:rPr>
                <w:rFonts w:eastAsiaTheme="minorHAnsi"/>
                <w:b/>
                <w:color w:val="000000"/>
                <w:lang w:eastAsia="en-US"/>
              </w:rPr>
              <w:t>I</w:t>
            </w:r>
          </w:p>
          <w:p w:rsidR="00AB4E3F" w:rsidRPr="00AB4E3F" w:rsidRDefault="00AB4E3F" w:rsidP="00AB4E3F">
            <w:pPr>
              <w:tabs>
                <w:tab w:val="left" w:pos="1701"/>
              </w:tabs>
              <w:spacing w:line="252" w:lineRule="auto"/>
              <w:rPr>
                <w:rFonts w:eastAsiaTheme="minorHAnsi"/>
                <w:b/>
                <w:color w:val="000000"/>
                <w:lang w:eastAsia="en-US"/>
              </w:rPr>
            </w:pPr>
            <w:r>
              <w:rPr>
                <w:rFonts w:eastAsiaTheme="minorHAnsi"/>
                <w:color w:val="000000"/>
                <w:lang w:eastAsia="en-US"/>
              </w:rPr>
              <w:t xml:space="preserve">- (ev.) Rådets direktiv om genomförande av det fördjupade samarbetet på området för skatt på finansiella transaktioner </w:t>
            </w:r>
            <w:r>
              <w:rPr>
                <w:rFonts w:eastAsiaTheme="minorHAnsi"/>
                <w:b/>
                <w:color w:val="000000"/>
                <w:lang w:eastAsia="en-US"/>
              </w:rPr>
              <w:t>II AM (V)</w:t>
            </w:r>
            <w:r>
              <w:rPr>
                <w:rFonts w:eastAsiaTheme="minorHAnsi"/>
                <w:color w:val="000000"/>
                <w:lang w:eastAsia="en-US"/>
              </w:rPr>
              <w:br/>
              <w:t>- Uppföljning av G20-mötet i Fukuoka</w:t>
            </w:r>
            <w:r>
              <w:rPr>
                <w:rFonts w:eastAsiaTheme="minorHAnsi"/>
                <w:color w:val="000000"/>
                <w:lang w:eastAsia="en-US"/>
              </w:rPr>
              <w:br/>
              <w:t xml:space="preserve">- Den europeiska planeringsterminen 2019 – övergripande not om de landspecifika rekommendationernas ekonomi- och finanspolitiska aspekter </w:t>
            </w:r>
            <w:r>
              <w:rPr>
                <w:rFonts w:eastAsiaTheme="minorHAnsi"/>
                <w:b/>
                <w:color w:val="000000"/>
                <w:lang w:eastAsia="en-US"/>
              </w:rPr>
              <w:t>II</w:t>
            </w:r>
            <w:r>
              <w:rPr>
                <w:rFonts w:eastAsiaTheme="minorHAnsi"/>
                <w:color w:val="000000"/>
                <w:lang w:eastAsia="en-US"/>
              </w:rPr>
              <w:br/>
              <w:t xml:space="preserve">- (ev.) Rådets beslut/rekommendationer om genomförandet av stabilitets- och tillväxtpakten </w:t>
            </w:r>
            <w:r>
              <w:rPr>
                <w:rFonts w:eastAsiaTheme="minorHAnsi"/>
                <w:b/>
                <w:color w:val="000000"/>
                <w:lang w:eastAsia="en-US"/>
              </w:rPr>
              <w:t>I</w:t>
            </w:r>
            <w:r>
              <w:rPr>
                <w:rFonts w:eastAsiaTheme="minorHAnsi"/>
                <w:color w:val="000000"/>
                <w:lang w:eastAsia="en-US"/>
              </w:rPr>
              <w:br/>
              <w:t xml:space="preserve">- En ren jord åt alla: En strategisk långsiktig vision för en klimatneutral ekonomi – ekonomiska och finansiella aspekter  </w:t>
            </w:r>
            <w:r>
              <w:rPr>
                <w:rFonts w:eastAsiaTheme="minorHAnsi"/>
                <w:b/>
                <w:color w:val="000000"/>
                <w:lang w:eastAsia="en-US"/>
              </w:rPr>
              <w:t>II AM (V, L)</w:t>
            </w:r>
            <w:r w:rsidR="00FC1FED">
              <w:rPr>
                <w:rFonts w:eastAsiaTheme="minorHAnsi"/>
                <w:b/>
                <w:color w:val="000000"/>
                <w:lang w:eastAsia="en-US"/>
              </w:rPr>
              <w:br/>
              <w:t xml:space="preserve">- </w:t>
            </w:r>
            <w:r w:rsidR="00FC1FED">
              <w:rPr>
                <w:rFonts w:eastAsiaTheme="minorHAnsi"/>
                <w:color w:val="000000"/>
                <w:lang w:eastAsia="en-US"/>
              </w:rPr>
              <w:t>(ev.) Handlingsplan för hantering av nödlidande lån i Europa</w:t>
            </w:r>
            <w:r>
              <w:rPr>
                <w:rFonts w:eastAsiaTheme="minorHAnsi"/>
                <w:color w:val="000000"/>
                <w:lang w:eastAsia="en-US"/>
              </w:rPr>
              <w:br/>
              <w:t>- Övriga frågor</w:t>
            </w:r>
            <w:r w:rsidR="00FC1FED">
              <w:rPr>
                <w:rFonts w:eastAsiaTheme="minorHAnsi"/>
                <w:color w:val="000000"/>
                <w:lang w:eastAsia="en-US"/>
              </w:rPr>
              <w:br/>
              <w:t>Information Årsmöte Europeiska investeringsbanken</w:t>
            </w:r>
            <w:r>
              <w:rPr>
                <w:rFonts w:eastAsiaTheme="minorHAnsi"/>
                <w:color w:val="000000"/>
                <w:lang w:eastAsia="en-US"/>
              </w:rPr>
              <w:t xml:space="preserve"> </w:t>
            </w:r>
            <w:r>
              <w:rPr>
                <w:rFonts w:eastAsiaTheme="minorHAnsi"/>
                <w:color w:val="000000"/>
                <w:lang w:eastAsia="en-US"/>
              </w:rPr>
              <w:br/>
            </w:r>
          </w:p>
        </w:tc>
      </w:tr>
      <w:tr w:rsidR="00AB4E3F" w:rsidRPr="00944D43" w:rsidTr="00E80105">
        <w:tc>
          <w:tcPr>
            <w:tcW w:w="567" w:type="dxa"/>
          </w:tcPr>
          <w:p w:rsidR="00AB4E3F" w:rsidRDefault="00AB4E3F" w:rsidP="00AB4E3F">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rsidR="00AB4E3F" w:rsidRDefault="00AB4E3F" w:rsidP="00AB4E3F">
            <w:pPr>
              <w:tabs>
                <w:tab w:val="left" w:pos="1701"/>
              </w:tabs>
              <w:spacing w:line="252" w:lineRule="auto"/>
              <w:rPr>
                <w:rFonts w:eastAsiaTheme="minorHAnsi"/>
                <w:color w:val="000000"/>
                <w:lang w:eastAsia="en-US"/>
              </w:rPr>
            </w:pPr>
            <w:r>
              <w:rPr>
                <w:rFonts w:eastAsiaTheme="minorHAnsi"/>
                <w:b/>
                <w:bCs/>
                <w:color w:val="000000"/>
                <w:lang w:eastAsia="en-US"/>
              </w:rPr>
              <w:t>Justering</w:t>
            </w:r>
            <w:r>
              <w:rPr>
                <w:rFonts w:eastAsiaTheme="minorHAnsi"/>
                <w:color w:val="000000"/>
                <w:lang w:eastAsia="en-US"/>
              </w:rPr>
              <w:br/>
              <w:t>Uppteckningar från sammanträdena den 24 och 27 maj och protokoll från sammanträdet den 5 juni 2019.</w:t>
            </w:r>
          </w:p>
          <w:p w:rsidR="00AB4E3F" w:rsidRDefault="00AB4E3F" w:rsidP="00AB4E3F">
            <w:pPr>
              <w:tabs>
                <w:tab w:val="left" w:pos="1701"/>
              </w:tabs>
              <w:spacing w:line="252" w:lineRule="auto"/>
              <w:rPr>
                <w:rFonts w:eastAsiaTheme="minorHAnsi"/>
                <w:b/>
                <w:bCs/>
                <w:color w:val="000000"/>
                <w:lang w:eastAsia="en-US"/>
              </w:rPr>
            </w:pPr>
          </w:p>
        </w:tc>
      </w:tr>
      <w:tr w:rsidR="00AB4E3F" w:rsidRPr="00944D43" w:rsidTr="00E80105">
        <w:tc>
          <w:tcPr>
            <w:tcW w:w="567" w:type="dxa"/>
          </w:tcPr>
          <w:p w:rsidR="00AB4E3F" w:rsidRDefault="00AB4E3F" w:rsidP="00AB4E3F">
            <w:pPr>
              <w:tabs>
                <w:tab w:val="left" w:pos="1701"/>
              </w:tabs>
              <w:spacing w:line="252" w:lineRule="auto"/>
              <w:rPr>
                <w:b/>
                <w:snapToGrid w:val="0"/>
                <w:color w:val="000000" w:themeColor="text1"/>
                <w:lang w:eastAsia="en-US"/>
              </w:rPr>
            </w:pPr>
          </w:p>
        </w:tc>
        <w:tc>
          <w:tcPr>
            <w:tcW w:w="6946" w:type="dxa"/>
          </w:tcPr>
          <w:p w:rsidR="00AB4E3F" w:rsidRPr="00694F26" w:rsidRDefault="00AB4E3F" w:rsidP="00AB4E3F">
            <w:pPr>
              <w:tabs>
                <w:tab w:val="left" w:pos="1701"/>
              </w:tabs>
              <w:spacing w:line="252" w:lineRule="auto"/>
              <w:rPr>
                <w:rFonts w:eastAsiaTheme="minorHAnsi"/>
                <w:color w:val="000000"/>
                <w:lang w:eastAsia="en-US"/>
              </w:rPr>
            </w:pPr>
          </w:p>
        </w:tc>
      </w:tr>
    </w:tbl>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r>
        <w:t xml:space="preserve"> </w:t>
      </w: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Default="003B41DA" w:rsidP="003B41DA">
      <w:pPr>
        <w:tabs>
          <w:tab w:val="left" w:pos="1701"/>
        </w:tabs>
        <w:spacing w:line="252" w:lineRule="auto"/>
      </w:pPr>
    </w:p>
    <w:p w:rsidR="003B41DA" w:rsidRPr="002E32FF" w:rsidRDefault="003B41DA" w:rsidP="003B41DA">
      <w:pPr>
        <w:tabs>
          <w:tab w:val="left" w:pos="1701"/>
        </w:tabs>
        <w:spacing w:line="252" w:lineRule="auto"/>
        <w:ind w:firstLine="709"/>
        <w:rPr>
          <w:b/>
          <w:snapToGrid w:val="0"/>
          <w:lang w:eastAsia="en-US"/>
        </w:rPr>
      </w:pPr>
      <w:r w:rsidRPr="002E32FF">
        <w:rPr>
          <w:b/>
          <w:snapToGrid w:val="0"/>
          <w:lang w:eastAsia="en-US"/>
        </w:rPr>
        <w:t>Vid protokollet</w:t>
      </w:r>
    </w:p>
    <w:p w:rsidR="003B41DA" w:rsidRPr="002E32FF" w:rsidRDefault="003B41DA" w:rsidP="003B41DA">
      <w:pPr>
        <w:tabs>
          <w:tab w:val="left" w:pos="1701"/>
        </w:tabs>
        <w:spacing w:line="252" w:lineRule="auto"/>
        <w:rPr>
          <w:b/>
          <w:snapToGrid w:val="0"/>
          <w:lang w:eastAsia="en-US"/>
        </w:rPr>
      </w:pPr>
    </w:p>
    <w:p w:rsidR="003B41DA" w:rsidRPr="002E32FF" w:rsidRDefault="003B41DA" w:rsidP="003B41DA">
      <w:pPr>
        <w:tabs>
          <w:tab w:val="left" w:pos="1701"/>
        </w:tabs>
        <w:spacing w:line="252" w:lineRule="auto"/>
        <w:ind w:firstLine="709"/>
        <w:rPr>
          <w:b/>
          <w:snapToGrid w:val="0"/>
          <w:lang w:eastAsia="en-US"/>
        </w:rPr>
      </w:pPr>
      <w:r w:rsidRPr="002E32FF">
        <w:rPr>
          <w:b/>
          <w:snapToGrid w:val="0"/>
          <w:lang w:eastAsia="en-US"/>
        </w:rPr>
        <w:t>Åsa Westlund</w:t>
      </w:r>
    </w:p>
    <w:p w:rsidR="003B41DA" w:rsidRPr="002E32FF" w:rsidRDefault="003B41DA" w:rsidP="003B41DA">
      <w:pPr>
        <w:tabs>
          <w:tab w:val="left" w:pos="1701"/>
        </w:tabs>
        <w:spacing w:line="252" w:lineRule="auto"/>
        <w:rPr>
          <w:b/>
          <w:snapToGrid w:val="0"/>
          <w:lang w:eastAsia="en-US"/>
        </w:rPr>
      </w:pPr>
    </w:p>
    <w:p w:rsidR="003B41DA" w:rsidRPr="002E32FF" w:rsidRDefault="003B41DA" w:rsidP="003B41DA">
      <w:pPr>
        <w:tabs>
          <w:tab w:val="left" w:pos="1701"/>
        </w:tabs>
        <w:spacing w:line="252" w:lineRule="auto"/>
        <w:rPr>
          <w:b/>
          <w:snapToGrid w:val="0"/>
          <w:lang w:eastAsia="en-US"/>
        </w:rPr>
      </w:pPr>
    </w:p>
    <w:p w:rsidR="003B41DA" w:rsidRPr="002E32FF" w:rsidRDefault="003B41DA" w:rsidP="003B41DA">
      <w:pPr>
        <w:tabs>
          <w:tab w:val="left" w:pos="1701"/>
        </w:tabs>
        <w:spacing w:line="252" w:lineRule="auto"/>
        <w:ind w:firstLine="709"/>
        <w:rPr>
          <w:b/>
          <w:snapToGrid w:val="0"/>
          <w:lang w:eastAsia="en-US"/>
        </w:rPr>
      </w:pPr>
      <w:r>
        <w:rPr>
          <w:b/>
          <w:snapToGrid w:val="0"/>
          <w:lang w:eastAsia="en-US"/>
        </w:rPr>
        <w:t xml:space="preserve">Maria Eriksson </w:t>
      </w:r>
    </w:p>
    <w:p w:rsidR="003B41DA" w:rsidRPr="002E32FF" w:rsidRDefault="003B41DA" w:rsidP="003B41DA">
      <w:pPr>
        <w:tabs>
          <w:tab w:val="left" w:pos="1701"/>
        </w:tabs>
        <w:spacing w:line="252" w:lineRule="auto"/>
        <w:rPr>
          <w:b/>
          <w:snapToGrid w:val="0"/>
          <w:lang w:eastAsia="en-US"/>
        </w:rPr>
      </w:pPr>
    </w:p>
    <w:p w:rsidR="003B41DA" w:rsidRPr="002E32FF" w:rsidRDefault="003B41DA" w:rsidP="003B41DA">
      <w:pPr>
        <w:tabs>
          <w:tab w:val="left" w:pos="1701"/>
        </w:tabs>
        <w:spacing w:line="252" w:lineRule="auto"/>
        <w:rPr>
          <w:b/>
          <w:snapToGrid w:val="0"/>
          <w:lang w:eastAsia="en-US"/>
        </w:rPr>
      </w:pPr>
    </w:p>
    <w:p w:rsidR="003B41DA" w:rsidRDefault="003B41DA" w:rsidP="003B41DA">
      <w:pPr>
        <w:widowControl/>
        <w:spacing w:after="160" w:line="259" w:lineRule="auto"/>
        <w:ind w:firstLine="709"/>
        <w:rPr>
          <w:b/>
          <w:snapToGrid w:val="0"/>
          <w:lang w:eastAsia="en-US"/>
        </w:rPr>
      </w:pPr>
      <w:r w:rsidRPr="002E32FF">
        <w:rPr>
          <w:b/>
          <w:snapToGrid w:val="0"/>
          <w:lang w:eastAsia="en-US"/>
        </w:rPr>
        <w:t>Justerat den</w:t>
      </w:r>
    </w:p>
    <w:p w:rsidR="003C171B" w:rsidRPr="003B41DA" w:rsidRDefault="003B41DA" w:rsidP="003B41DA">
      <w:pPr>
        <w:widowControl/>
        <w:spacing w:after="160" w:line="259" w:lineRule="auto"/>
        <w:rPr>
          <w:b/>
          <w:snapToGrid w:val="0"/>
          <w:lang w:eastAsia="en-US"/>
        </w:rPr>
      </w:pPr>
      <w:r>
        <w:rPr>
          <w:b/>
          <w:snapToGrid w:val="0"/>
          <w:lang w:eastAsia="en-US"/>
        </w:rPr>
        <w:br w:type="page"/>
      </w:r>
    </w:p>
    <w:tbl>
      <w:tblPr>
        <w:tblW w:w="9316" w:type="dxa"/>
        <w:jc w:val="center"/>
        <w:tblCellMar>
          <w:left w:w="70" w:type="dxa"/>
          <w:right w:w="70" w:type="dxa"/>
        </w:tblCellMar>
        <w:tblLook w:val="04A0" w:firstRow="1" w:lastRow="0" w:firstColumn="1" w:lastColumn="0" w:noHBand="0" w:noVBand="1"/>
      </w:tblPr>
      <w:tblGrid>
        <w:gridCol w:w="3870"/>
        <w:gridCol w:w="382"/>
        <w:gridCol w:w="417"/>
        <w:gridCol w:w="379"/>
        <w:gridCol w:w="438"/>
        <w:gridCol w:w="408"/>
        <w:gridCol w:w="408"/>
        <w:gridCol w:w="408"/>
        <w:gridCol w:w="408"/>
        <w:gridCol w:w="364"/>
        <w:gridCol w:w="363"/>
        <w:gridCol w:w="344"/>
        <w:gridCol w:w="344"/>
        <w:gridCol w:w="359"/>
        <w:gridCol w:w="424"/>
      </w:tblGrid>
      <w:tr w:rsidR="00DF1630" w:rsidRPr="00321ABF" w:rsidTr="00AB4E3F">
        <w:trPr>
          <w:trHeight w:val="153"/>
          <w:jc w:val="center"/>
        </w:trPr>
        <w:tc>
          <w:tcPr>
            <w:tcW w:w="3870" w:type="dxa"/>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5446" w:type="dxa"/>
            <w:gridSpan w:val="14"/>
            <w:tcBorders>
              <w:top w:val="single" w:sz="6" w:space="0" w:color="auto"/>
              <w:left w:val="double" w:sz="4" w:space="0" w:color="auto"/>
              <w:bottom w:val="single" w:sz="12" w:space="0" w:color="auto"/>
              <w:right w:val="double" w:sz="4" w:space="0" w:color="auto"/>
            </w:tcBorders>
            <w:hideMark/>
          </w:tcPr>
          <w:p w:rsidR="00DF1630" w:rsidRPr="00321ABF" w:rsidRDefault="00DF1630" w:rsidP="00BC1250">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AB4E3F">
              <w:rPr>
                <w:b/>
                <w:lang w:eastAsia="en-US"/>
              </w:rPr>
              <w:t>37</w:t>
            </w:r>
          </w:p>
        </w:tc>
      </w:tr>
      <w:tr w:rsidR="007D5E41" w:rsidRPr="00321ABF" w:rsidTr="00AB4E3F">
        <w:trPr>
          <w:trHeight w:val="50"/>
          <w:jc w:val="center"/>
        </w:trPr>
        <w:tc>
          <w:tcPr>
            <w:tcW w:w="3870" w:type="dxa"/>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799" w:type="dxa"/>
            <w:gridSpan w:val="2"/>
            <w:tcBorders>
              <w:top w:val="single" w:sz="6" w:space="0" w:color="auto"/>
              <w:left w:val="double" w:sz="4" w:space="0" w:color="auto"/>
              <w:bottom w:val="single" w:sz="12" w:space="0" w:color="auto"/>
              <w:right w:val="double" w:sz="4" w:space="0" w:color="auto"/>
            </w:tcBorders>
          </w:tcPr>
          <w:p w:rsidR="007D5E41" w:rsidRPr="00563B4B" w:rsidRDefault="00E05A7D" w:rsidP="00694F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sidRPr="00563B4B">
              <w:rPr>
                <w:b/>
                <w:sz w:val="22"/>
                <w:szCs w:val="22"/>
                <w:lang w:eastAsia="en-US"/>
              </w:rPr>
              <w:t>§</w:t>
            </w:r>
            <w:r w:rsidR="00AB4E3F">
              <w:rPr>
                <w:b/>
                <w:sz w:val="22"/>
                <w:szCs w:val="22"/>
                <w:lang w:eastAsia="en-US"/>
              </w:rPr>
              <w:t xml:space="preserve"> 1-4</w:t>
            </w:r>
          </w:p>
        </w:tc>
        <w:tc>
          <w:tcPr>
            <w:tcW w:w="817" w:type="dxa"/>
            <w:gridSpan w:val="2"/>
            <w:tcBorders>
              <w:top w:val="single" w:sz="6" w:space="0" w:color="auto"/>
              <w:left w:val="double" w:sz="4" w:space="0" w:color="auto"/>
              <w:bottom w:val="single" w:sz="12" w:space="0" w:color="auto"/>
              <w:right w:val="double" w:sz="4" w:space="0" w:color="auto"/>
            </w:tcBorders>
          </w:tcPr>
          <w:p w:rsidR="007D5E41" w:rsidRPr="00563B4B" w:rsidRDefault="007D5E41" w:rsidP="00A92A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16" w:type="dxa"/>
            <w:gridSpan w:val="2"/>
            <w:tcBorders>
              <w:top w:val="single" w:sz="6" w:space="0" w:color="auto"/>
              <w:left w:val="double" w:sz="4" w:space="0" w:color="auto"/>
              <w:bottom w:val="single" w:sz="12" w:space="0" w:color="auto"/>
              <w:right w:val="double" w:sz="4" w:space="0" w:color="auto"/>
            </w:tcBorders>
          </w:tcPr>
          <w:p w:rsidR="007D5E41" w:rsidRPr="00694F26" w:rsidRDefault="007D5E41" w:rsidP="00694F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highlight w:val="yellow"/>
                <w:lang w:eastAsia="en-US"/>
              </w:rPr>
            </w:pPr>
          </w:p>
        </w:tc>
        <w:tc>
          <w:tcPr>
            <w:tcW w:w="816" w:type="dxa"/>
            <w:gridSpan w:val="2"/>
            <w:tcBorders>
              <w:top w:val="single" w:sz="6" w:space="0" w:color="auto"/>
              <w:left w:val="double" w:sz="4" w:space="0" w:color="auto"/>
              <w:bottom w:val="single" w:sz="12" w:space="0" w:color="auto"/>
              <w:right w:val="single" w:sz="6" w:space="0" w:color="auto"/>
            </w:tcBorders>
          </w:tcPr>
          <w:p w:rsidR="007D5E41" w:rsidRPr="00321ABF" w:rsidRDefault="007D5E41" w:rsidP="00A92A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27"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688"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783" w:type="dxa"/>
            <w:gridSpan w:val="2"/>
            <w:tcBorders>
              <w:top w:val="single" w:sz="6" w:space="0" w:color="auto"/>
              <w:left w:val="double" w:sz="4"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7D5E41" w:rsidRPr="00321ABF" w:rsidTr="00AB4E3F">
        <w:trPr>
          <w:trHeight w:val="246"/>
          <w:jc w:val="center"/>
        </w:trPr>
        <w:tc>
          <w:tcPr>
            <w:tcW w:w="3870" w:type="dxa"/>
            <w:tcBorders>
              <w:top w:val="single" w:sz="6" w:space="0" w:color="auto"/>
              <w:left w:val="single" w:sz="6" w:space="0" w:color="auto"/>
              <w:bottom w:val="single" w:sz="12" w:space="0" w:color="auto"/>
              <w:right w:val="double" w:sz="4" w:space="0" w:color="auto"/>
            </w:tcBorders>
            <w:hideMark/>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17"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79"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08"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08"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08"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08" w:type="dxa"/>
            <w:tcBorders>
              <w:top w:val="single" w:sz="6" w:space="0" w:color="auto"/>
              <w:left w:val="single" w:sz="6"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364"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63"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44"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44"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359" w:type="dxa"/>
            <w:tcBorders>
              <w:top w:val="single" w:sz="6" w:space="0" w:color="auto"/>
              <w:left w:val="double" w:sz="4" w:space="0" w:color="auto"/>
              <w:bottom w:val="single" w:sz="12" w:space="0" w:color="auto"/>
              <w:right w:val="single" w:sz="6"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4" w:type="dxa"/>
            <w:tcBorders>
              <w:top w:val="single" w:sz="6" w:space="0" w:color="auto"/>
              <w:left w:val="single" w:sz="6" w:space="0" w:color="auto"/>
              <w:bottom w:val="single" w:sz="12" w:space="0" w:color="auto"/>
              <w:right w:val="double" w:sz="4" w:space="0" w:color="auto"/>
            </w:tcBorders>
          </w:tcPr>
          <w:p w:rsidR="007D5E41" w:rsidRPr="00321ABF" w:rsidRDefault="007D5E41" w:rsidP="007D5E4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AB4E3F" w:rsidRPr="00321ABF" w:rsidTr="00AB4E3F">
        <w:trPr>
          <w:trHeight w:val="167"/>
          <w:jc w:val="center"/>
        </w:trPr>
        <w:tc>
          <w:tcPr>
            <w:tcW w:w="3870" w:type="dxa"/>
            <w:tcBorders>
              <w:top w:val="single" w:sz="12" w:space="0" w:color="auto"/>
              <w:left w:val="single" w:sz="6" w:space="0" w:color="auto"/>
              <w:bottom w:val="single" w:sz="6" w:space="0" w:color="auto"/>
              <w:right w:val="double" w:sz="4" w:space="0" w:color="auto"/>
            </w:tcBorders>
            <w:hideMark/>
          </w:tcPr>
          <w:p w:rsidR="00AB4E3F" w:rsidRPr="00985D72" w:rsidRDefault="00AB4E3F" w:rsidP="00AB4E3F">
            <w:pPr>
              <w:rPr>
                <w:sz w:val="18"/>
                <w:szCs w:val="18"/>
              </w:rPr>
            </w:pPr>
            <w:r w:rsidRPr="00985D72">
              <w:rPr>
                <w:sz w:val="18"/>
                <w:szCs w:val="18"/>
              </w:rPr>
              <w:t>Åsa Westlund (S) (Ordf.)</w:t>
            </w:r>
          </w:p>
        </w:tc>
        <w:tc>
          <w:tcPr>
            <w:tcW w:w="382"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DF4413" w:rsidTr="00AB4E3F">
        <w:trPr>
          <w:trHeight w:val="65"/>
          <w:jc w:val="center"/>
        </w:trPr>
        <w:tc>
          <w:tcPr>
            <w:tcW w:w="3870" w:type="dxa"/>
            <w:tcBorders>
              <w:top w:val="single" w:sz="6" w:space="0" w:color="auto"/>
              <w:left w:val="single" w:sz="6" w:space="0" w:color="auto"/>
              <w:bottom w:val="single" w:sz="6" w:space="0" w:color="auto"/>
              <w:right w:val="double" w:sz="4" w:space="0" w:color="auto"/>
            </w:tcBorders>
            <w:hideMark/>
          </w:tcPr>
          <w:p w:rsidR="00AB4E3F" w:rsidRPr="00985D72" w:rsidRDefault="00AB4E3F" w:rsidP="00AB4E3F">
            <w:pPr>
              <w:rPr>
                <w:sz w:val="18"/>
                <w:szCs w:val="18"/>
              </w:rPr>
            </w:pPr>
            <w:r w:rsidRPr="00985D72">
              <w:rPr>
                <w:sz w:val="18"/>
                <w:szCs w:val="18"/>
              </w:rPr>
              <w:t xml:space="preserve">Annika Qarlsson (C) </w:t>
            </w:r>
            <w:r>
              <w:rPr>
                <w:sz w:val="18"/>
                <w:szCs w:val="18"/>
              </w:rPr>
              <w:t>Förste vice ordf.)</w:t>
            </w:r>
          </w:p>
        </w:tc>
        <w:tc>
          <w:tcPr>
            <w:tcW w:w="382"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25501D"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hideMark/>
          </w:tcPr>
          <w:p w:rsidR="00AB4E3F" w:rsidRPr="00985D72" w:rsidRDefault="00AB4E3F" w:rsidP="00AB4E3F">
            <w:pPr>
              <w:rPr>
                <w:sz w:val="18"/>
                <w:szCs w:val="18"/>
              </w:rPr>
            </w:pPr>
            <w:r w:rsidRPr="00985D72">
              <w:rPr>
                <w:sz w:val="18"/>
                <w:szCs w:val="18"/>
              </w:rPr>
              <w:t>Tomas Tobé (M) (Andre vice ordf.)</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hideMark/>
          </w:tcPr>
          <w:p w:rsidR="00AB4E3F" w:rsidRPr="00985D72" w:rsidRDefault="00AB4E3F" w:rsidP="00AB4E3F">
            <w:pPr>
              <w:rPr>
                <w:sz w:val="18"/>
                <w:szCs w:val="18"/>
              </w:rPr>
            </w:pPr>
            <w:r w:rsidRPr="00985D72">
              <w:rPr>
                <w:sz w:val="18"/>
                <w:szCs w:val="18"/>
              </w:rPr>
              <w:t>Björn Wiechel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hideMark/>
          </w:tcPr>
          <w:p w:rsidR="00AB4E3F" w:rsidRPr="00985D72" w:rsidRDefault="00AB4E3F" w:rsidP="00AB4E3F">
            <w:pPr>
              <w:rPr>
                <w:sz w:val="18"/>
                <w:szCs w:val="18"/>
              </w:rPr>
            </w:pPr>
            <w:r w:rsidRPr="00985D72">
              <w:rPr>
                <w:sz w:val="18"/>
                <w:szCs w:val="18"/>
              </w:rPr>
              <w:t>Jessica Polfjärd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Martin Kinnunen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Markus Selin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Ilona Szatmari Waldau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Jessica Rosencrantz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Ludvig Aspling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Maria Strömkvist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Désirée Pethrus (KD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Pyry Niemi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55"/>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Tina Acketoft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Johnny Skalin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Alice Bah Kuhnke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12" w:space="0" w:color="auto"/>
              <w:right w:val="double" w:sz="4" w:space="0" w:color="auto"/>
            </w:tcBorders>
          </w:tcPr>
          <w:p w:rsidR="00AB4E3F" w:rsidRPr="00985D72" w:rsidRDefault="00AB4E3F" w:rsidP="00AB4E3F">
            <w:pPr>
              <w:rPr>
                <w:sz w:val="18"/>
                <w:szCs w:val="18"/>
              </w:rPr>
            </w:pPr>
            <w:r w:rsidRPr="00985D72">
              <w:rPr>
                <w:sz w:val="18"/>
                <w:szCs w:val="18"/>
              </w:rPr>
              <w:t>Jan Ericson (M)</w:t>
            </w:r>
          </w:p>
        </w:tc>
        <w:tc>
          <w:tcPr>
            <w:tcW w:w="382"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60"/>
          <w:jc w:val="center"/>
        </w:trPr>
        <w:tc>
          <w:tcPr>
            <w:tcW w:w="3870" w:type="dxa"/>
            <w:tcBorders>
              <w:top w:val="single" w:sz="12" w:space="0" w:color="auto"/>
              <w:left w:val="single" w:sz="6" w:space="0" w:color="auto"/>
              <w:bottom w:val="single" w:sz="12" w:space="0" w:color="auto"/>
              <w:right w:val="double" w:sz="4" w:space="0" w:color="auto"/>
            </w:tcBorders>
            <w:hideMark/>
          </w:tcPr>
          <w:p w:rsidR="00AB4E3F" w:rsidRPr="00321ABF"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12" w:space="0" w:color="auto"/>
              <w:left w:val="double" w:sz="4" w:space="0" w:color="auto"/>
              <w:bottom w:val="single" w:sz="12"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12" w:space="0" w:color="auto"/>
              <w:left w:val="single" w:sz="6" w:space="0" w:color="auto"/>
              <w:bottom w:val="single" w:sz="12"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12"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Kadir Kasirga (S)</w:t>
            </w:r>
          </w:p>
        </w:tc>
        <w:tc>
          <w:tcPr>
            <w:tcW w:w="382"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12"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12"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12"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Helena Bouveng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Mathias Tegnér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Arin Karapet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Björn Söder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 xml:space="preserve">Dag Larsson (S) </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Johan Hedin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Jonas Sjöstedt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Roger Hedlund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Leif Nysmed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Lars Adaktusson (KD)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117"/>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79"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4"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4"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116"/>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GB" w:eastAsia="en-US"/>
              </w:rPr>
            </w:pPr>
            <w:r>
              <w:rPr>
                <w:sz w:val="18"/>
                <w:szCs w:val="18"/>
                <w:lang w:val="en-GB" w:eastAsia="en-US"/>
              </w:rPr>
              <w:t>Bengt Eliasson (L)</w:t>
            </w:r>
          </w:p>
        </w:tc>
        <w:tc>
          <w:tcPr>
            <w:tcW w:w="382"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4"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4"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4"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r>
              <w:rPr>
                <w:color w:val="000000" w:themeColor="text1"/>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Mattias Ottosson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sidRPr="004F2B81">
              <w:rPr>
                <w:sz w:val="18"/>
                <w:szCs w:val="18"/>
                <w:lang w:val="en-US" w:eastAsia="en-US"/>
              </w:rPr>
              <w:t>Johan Andersson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Pr>
                <w:sz w:val="18"/>
                <w:szCs w:val="18"/>
                <w:lang w:val="en-US" w:eastAsia="en-US"/>
              </w:rPr>
              <w:t>Daniel Andersson</w:t>
            </w:r>
            <w:r w:rsidRPr="004F2B81">
              <w:rPr>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sidRPr="004F2B81">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sidRPr="004F2B81">
              <w:rPr>
                <w:sz w:val="18"/>
                <w:szCs w:val="18"/>
                <w:lang w:val="en-US" w:eastAsia="en-US"/>
              </w:rPr>
              <w:t>Maria Stockhaus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sidRPr="004F2B81">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tabs>
                <w:tab w:val="left" w:pos="1701"/>
              </w:tabs>
              <w:spacing w:line="256" w:lineRule="auto"/>
              <w:rPr>
                <w:sz w:val="18"/>
                <w:szCs w:val="18"/>
                <w:lang w:val="en-US" w:eastAsia="en-US"/>
              </w:rPr>
            </w:pPr>
            <w:r w:rsidRPr="004F2B81">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tabs>
                <w:tab w:val="left" w:pos="1701"/>
              </w:tabs>
              <w:spacing w:line="256"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943297"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spacing w:line="256"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sz w:val="18"/>
                <w:szCs w:val="18"/>
                <w:lang w:val="en-US" w:eastAsia="en-US"/>
              </w:rPr>
            </w:pPr>
            <w:r w:rsidRPr="004F2B81">
              <w:rPr>
                <w:color w:val="000000"/>
                <w:sz w:val="18"/>
                <w:szCs w:val="18"/>
              </w:rPr>
              <w:t>Jan R Andersson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Pr>
                <w:color w:val="000000"/>
                <w:sz w:val="18"/>
                <w:szCs w:val="18"/>
              </w:rPr>
              <w:t>Josefin Malmqvist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4F2B81">
              <w:rPr>
                <w:color w:val="000000"/>
                <w:sz w:val="18"/>
                <w:szCs w:val="18"/>
              </w:rPr>
              <w:t>Lotta Finstorp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Patrick Reslow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Sven-Olof Sällström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Julia Kronlid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Paula Bieler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Per Ramhorn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Markus Wiechel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Lars Andersson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Josef Fransson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Adam Marttinen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Tobias Andersson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Charlotte Quensel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Angelica Lundberg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Staffan Eklöf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Jimmy Ståhl (SD)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Robert Halef (KD)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Kjell-Arne Ottosson (KD)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85D72" w:rsidRDefault="00AB4E3F" w:rsidP="00AB4E3F">
            <w:pPr>
              <w:rPr>
                <w:sz w:val="18"/>
                <w:szCs w:val="18"/>
              </w:rPr>
            </w:pPr>
            <w:r w:rsidRPr="00985D72">
              <w:rPr>
                <w:sz w:val="18"/>
                <w:szCs w:val="18"/>
              </w:rPr>
              <w:t>Fredrik Malm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Jan Björklund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Vakant</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Janine Alm Ericson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Jens Holm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65"/>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Nooshi Dadgostar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Daniel Riazat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Barbro Westerholm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Gulan Avci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Mats Persson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Johan Pehrson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Arman Teimouri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Lina Nordquist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Helena Gellerman (L)</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Jessika Roswall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Maria Malmer Stenergard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37D82" w:rsidRDefault="00AB4E3F" w:rsidP="00AB4E3F">
            <w:pPr>
              <w:rPr>
                <w:sz w:val="18"/>
                <w:szCs w:val="18"/>
              </w:rPr>
            </w:pPr>
            <w:r w:rsidRPr="00937D82">
              <w:rPr>
                <w:sz w:val="18"/>
                <w:szCs w:val="18"/>
              </w:rPr>
              <w:t>Elisabeth Svantesson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973C23">
              <w:rPr>
                <w:color w:val="000000"/>
                <w:sz w:val="18"/>
                <w:szCs w:val="18"/>
              </w:rPr>
              <w:t>John Widegren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4F2B81">
              <w:rPr>
                <w:color w:val="000000"/>
                <w:sz w:val="18"/>
                <w:szCs w:val="18"/>
              </w:rPr>
              <w:t>Maria Gardfjell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4F2B81">
              <w:rPr>
                <w:color w:val="000000"/>
                <w:sz w:val="18"/>
                <w:szCs w:val="18"/>
              </w:rPr>
              <w:t>Karolina Skog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4F2B81">
              <w:rPr>
                <w:color w:val="000000"/>
                <w:sz w:val="18"/>
                <w:szCs w:val="18"/>
              </w:rPr>
              <w:t>Hanif Bali (M)</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4F2B81" w:rsidRDefault="00AB4E3F" w:rsidP="00AB4E3F">
            <w:pPr>
              <w:spacing w:line="256" w:lineRule="auto"/>
              <w:rPr>
                <w:color w:val="000000"/>
                <w:sz w:val="18"/>
                <w:szCs w:val="18"/>
              </w:rPr>
            </w:pPr>
            <w:r w:rsidRPr="00973C23">
              <w:rPr>
                <w:color w:val="000000"/>
                <w:sz w:val="18"/>
                <w:szCs w:val="18"/>
              </w:rPr>
              <w:t>Hampus Hagman (KD)</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Ida Gabrielsson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Ali Esbati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Karin Rågsjö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Lorena Delgado Varas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tabs>
                <w:tab w:val="left" w:pos="1701"/>
              </w:tabs>
              <w:spacing w:line="256" w:lineRule="auto"/>
              <w:rPr>
                <w:color w:val="000000"/>
                <w:sz w:val="18"/>
                <w:szCs w:val="18"/>
              </w:rPr>
            </w:pPr>
            <w:r w:rsidRPr="0037052A">
              <w:rPr>
                <w:sz w:val="18"/>
                <w:szCs w:val="18"/>
                <w:lang w:val="en-US" w:eastAsia="en-US"/>
              </w:rPr>
              <w:t>Linda Westerlund Snecker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Mia Sydow Mölleby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Pr>
                <w:color w:val="000000"/>
                <w:sz w:val="18"/>
                <w:szCs w:val="18"/>
              </w:rPr>
              <w:t>Vasiliki Tsouplaki (V)</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spacing w:line="256" w:lineRule="auto"/>
              <w:rPr>
                <w:color w:val="000000"/>
                <w:sz w:val="18"/>
                <w:szCs w:val="18"/>
              </w:rPr>
            </w:pPr>
            <w:r>
              <w:rPr>
                <w:color w:val="000000"/>
                <w:sz w:val="18"/>
                <w:szCs w:val="18"/>
              </w:rPr>
              <w:lastRenderedPageBreak/>
              <w:t>Lorentz Tovatt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spacing w:line="256" w:lineRule="auto"/>
              <w:rPr>
                <w:color w:val="000000"/>
                <w:sz w:val="18"/>
                <w:szCs w:val="18"/>
              </w:rPr>
            </w:pPr>
            <w:r>
              <w:rPr>
                <w:color w:val="000000"/>
                <w:sz w:val="18"/>
                <w:szCs w:val="18"/>
              </w:rPr>
              <w:t>Anna Sibinska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spacing w:line="256" w:lineRule="auto"/>
              <w:rPr>
                <w:color w:val="000000"/>
                <w:sz w:val="18"/>
                <w:szCs w:val="18"/>
              </w:rPr>
            </w:pPr>
            <w:r>
              <w:rPr>
                <w:color w:val="000000"/>
                <w:sz w:val="18"/>
                <w:szCs w:val="18"/>
              </w:rPr>
              <w:t>Mats Berglund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Default="00AB4E3F" w:rsidP="00AB4E3F">
            <w:pPr>
              <w:spacing w:line="256" w:lineRule="auto"/>
              <w:rPr>
                <w:color w:val="000000"/>
                <w:sz w:val="18"/>
                <w:szCs w:val="18"/>
              </w:rPr>
            </w:pPr>
            <w:r>
              <w:rPr>
                <w:color w:val="000000"/>
                <w:sz w:val="18"/>
                <w:szCs w:val="18"/>
              </w:rPr>
              <w:t>Emma Hult (MP)</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AB4E3F" w:rsidRPr="00321ABF" w:rsidTr="00AB4E3F">
        <w:trPr>
          <w:trHeight w:val="219"/>
          <w:jc w:val="center"/>
        </w:trPr>
        <w:tc>
          <w:tcPr>
            <w:tcW w:w="3870" w:type="dxa"/>
            <w:tcBorders>
              <w:top w:val="single" w:sz="6" w:space="0" w:color="auto"/>
              <w:left w:val="single" w:sz="6" w:space="0" w:color="auto"/>
              <w:bottom w:val="single" w:sz="6" w:space="0" w:color="auto"/>
              <w:right w:val="double" w:sz="4" w:space="0" w:color="auto"/>
            </w:tcBorders>
          </w:tcPr>
          <w:p w:rsidR="00AB4E3F" w:rsidRPr="00973C23" w:rsidRDefault="00AB4E3F" w:rsidP="00AB4E3F">
            <w:pPr>
              <w:spacing w:line="256" w:lineRule="auto"/>
              <w:rPr>
                <w:color w:val="000000"/>
                <w:sz w:val="18"/>
                <w:szCs w:val="18"/>
              </w:rPr>
            </w:pPr>
            <w:r w:rsidRPr="004F2B81">
              <w:rPr>
                <w:color w:val="000000"/>
                <w:sz w:val="18"/>
                <w:szCs w:val="18"/>
              </w:rPr>
              <w:t>Abir Al-Sahlani (C)</w:t>
            </w:r>
          </w:p>
        </w:tc>
        <w:tc>
          <w:tcPr>
            <w:tcW w:w="382"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17"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7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08" w:type="dxa"/>
            <w:tcBorders>
              <w:top w:val="single" w:sz="6" w:space="0" w:color="auto"/>
              <w:left w:val="single" w:sz="6"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63"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4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59" w:type="dxa"/>
            <w:tcBorders>
              <w:top w:val="single" w:sz="6" w:space="0" w:color="auto"/>
              <w:left w:val="double" w:sz="4" w:space="0" w:color="auto"/>
              <w:bottom w:val="single" w:sz="6" w:space="0" w:color="auto"/>
              <w:right w:val="single" w:sz="6"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4" w:type="dxa"/>
            <w:tcBorders>
              <w:top w:val="single" w:sz="6" w:space="0" w:color="auto"/>
              <w:left w:val="single" w:sz="6" w:space="0" w:color="auto"/>
              <w:bottom w:val="single" w:sz="6" w:space="0" w:color="auto"/>
              <w:right w:val="double" w:sz="4" w:space="0" w:color="auto"/>
            </w:tcBorders>
          </w:tcPr>
          <w:p w:rsidR="00AB4E3F" w:rsidRPr="009A4B70" w:rsidRDefault="00AB4E3F" w:rsidP="00AB4E3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A3512E" w:rsidRPr="00321ABF" w:rsidRDefault="00A3512E"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B27C31"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w:t>
            </w:r>
            <w:r w:rsidR="00B27C31">
              <w:rPr>
                <w:color w:val="000000" w:themeColor="text1"/>
                <w:sz w:val="20"/>
                <w:lang w:eastAsia="en-US"/>
              </w:rPr>
              <w:t>till</w:t>
            </w:r>
            <w:r w:rsidR="007B3B5B">
              <w:rPr>
                <w:color w:val="000000" w:themeColor="text1"/>
                <w:sz w:val="20"/>
                <w:lang w:eastAsia="en-US"/>
              </w:rPr>
              <w:t xml:space="preserve"> </w:t>
            </w:r>
            <w:r w:rsidR="007D123E">
              <w:rPr>
                <w:color w:val="000000" w:themeColor="text1"/>
                <w:sz w:val="20"/>
                <w:lang w:eastAsia="en-US"/>
              </w:rPr>
              <w:t>kl.</w:t>
            </w:r>
            <w:r w:rsidR="00686748">
              <w:rPr>
                <w:color w:val="000000" w:themeColor="text1"/>
                <w:sz w:val="20"/>
                <w:lang w:eastAsia="en-US"/>
              </w:rPr>
              <w:t xml:space="preserve"> </w:t>
            </w:r>
          </w:p>
          <w:p w:rsidR="00E80105"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 xml:space="preserve">2)    </w:t>
            </w:r>
            <w:r w:rsidR="007D123E">
              <w:rPr>
                <w:color w:val="000000" w:themeColor="text1"/>
                <w:sz w:val="20"/>
                <w:lang w:eastAsia="en-US"/>
              </w:rPr>
              <w:t>D från kl.</w:t>
            </w:r>
            <w:r w:rsidR="00686748">
              <w:rPr>
                <w:color w:val="000000" w:themeColor="text1"/>
                <w:sz w:val="20"/>
                <w:lang w:eastAsia="en-US"/>
              </w:rPr>
              <w:t xml:space="preserve"> </w:t>
            </w:r>
            <w:r w:rsidR="00043030" w:rsidRPr="00321ABF">
              <w:rPr>
                <w:color w:val="000000" w:themeColor="text1"/>
                <w:sz w:val="20"/>
                <w:lang w:eastAsia="en-US"/>
              </w:rPr>
              <w:br/>
            </w:r>
          </w:p>
          <w:p w:rsidR="00F70DB9" w:rsidRPr="00321ABF"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br/>
            </w:r>
            <w:r>
              <w:rPr>
                <w:sz w:val="20"/>
                <w:lang w:eastAsia="en-US"/>
              </w:rPr>
              <w:t xml:space="preserve">I </w:t>
            </w:r>
            <w:r w:rsidRPr="00321ABF">
              <w:rPr>
                <w:sz w:val="20"/>
                <w:lang w:eastAsia="en-US"/>
              </w:rPr>
              <w:t>kolumnen för Närvarande redovisas inte närvarons längd.</w:t>
            </w:r>
          </w:p>
        </w:tc>
      </w:tr>
      <w:tr w:rsidR="00B27C31" w:rsidRPr="00321ABF" w:rsidTr="0023617C">
        <w:trPr>
          <w:trHeight w:val="1135"/>
          <w:jc w:val="center"/>
        </w:trPr>
        <w:tc>
          <w:tcPr>
            <w:tcW w:w="4395" w:type="dxa"/>
          </w:tcPr>
          <w:p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rsidR="00E51534" w:rsidRDefault="00E51534" w:rsidP="00985D72">
      <w:pPr>
        <w:rPr>
          <w:sz w:val="22"/>
          <w:szCs w:val="22"/>
        </w:rPr>
      </w:pPr>
    </w:p>
    <w:p w:rsidR="006957EF" w:rsidRDefault="006957EF">
      <w:pPr>
        <w:widowControl/>
        <w:spacing w:after="160" w:line="259" w:lineRule="auto"/>
        <w:rPr>
          <w:sz w:val="22"/>
          <w:szCs w:val="22"/>
        </w:rPr>
      </w:pPr>
      <w:r>
        <w:rPr>
          <w:sz w:val="22"/>
          <w:szCs w:val="22"/>
        </w:rPr>
        <w:br w:type="page"/>
      </w:r>
    </w:p>
    <w:p w:rsidR="006957EF" w:rsidRPr="00243D42" w:rsidRDefault="006957EF" w:rsidP="006957EF">
      <w:pPr>
        <w:rPr>
          <w:b/>
        </w:rPr>
      </w:pPr>
      <w:r w:rsidRPr="00243D42">
        <w:lastRenderedPageBreak/>
        <w:t>EU-NÄMNDEN</w:t>
      </w:r>
      <w:r w:rsidRPr="00243D42">
        <w:rPr>
          <w:b/>
        </w:rPr>
        <w:t xml:space="preserve"> </w:t>
      </w:r>
      <w:r w:rsidRPr="00243D42">
        <w:rPr>
          <w:b/>
        </w:rPr>
        <w:tab/>
      </w:r>
      <w:r w:rsidRPr="00243D42">
        <w:rPr>
          <w:b/>
        </w:rPr>
        <w:tab/>
      </w:r>
      <w:r w:rsidRPr="00243D42">
        <w:rPr>
          <w:b/>
        </w:rPr>
        <w:tab/>
      </w:r>
      <w:r w:rsidRPr="00243D42">
        <w:rPr>
          <w:b/>
        </w:rPr>
        <w:tab/>
      </w:r>
      <w:r w:rsidRPr="00243D42">
        <w:rPr>
          <w:b/>
        </w:rPr>
        <w:tab/>
        <w:t>Bi</w:t>
      </w:r>
      <w:r w:rsidR="00AB4E3F">
        <w:rPr>
          <w:b/>
        </w:rPr>
        <w:t>laga 2 till protokoll 2018/19:37</w:t>
      </w:r>
    </w:p>
    <w:p w:rsidR="00FA0F52" w:rsidRDefault="00FA0F52" w:rsidP="000801BB">
      <w:pPr>
        <w:rPr>
          <w:b/>
        </w:rPr>
      </w:pPr>
    </w:p>
    <w:p w:rsidR="009C0AA0" w:rsidRDefault="009C0AA0" w:rsidP="009C0AA0">
      <w:pPr>
        <w:rPr>
          <w:b/>
        </w:rPr>
      </w:pPr>
      <w:r>
        <w:rPr>
          <w:b/>
        </w:rPr>
        <w:t>S</w:t>
      </w:r>
      <w:r w:rsidRPr="00FA0F52">
        <w:rPr>
          <w:b/>
        </w:rPr>
        <w:t xml:space="preserve">kriftligt samråd </w:t>
      </w:r>
      <w:r>
        <w:rPr>
          <w:b/>
        </w:rPr>
        <w:t xml:space="preserve">med EU-nämnden </w:t>
      </w:r>
      <w:r w:rsidRPr="00FA0F52">
        <w:rPr>
          <w:b/>
        </w:rPr>
        <w:t xml:space="preserve">rörande troliga A-punkter v. </w:t>
      </w:r>
      <w:r>
        <w:rPr>
          <w:b/>
        </w:rPr>
        <w:t>23 – tillägg</w:t>
      </w:r>
    </w:p>
    <w:p w:rsidR="009C0AA0" w:rsidRPr="009C0AA0" w:rsidRDefault="009C0AA0" w:rsidP="009C0AA0">
      <w:r w:rsidRPr="009C0AA0">
        <w:t xml:space="preserve">Samrådet avslutades den 6 juni 2019. Det fanns stöd för regeringens ståndpunkter. </w:t>
      </w:r>
      <w:r>
        <w:t xml:space="preserve">Ingen avvikande mening anmäldes. </w:t>
      </w:r>
    </w:p>
    <w:p w:rsidR="009C0AA0" w:rsidRDefault="009C0AA0" w:rsidP="00FA0F52">
      <w:pPr>
        <w:rPr>
          <w:b/>
        </w:rPr>
      </w:pPr>
    </w:p>
    <w:p w:rsidR="007D6F96" w:rsidRDefault="00FA0F52" w:rsidP="007D6F96">
      <w:r>
        <w:rPr>
          <w:b/>
        </w:rPr>
        <w:t>S</w:t>
      </w:r>
      <w:r w:rsidRPr="00FA0F52">
        <w:rPr>
          <w:b/>
        </w:rPr>
        <w:t xml:space="preserve">kriftligt samråd </w:t>
      </w:r>
      <w:r>
        <w:rPr>
          <w:b/>
        </w:rPr>
        <w:t xml:space="preserve">med EU-nämnden </w:t>
      </w:r>
      <w:r w:rsidRPr="00FA0F52">
        <w:rPr>
          <w:b/>
        </w:rPr>
        <w:t xml:space="preserve">rörande troliga A-punkter v. </w:t>
      </w:r>
      <w:r w:rsidR="004B1DF9">
        <w:rPr>
          <w:b/>
        </w:rPr>
        <w:t>23</w:t>
      </w:r>
      <w:r w:rsidR="007D6F96">
        <w:rPr>
          <w:b/>
        </w:rPr>
        <w:t xml:space="preserve"> </w:t>
      </w:r>
      <w:r w:rsidR="007D6F96" w:rsidRPr="007D6F96">
        <w:rPr>
          <w:b/>
        </w:rPr>
        <w:t>AM (M, C, V, KD)</w:t>
      </w:r>
    </w:p>
    <w:p w:rsidR="007D6F96" w:rsidRDefault="00FA0F52" w:rsidP="00FA0F52">
      <w:r>
        <w:t>Samrådet avslutades den</w:t>
      </w:r>
      <w:r w:rsidR="004B1DF9">
        <w:t xml:space="preserve"> 6 juni 2019. Det fanns stöd för regeringens ståndpunkter.</w:t>
      </w:r>
    </w:p>
    <w:p w:rsidR="004B1DF9" w:rsidRDefault="007D6F96" w:rsidP="00FA0F52">
      <w:r>
        <w:t xml:space="preserve"> </w:t>
      </w:r>
    </w:p>
    <w:p w:rsidR="008C3A38" w:rsidRDefault="008C3A38" w:rsidP="004B1DF9">
      <w:pPr>
        <w:rPr>
          <w:u w:val="single"/>
        </w:rPr>
      </w:pPr>
      <w:r>
        <w:rPr>
          <w:u w:val="single"/>
        </w:rPr>
        <w:t>Följande avvikande meningar har inkommit från M</w:t>
      </w:r>
      <w:r>
        <w:rPr>
          <w:u w:val="single"/>
        </w:rPr>
        <w:t>oderaterna:</w:t>
      </w:r>
    </w:p>
    <w:p w:rsidR="008C3A38" w:rsidRDefault="008C3A38" w:rsidP="008C3A38">
      <w:pPr>
        <w:rPr>
          <w:sz w:val="22"/>
          <w:szCs w:val="22"/>
          <w:lang w:val="en-US"/>
        </w:rPr>
      </w:pPr>
      <w:r>
        <w:rPr>
          <w:lang w:val="en-US"/>
        </w:rPr>
        <w:t>“6. Directive on transparent and predictable working conditions</w:t>
      </w:r>
    </w:p>
    <w:p w:rsidR="008C3A38" w:rsidRPr="008C3A38" w:rsidRDefault="008C3A38" w:rsidP="004B1DF9">
      <w:r>
        <w:t>Vi anser att det är att gå för långt i reglering av olika villkor på arbetsmarknaden att som föreslås ingripa i frågor om ex maximal längd för provanställning, parallella anställningar, minsta förutsägbarhet för arbete, omvandling till annan anställningsform och rätt till utbildnin</w:t>
      </w:r>
      <w:r w:rsidRPr="006B00CA">
        <w:t xml:space="preserve">g. </w:t>
      </w:r>
      <w:r w:rsidRPr="006B00CA">
        <w:rPr>
          <w:bCs/>
        </w:rPr>
        <w:t>Vi anser att frågorna ska lösas på nationell nivå</w:t>
      </w:r>
      <w:r w:rsidRPr="006B00CA">
        <w:t>.</w:t>
      </w:r>
    </w:p>
    <w:p w:rsidR="008C3A38" w:rsidRDefault="008C3A38" w:rsidP="004B1DF9">
      <w:pPr>
        <w:rPr>
          <w:u w:val="single"/>
        </w:rPr>
      </w:pPr>
    </w:p>
    <w:p w:rsidR="008C3A38" w:rsidRPr="004B1DF9" w:rsidRDefault="008C3A38" w:rsidP="008C3A38">
      <w:r w:rsidRPr="004B1DF9">
        <w:t>7. Directive on Work-Life Balance</w:t>
      </w:r>
    </w:p>
    <w:p w:rsidR="008C3A38" w:rsidRDefault="008C3A38" w:rsidP="008C3A38">
      <w:r>
        <w:t xml:space="preserve">Vi motsätter oss att EU ska fatta beslut om kvotering av föräldraledigheten. Det ska beslutas på nationell nivå. Direktivet visar på att den sociala pelaren ingriper i vårt nationella självbestämmande och att den inte bara är en uppmuntran till ett mer jämställt familje-och arbetsliv. Vi anser att ändringen i direktivet är för långtgående och inte bör antas i dess nuvarande form. I överläggning tidigare i arbetsmarknadsutskottet har en majoritet varit emot att kvotera om föräldraledigheten, vilket inte redovisas i regeringens ståndpunkt.” </w:t>
      </w:r>
    </w:p>
    <w:p w:rsidR="004B1DF9" w:rsidRDefault="004B1DF9" w:rsidP="004B1DF9">
      <w:bookmarkStart w:id="0" w:name="_GoBack"/>
      <w:bookmarkEnd w:id="0"/>
    </w:p>
    <w:p w:rsidR="004B1DF9" w:rsidRDefault="004B1DF9" w:rsidP="004B1DF9">
      <w:pPr>
        <w:rPr>
          <w:u w:val="single"/>
        </w:rPr>
      </w:pPr>
      <w:r>
        <w:rPr>
          <w:u w:val="single"/>
        </w:rPr>
        <w:t>Följande avvikande meningar har inkommit från Centerpartiet:</w:t>
      </w:r>
    </w:p>
    <w:p w:rsidR="004B1DF9" w:rsidRDefault="004B1DF9" w:rsidP="004B1DF9">
      <w:pPr>
        <w:rPr>
          <w:lang w:val="en-US"/>
        </w:rPr>
      </w:pPr>
      <w:r>
        <w:rPr>
          <w:lang w:val="en-US"/>
        </w:rPr>
        <w:t xml:space="preserve">“Coreper I punkt 6 ” Directive on transparent and predictable working conditions”: </w:t>
      </w:r>
    </w:p>
    <w:p w:rsidR="004B1DF9" w:rsidRDefault="004B1DF9" w:rsidP="004B1DF9">
      <w:r>
        <w:t>Det är viktigt med rimliga arbetsvillkor i alla EU-länder, men det är en fråga som måste lösas nationellt. Betänkandet innehåller skrivningar som skulle kunna bli problematiska på den svenska arbetsmarknaden. Därför motsätter sig Centerpartiet regeringens avsikt att rösta ja att rättsakten antas.</w:t>
      </w:r>
    </w:p>
    <w:p w:rsidR="004B1DF9" w:rsidRDefault="004B1DF9" w:rsidP="004B1DF9"/>
    <w:p w:rsidR="004B1DF9" w:rsidRDefault="004B1DF9" w:rsidP="004B1DF9">
      <w:r>
        <w:t>Coreper I punkt 7 ”Directive on Work-Life Balance”: Centerpartiet ser ett stort behov i flera medlemsländer om att lagstifta om bättre regler för föräldraledighet för att säkerställa jämställdhet på arbetsmarknaden. Vi tror däremot inte att regler på EU-nivå är rätt väg att gå, eftersom välfärds- och arbetsmarknadspolitik är en nationell kompetens. Detta är den del av den sociala pelaren som öppnar för reglering av arbetsmarknaden och frågor som ligger nära människors vardag. Väljer EU att reglera dessa områden så riskerar den svenska modellen att undermineras, och splittring att uppstå i EU-politiken. Ska vi få acceptans i de viktiga frågorna om jämställdhet och socialpolitik behövs nationella regler som accepteras av medborgarna, snarare än pekpinnar från Bryssel.”</w:t>
      </w:r>
    </w:p>
    <w:p w:rsidR="004B1DF9" w:rsidRDefault="004B1DF9" w:rsidP="004B1DF9"/>
    <w:p w:rsidR="004B1DF9" w:rsidRDefault="004B1DF9" w:rsidP="004B1DF9">
      <w:pPr>
        <w:rPr>
          <w:u w:val="single"/>
        </w:rPr>
      </w:pPr>
      <w:r>
        <w:rPr>
          <w:u w:val="single"/>
        </w:rPr>
        <w:t>Följande avvikande mening har inkommit från Vänsterpartiet:</w:t>
      </w:r>
    </w:p>
    <w:p w:rsidR="004B1DF9" w:rsidRDefault="004B1DF9" w:rsidP="004B1DF9">
      <w:pPr>
        <w:rPr>
          <w:lang w:val="en-US"/>
        </w:rPr>
      </w:pPr>
      <w:r>
        <w:rPr>
          <w:lang w:val="en-US"/>
        </w:rPr>
        <w:t>“Coreper II</w:t>
      </w:r>
    </w:p>
    <w:p w:rsidR="004B1DF9" w:rsidRDefault="004B1DF9" w:rsidP="004B1DF9">
      <w:pPr>
        <w:rPr>
          <w:lang w:val="en-US"/>
        </w:rPr>
      </w:pPr>
      <w:r>
        <w:rPr>
          <w:lang w:val="en-US"/>
        </w:rPr>
        <w:t>2. Council Decision on the signing, on behalf of the Union, and provisional application of the Protocol on the implementation of the Fisheries Partnership Agreement with the Republic of Guinea-Bissau (2019-2024)</w:t>
      </w:r>
    </w:p>
    <w:p w:rsidR="004B1DF9" w:rsidRDefault="004B1DF9" w:rsidP="004B1DF9">
      <w:r>
        <w:t>Samt punkt 3 och 4</w:t>
      </w:r>
    </w:p>
    <w:p w:rsidR="00546D91" w:rsidRDefault="004B1DF9" w:rsidP="00DB36DF">
      <w:r>
        <w:t xml:space="preserve">Vänsterpartiet anmäler avvikande mening och menar att regeringen borde rösta nej till avtalet.” </w:t>
      </w:r>
    </w:p>
    <w:p w:rsidR="008C3A38" w:rsidRDefault="008C3A38" w:rsidP="00DB36DF"/>
    <w:p w:rsidR="008C3A38" w:rsidRDefault="008C3A38" w:rsidP="008C3A38">
      <w:pPr>
        <w:rPr>
          <w:sz w:val="22"/>
          <w:szCs w:val="22"/>
          <w:u w:val="single"/>
        </w:rPr>
      </w:pPr>
      <w:r>
        <w:rPr>
          <w:u w:val="single"/>
        </w:rPr>
        <w:lastRenderedPageBreak/>
        <w:t>Följande avvikande meningar har inkommit från Kristdemokraterna:</w:t>
      </w:r>
    </w:p>
    <w:p w:rsidR="008C3A38" w:rsidRDefault="008C3A38" w:rsidP="008C3A38">
      <w:pPr>
        <w:rPr>
          <w:sz w:val="22"/>
          <w:szCs w:val="22"/>
          <w:lang w:val="en-US"/>
        </w:rPr>
      </w:pPr>
      <w:r>
        <w:rPr>
          <w:lang w:val="en-US"/>
        </w:rPr>
        <w:t>“6. Directive on transparent and predictable working conditions</w:t>
      </w:r>
    </w:p>
    <w:p w:rsidR="008C3A38" w:rsidRDefault="008C3A38" w:rsidP="008C3A38">
      <w:r>
        <w:t xml:space="preserve">Vi anser att det är att gå för långt i reglering av olika villkor på arbetsmarknaden att som föreslås ingripa i frågor om ex maximal längd för provanställning, parallella anställningar, minsta förutsägbarhet för arbete, omvandling till annan anställningsform och rätt till utbildning. Vi anser att frågorna ska lösas av arbetsmarknadens parter på nationell nivå. </w:t>
      </w:r>
    </w:p>
    <w:p w:rsidR="008C3A38" w:rsidRDefault="008C3A38" w:rsidP="008C3A38"/>
    <w:p w:rsidR="008C3A38" w:rsidRPr="004B1DF9" w:rsidRDefault="008C3A38" w:rsidP="008C3A38">
      <w:r w:rsidRPr="004B1DF9">
        <w:t>7. Directive on Work-Life Balance</w:t>
      </w:r>
    </w:p>
    <w:p w:rsidR="008C3A38" w:rsidRDefault="008C3A38" w:rsidP="008C3A38">
      <w:r>
        <w:t xml:space="preserve">Vi motsätter oss att EU ska fatta beslut om kvotering av föräldraledigheten. Det ska beslutas på nationell nivå. Direktivet visar på att den sociala pelaren ingriper i vårt nationella självbestämmande och att den inte bara är en uppmuntran till ett mer jämställt familje-och arbetsliv. Vi anser att ändringen i direktivet är för långtgående och inte bör antas i dess nuvarande form. I överläggning tidigare i arbetsmarknadsutskottet har en majoritet varit emot att kvotera om föräldraledigheten, vilket inte redovisas i regeringens ståndpunkt.” </w:t>
      </w:r>
    </w:p>
    <w:p w:rsidR="008C3A38" w:rsidRPr="00DB36DF" w:rsidRDefault="008C3A38" w:rsidP="00DB36DF"/>
    <w:sectPr w:rsidR="008C3A38" w:rsidRPr="00DB36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0" w15:restartNumberingAfterBreak="0">
    <w:nsid w:val="52682F46"/>
    <w:multiLevelType w:val="hybridMultilevel"/>
    <w:tmpl w:val="D3A4EF4E"/>
    <w:lvl w:ilvl="0" w:tplc="6726782C">
      <w:start w:val="2019"/>
      <w:numFmt w:val="bullet"/>
      <w:lvlText w:val="-"/>
      <w:lvlJc w:val="left"/>
      <w:pPr>
        <w:ind w:left="720" w:hanging="360"/>
      </w:pPr>
      <w:rPr>
        <w:rFonts w:ascii="Times New Roman" w:eastAsiaTheme="minorHAnsi" w:hAnsi="Times New Roman"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3"/>
  </w:num>
  <w:num w:numId="5">
    <w:abstractNumId w:val="6"/>
  </w:num>
  <w:num w:numId="6">
    <w:abstractNumId w:val="5"/>
  </w:num>
  <w:num w:numId="7">
    <w:abstractNumId w:val="12"/>
  </w:num>
  <w:num w:numId="8">
    <w:abstractNumId w:val="9"/>
  </w:num>
  <w:num w:numId="9">
    <w:abstractNumId w:val="1"/>
  </w:num>
  <w:num w:numId="10">
    <w:abstractNumId w:val="0"/>
  </w:num>
  <w:num w:numId="11">
    <w:abstractNumId w:val="8"/>
  </w:num>
  <w:num w:numId="12">
    <w:abstractNumId w:val="11"/>
  </w:num>
  <w:num w:numId="13">
    <w:abstractNumId w:val="1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2A1D"/>
    <w:rsid w:val="0001386B"/>
    <w:rsid w:val="0001579E"/>
    <w:rsid w:val="00023659"/>
    <w:rsid w:val="00023D0F"/>
    <w:rsid w:val="0003112F"/>
    <w:rsid w:val="00031BD2"/>
    <w:rsid w:val="0003205F"/>
    <w:rsid w:val="00041C21"/>
    <w:rsid w:val="00042158"/>
    <w:rsid w:val="00043030"/>
    <w:rsid w:val="000432AC"/>
    <w:rsid w:val="00044882"/>
    <w:rsid w:val="00044B84"/>
    <w:rsid w:val="0004539E"/>
    <w:rsid w:val="00051782"/>
    <w:rsid w:val="00051D5C"/>
    <w:rsid w:val="0006043F"/>
    <w:rsid w:val="0006192F"/>
    <w:rsid w:val="00064876"/>
    <w:rsid w:val="00064AF7"/>
    <w:rsid w:val="00065202"/>
    <w:rsid w:val="00066A5F"/>
    <w:rsid w:val="00067F43"/>
    <w:rsid w:val="00072835"/>
    <w:rsid w:val="00074FA7"/>
    <w:rsid w:val="000762EB"/>
    <w:rsid w:val="000801BB"/>
    <w:rsid w:val="00082C5F"/>
    <w:rsid w:val="0008548D"/>
    <w:rsid w:val="00086938"/>
    <w:rsid w:val="0009179B"/>
    <w:rsid w:val="00094A50"/>
    <w:rsid w:val="00096209"/>
    <w:rsid w:val="00096707"/>
    <w:rsid w:val="000973F6"/>
    <w:rsid w:val="000A37D8"/>
    <w:rsid w:val="000A475A"/>
    <w:rsid w:val="000A7990"/>
    <w:rsid w:val="000B11C3"/>
    <w:rsid w:val="000B2728"/>
    <w:rsid w:val="000B30BB"/>
    <w:rsid w:val="000C1655"/>
    <w:rsid w:val="000C5437"/>
    <w:rsid w:val="000C63AA"/>
    <w:rsid w:val="000E0F4A"/>
    <w:rsid w:val="000E2519"/>
    <w:rsid w:val="000F007A"/>
    <w:rsid w:val="000F0706"/>
    <w:rsid w:val="00104DAD"/>
    <w:rsid w:val="00110D81"/>
    <w:rsid w:val="0011735A"/>
    <w:rsid w:val="00117ECE"/>
    <w:rsid w:val="00120B18"/>
    <w:rsid w:val="00120C46"/>
    <w:rsid w:val="00122E3D"/>
    <w:rsid w:val="00123FBD"/>
    <w:rsid w:val="00125E85"/>
    <w:rsid w:val="00127526"/>
    <w:rsid w:val="001318AD"/>
    <w:rsid w:val="001335A3"/>
    <w:rsid w:val="00136D22"/>
    <w:rsid w:val="00141FEE"/>
    <w:rsid w:val="0014476A"/>
    <w:rsid w:val="00146609"/>
    <w:rsid w:val="00147518"/>
    <w:rsid w:val="00156698"/>
    <w:rsid w:val="00156BEE"/>
    <w:rsid w:val="00156CE2"/>
    <w:rsid w:val="00163AD8"/>
    <w:rsid w:val="001660EC"/>
    <w:rsid w:val="00172BA4"/>
    <w:rsid w:val="001774E2"/>
    <w:rsid w:val="001821D9"/>
    <w:rsid w:val="001832E6"/>
    <w:rsid w:val="00183AB0"/>
    <w:rsid w:val="00186A7D"/>
    <w:rsid w:val="00190386"/>
    <w:rsid w:val="00194BB7"/>
    <w:rsid w:val="001974B7"/>
    <w:rsid w:val="001A11D1"/>
    <w:rsid w:val="001A42A0"/>
    <w:rsid w:val="001A5043"/>
    <w:rsid w:val="001A56E8"/>
    <w:rsid w:val="001B2F6B"/>
    <w:rsid w:val="001C5A1F"/>
    <w:rsid w:val="001C5E10"/>
    <w:rsid w:val="001C6C66"/>
    <w:rsid w:val="001C7DA7"/>
    <w:rsid w:val="001E07D8"/>
    <w:rsid w:val="001E20AC"/>
    <w:rsid w:val="001E399D"/>
    <w:rsid w:val="001E7D8A"/>
    <w:rsid w:val="001F21E7"/>
    <w:rsid w:val="001F2C0A"/>
    <w:rsid w:val="001F4A81"/>
    <w:rsid w:val="001F4EED"/>
    <w:rsid w:val="002013AB"/>
    <w:rsid w:val="002017B1"/>
    <w:rsid w:val="0020668D"/>
    <w:rsid w:val="00206A86"/>
    <w:rsid w:val="0021379E"/>
    <w:rsid w:val="00215065"/>
    <w:rsid w:val="002157D2"/>
    <w:rsid w:val="00215FF0"/>
    <w:rsid w:val="00222428"/>
    <w:rsid w:val="00224CA0"/>
    <w:rsid w:val="00225289"/>
    <w:rsid w:val="002264E1"/>
    <w:rsid w:val="00227A31"/>
    <w:rsid w:val="0023468C"/>
    <w:rsid w:val="0023507D"/>
    <w:rsid w:val="00235A6A"/>
    <w:rsid w:val="00235ADD"/>
    <w:rsid w:val="0023617C"/>
    <w:rsid w:val="00236428"/>
    <w:rsid w:val="00236AF0"/>
    <w:rsid w:val="0024367B"/>
    <w:rsid w:val="00243D42"/>
    <w:rsid w:val="00245632"/>
    <w:rsid w:val="00247180"/>
    <w:rsid w:val="002536A8"/>
    <w:rsid w:val="0025501D"/>
    <w:rsid w:val="00255B81"/>
    <w:rsid w:val="00261E29"/>
    <w:rsid w:val="00263E06"/>
    <w:rsid w:val="00271A3E"/>
    <w:rsid w:val="002733FE"/>
    <w:rsid w:val="00273AAF"/>
    <w:rsid w:val="0028015F"/>
    <w:rsid w:val="00280556"/>
    <w:rsid w:val="00280BC7"/>
    <w:rsid w:val="00280E1A"/>
    <w:rsid w:val="0028155A"/>
    <w:rsid w:val="002844BE"/>
    <w:rsid w:val="002847BD"/>
    <w:rsid w:val="0028751A"/>
    <w:rsid w:val="0029728B"/>
    <w:rsid w:val="0029766F"/>
    <w:rsid w:val="002A2851"/>
    <w:rsid w:val="002A3491"/>
    <w:rsid w:val="002A368A"/>
    <w:rsid w:val="002B0293"/>
    <w:rsid w:val="002B3AC8"/>
    <w:rsid w:val="002B3B88"/>
    <w:rsid w:val="002B5C95"/>
    <w:rsid w:val="002B7046"/>
    <w:rsid w:val="002C1D17"/>
    <w:rsid w:val="002D3BC5"/>
    <w:rsid w:val="002D3D02"/>
    <w:rsid w:val="002D7526"/>
    <w:rsid w:val="002E2B18"/>
    <w:rsid w:val="002E32FF"/>
    <w:rsid w:val="002E3959"/>
    <w:rsid w:val="002F0CF1"/>
    <w:rsid w:val="002F4959"/>
    <w:rsid w:val="002F63F6"/>
    <w:rsid w:val="00306E2E"/>
    <w:rsid w:val="003079C6"/>
    <w:rsid w:val="0031230E"/>
    <w:rsid w:val="00321622"/>
    <w:rsid w:val="00321ABF"/>
    <w:rsid w:val="00326CF1"/>
    <w:rsid w:val="00330605"/>
    <w:rsid w:val="003378E7"/>
    <w:rsid w:val="00340E81"/>
    <w:rsid w:val="0034360B"/>
    <w:rsid w:val="003522A6"/>
    <w:rsid w:val="0037052A"/>
    <w:rsid w:val="00380ADB"/>
    <w:rsid w:val="00383D24"/>
    <w:rsid w:val="00386CC5"/>
    <w:rsid w:val="00396A2B"/>
    <w:rsid w:val="003A0E8F"/>
    <w:rsid w:val="003A1AC8"/>
    <w:rsid w:val="003A3984"/>
    <w:rsid w:val="003A5FA3"/>
    <w:rsid w:val="003B0445"/>
    <w:rsid w:val="003B41DA"/>
    <w:rsid w:val="003B5D72"/>
    <w:rsid w:val="003B5D91"/>
    <w:rsid w:val="003B6715"/>
    <w:rsid w:val="003C026D"/>
    <w:rsid w:val="003C1179"/>
    <w:rsid w:val="003C171B"/>
    <w:rsid w:val="003C2505"/>
    <w:rsid w:val="003C50DE"/>
    <w:rsid w:val="003C7843"/>
    <w:rsid w:val="003D1291"/>
    <w:rsid w:val="003D1863"/>
    <w:rsid w:val="003D6E70"/>
    <w:rsid w:val="003E32E5"/>
    <w:rsid w:val="003E4A3B"/>
    <w:rsid w:val="003E7311"/>
    <w:rsid w:val="003F5664"/>
    <w:rsid w:val="00404205"/>
    <w:rsid w:val="004144E6"/>
    <w:rsid w:val="00416382"/>
    <w:rsid w:val="004173D5"/>
    <w:rsid w:val="004240BA"/>
    <w:rsid w:val="00425D3E"/>
    <w:rsid w:val="004328CC"/>
    <w:rsid w:val="00437981"/>
    <w:rsid w:val="00440FBA"/>
    <w:rsid w:val="00441607"/>
    <w:rsid w:val="00446E9B"/>
    <w:rsid w:val="00453FEF"/>
    <w:rsid w:val="0045655D"/>
    <w:rsid w:val="00460EB1"/>
    <w:rsid w:val="00461443"/>
    <w:rsid w:val="004655F9"/>
    <w:rsid w:val="004732BB"/>
    <w:rsid w:val="00474C2D"/>
    <w:rsid w:val="004757D4"/>
    <w:rsid w:val="004770D8"/>
    <w:rsid w:val="00484A4F"/>
    <w:rsid w:val="00496A44"/>
    <w:rsid w:val="004A0C4E"/>
    <w:rsid w:val="004A1273"/>
    <w:rsid w:val="004A355B"/>
    <w:rsid w:val="004A411D"/>
    <w:rsid w:val="004A7D22"/>
    <w:rsid w:val="004B180E"/>
    <w:rsid w:val="004B1DF9"/>
    <w:rsid w:val="004B30B3"/>
    <w:rsid w:val="004C2480"/>
    <w:rsid w:val="004C58E3"/>
    <w:rsid w:val="004D2898"/>
    <w:rsid w:val="004D35EA"/>
    <w:rsid w:val="004D367E"/>
    <w:rsid w:val="004D459A"/>
    <w:rsid w:val="004D4845"/>
    <w:rsid w:val="004D7235"/>
    <w:rsid w:val="004D7352"/>
    <w:rsid w:val="004E01DE"/>
    <w:rsid w:val="004E2BFA"/>
    <w:rsid w:val="004E2E87"/>
    <w:rsid w:val="004E6AD4"/>
    <w:rsid w:val="004E7C4F"/>
    <w:rsid w:val="004F20A3"/>
    <w:rsid w:val="004F25A5"/>
    <w:rsid w:val="004F667C"/>
    <w:rsid w:val="004F700D"/>
    <w:rsid w:val="00504BB2"/>
    <w:rsid w:val="00504D24"/>
    <w:rsid w:val="005051D3"/>
    <w:rsid w:val="0050553A"/>
    <w:rsid w:val="00505925"/>
    <w:rsid w:val="00505F9B"/>
    <w:rsid w:val="0051575D"/>
    <w:rsid w:val="00517CDE"/>
    <w:rsid w:val="0052351A"/>
    <w:rsid w:val="00525261"/>
    <w:rsid w:val="005256CA"/>
    <w:rsid w:val="00525F3B"/>
    <w:rsid w:val="00526C3C"/>
    <w:rsid w:val="00527D00"/>
    <w:rsid w:val="00527E56"/>
    <w:rsid w:val="005315D0"/>
    <w:rsid w:val="0053334B"/>
    <w:rsid w:val="0054271C"/>
    <w:rsid w:val="00543533"/>
    <w:rsid w:val="00545C55"/>
    <w:rsid w:val="00546D91"/>
    <w:rsid w:val="00553C0C"/>
    <w:rsid w:val="00560CB7"/>
    <w:rsid w:val="005636BC"/>
    <w:rsid w:val="00563B4B"/>
    <w:rsid w:val="005669F4"/>
    <w:rsid w:val="0057013F"/>
    <w:rsid w:val="00575B07"/>
    <w:rsid w:val="0058354B"/>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40FA"/>
    <w:rsid w:val="005D62DE"/>
    <w:rsid w:val="005D6846"/>
    <w:rsid w:val="005D7D78"/>
    <w:rsid w:val="005E23B1"/>
    <w:rsid w:val="005E5871"/>
    <w:rsid w:val="005F0351"/>
    <w:rsid w:val="005F0CEF"/>
    <w:rsid w:val="005F2D81"/>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06F"/>
    <w:rsid w:val="00644E80"/>
    <w:rsid w:val="0065134B"/>
    <w:rsid w:val="006528FF"/>
    <w:rsid w:val="006546C2"/>
    <w:rsid w:val="00654EAA"/>
    <w:rsid w:val="00657BA6"/>
    <w:rsid w:val="00662653"/>
    <w:rsid w:val="00663670"/>
    <w:rsid w:val="00664C12"/>
    <w:rsid w:val="006652E5"/>
    <w:rsid w:val="00667DB3"/>
    <w:rsid w:val="0068219E"/>
    <w:rsid w:val="006821A1"/>
    <w:rsid w:val="00684A1D"/>
    <w:rsid w:val="00684AC5"/>
    <w:rsid w:val="00686748"/>
    <w:rsid w:val="006911C2"/>
    <w:rsid w:val="00691669"/>
    <w:rsid w:val="00693AF0"/>
    <w:rsid w:val="00694F26"/>
    <w:rsid w:val="006957EF"/>
    <w:rsid w:val="006975BF"/>
    <w:rsid w:val="006A1501"/>
    <w:rsid w:val="006A192F"/>
    <w:rsid w:val="006A52B2"/>
    <w:rsid w:val="006B0072"/>
    <w:rsid w:val="006B00CA"/>
    <w:rsid w:val="006B03C3"/>
    <w:rsid w:val="006B5735"/>
    <w:rsid w:val="006C3A40"/>
    <w:rsid w:val="006C4642"/>
    <w:rsid w:val="006C496B"/>
    <w:rsid w:val="006C56D9"/>
    <w:rsid w:val="006C5ACE"/>
    <w:rsid w:val="006C5FDB"/>
    <w:rsid w:val="006C682D"/>
    <w:rsid w:val="006C7F7D"/>
    <w:rsid w:val="006D096E"/>
    <w:rsid w:val="006D28EA"/>
    <w:rsid w:val="006D3AF9"/>
    <w:rsid w:val="006D4A06"/>
    <w:rsid w:val="006D5E28"/>
    <w:rsid w:val="006D7F69"/>
    <w:rsid w:val="006E0956"/>
    <w:rsid w:val="006E1D16"/>
    <w:rsid w:val="006E6E70"/>
    <w:rsid w:val="006F19BF"/>
    <w:rsid w:val="006F1C06"/>
    <w:rsid w:val="006F4051"/>
    <w:rsid w:val="006F55CF"/>
    <w:rsid w:val="006F6093"/>
    <w:rsid w:val="0070538F"/>
    <w:rsid w:val="00712851"/>
    <w:rsid w:val="00714898"/>
    <w:rsid w:val="007149F6"/>
    <w:rsid w:val="0071597E"/>
    <w:rsid w:val="00716F0E"/>
    <w:rsid w:val="00723829"/>
    <w:rsid w:val="00723F1B"/>
    <w:rsid w:val="0072404B"/>
    <w:rsid w:val="00736C5D"/>
    <w:rsid w:val="007370DC"/>
    <w:rsid w:val="00744FB3"/>
    <w:rsid w:val="007473C4"/>
    <w:rsid w:val="00750CED"/>
    <w:rsid w:val="00755841"/>
    <w:rsid w:val="00760721"/>
    <w:rsid w:val="007614D1"/>
    <w:rsid w:val="00765586"/>
    <w:rsid w:val="00765B59"/>
    <w:rsid w:val="007737CC"/>
    <w:rsid w:val="00775961"/>
    <w:rsid w:val="00776758"/>
    <w:rsid w:val="00782202"/>
    <w:rsid w:val="007903BD"/>
    <w:rsid w:val="00793716"/>
    <w:rsid w:val="00793C17"/>
    <w:rsid w:val="0079595A"/>
    <w:rsid w:val="00795A63"/>
    <w:rsid w:val="0079685F"/>
    <w:rsid w:val="007A1658"/>
    <w:rsid w:val="007A1710"/>
    <w:rsid w:val="007A2349"/>
    <w:rsid w:val="007A716B"/>
    <w:rsid w:val="007B01D1"/>
    <w:rsid w:val="007B1ACC"/>
    <w:rsid w:val="007B2B59"/>
    <w:rsid w:val="007B34FA"/>
    <w:rsid w:val="007B3B5B"/>
    <w:rsid w:val="007B6A85"/>
    <w:rsid w:val="007B75CF"/>
    <w:rsid w:val="007C067B"/>
    <w:rsid w:val="007C280D"/>
    <w:rsid w:val="007C3868"/>
    <w:rsid w:val="007D0A0A"/>
    <w:rsid w:val="007D123E"/>
    <w:rsid w:val="007D2BB6"/>
    <w:rsid w:val="007D4B30"/>
    <w:rsid w:val="007D5154"/>
    <w:rsid w:val="007D5C9F"/>
    <w:rsid w:val="007D5E41"/>
    <w:rsid w:val="007D6579"/>
    <w:rsid w:val="007D6F96"/>
    <w:rsid w:val="007D7F38"/>
    <w:rsid w:val="007E0362"/>
    <w:rsid w:val="007E67CF"/>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5D4"/>
    <w:rsid w:val="00821DF5"/>
    <w:rsid w:val="008230D0"/>
    <w:rsid w:val="00831B47"/>
    <w:rsid w:val="00832DD5"/>
    <w:rsid w:val="0083529A"/>
    <w:rsid w:val="008352F5"/>
    <w:rsid w:val="0083667C"/>
    <w:rsid w:val="00837D60"/>
    <w:rsid w:val="00850CB3"/>
    <w:rsid w:val="00857BE0"/>
    <w:rsid w:val="00860E56"/>
    <w:rsid w:val="00862F6D"/>
    <w:rsid w:val="00874A67"/>
    <w:rsid w:val="008807AF"/>
    <w:rsid w:val="00882FDB"/>
    <w:rsid w:val="00883594"/>
    <w:rsid w:val="008845B6"/>
    <w:rsid w:val="0088559E"/>
    <w:rsid w:val="0089142D"/>
    <w:rsid w:val="008A32EC"/>
    <w:rsid w:val="008A3C55"/>
    <w:rsid w:val="008A502F"/>
    <w:rsid w:val="008A5D45"/>
    <w:rsid w:val="008A7A4F"/>
    <w:rsid w:val="008B1413"/>
    <w:rsid w:val="008B20F7"/>
    <w:rsid w:val="008B60FD"/>
    <w:rsid w:val="008B7943"/>
    <w:rsid w:val="008B7C2A"/>
    <w:rsid w:val="008C3A38"/>
    <w:rsid w:val="008D16FE"/>
    <w:rsid w:val="008D3BE8"/>
    <w:rsid w:val="008D40B2"/>
    <w:rsid w:val="008E190A"/>
    <w:rsid w:val="008E40E4"/>
    <w:rsid w:val="008E580B"/>
    <w:rsid w:val="008F276E"/>
    <w:rsid w:val="008F5C48"/>
    <w:rsid w:val="00903C90"/>
    <w:rsid w:val="00907C0C"/>
    <w:rsid w:val="009117CD"/>
    <w:rsid w:val="00911F21"/>
    <w:rsid w:val="00915B8D"/>
    <w:rsid w:val="00925EF5"/>
    <w:rsid w:val="00926247"/>
    <w:rsid w:val="00926A16"/>
    <w:rsid w:val="0092747D"/>
    <w:rsid w:val="009310D4"/>
    <w:rsid w:val="00931BC5"/>
    <w:rsid w:val="00937D82"/>
    <w:rsid w:val="009415F4"/>
    <w:rsid w:val="00941829"/>
    <w:rsid w:val="00943297"/>
    <w:rsid w:val="00944726"/>
    <w:rsid w:val="00944D43"/>
    <w:rsid w:val="00945060"/>
    <w:rsid w:val="0094630F"/>
    <w:rsid w:val="00950931"/>
    <w:rsid w:val="00950D42"/>
    <w:rsid w:val="0096759A"/>
    <w:rsid w:val="009679D6"/>
    <w:rsid w:val="0097043D"/>
    <w:rsid w:val="00973196"/>
    <w:rsid w:val="00975597"/>
    <w:rsid w:val="00980BA4"/>
    <w:rsid w:val="00984482"/>
    <w:rsid w:val="009855B9"/>
    <w:rsid w:val="00985D72"/>
    <w:rsid w:val="009876D7"/>
    <w:rsid w:val="00990B40"/>
    <w:rsid w:val="009919DA"/>
    <w:rsid w:val="0099398C"/>
    <w:rsid w:val="00994476"/>
    <w:rsid w:val="00994FDF"/>
    <w:rsid w:val="009A3314"/>
    <w:rsid w:val="009A3F4C"/>
    <w:rsid w:val="009A4B70"/>
    <w:rsid w:val="009A6300"/>
    <w:rsid w:val="009A6872"/>
    <w:rsid w:val="009A7347"/>
    <w:rsid w:val="009C0AA0"/>
    <w:rsid w:val="009C3B74"/>
    <w:rsid w:val="009C4506"/>
    <w:rsid w:val="009C46E1"/>
    <w:rsid w:val="009C4F3C"/>
    <w:rsid w:val="009D07FB"/>
    <w:rsid w:val="009D2230"/>
    <w:rsid w:val="009E1362"/>
    <w:rsid w:val="009E3728"/>
    <w:rsid w:val="009F05F2"/>
    <w:rsid w:val="00A04A0C"/>
    <w:rsid w:val="00A061FC"/>
    <w:rsid w:val="00A07309"/>
    <w:rsid w:val="00A104C7"/>
    <w:rsid w:val="00A117B7"/>
    <w:rsid w:val="00A2322B"/>
    <w:rsid w:val="00A246AE"/>
    <w:rsid w:val="00A25C92"/>
    <w:rsid w:val="00A34E63"/>
    <w:rsid w:val="00A3512E"/>
    <w:rsid w:val="00A37376"/>
    <w:rsid w:val="00A40406"/>
    <w:rsid w:val="00A41E05"/>
    <w:rsid w:val="00A42052"/>
    <w:rsid w:val="00A44133"/>
    <w:rsid w:val="00A47A9F"/>
    <w:rsid w:val="00A47DD6"/>
    <w:rsid w:val="00A5204D"/>
    <w:rsid w:val="00A5541E"/>
    <w:rsid w:val="00A554E8"/>
    <w:rsid w:val="00A605E2"/>
    <w:rsid w:val="00A6203D"/>
    <w:rsid w:val="00A64262"/>
    <w:rsid w:val="00A67BBA"/>
    <w:rsid w:val="00A7096E"/>
    <w:rsid w:val="00A73145"/>
    <w:rsid w:val="00A81265"/>
    <w:rsid w:val="00A87CA0"/>
    <w:rsid w:val="00A9229C"/>
    <w:rsid w:val="00A92A01"/>
    <w:rsid w:val="00A94505"/>
    <w:rsid w:val="00AA2174"/>
    <w:rsid w:val="00AA6922"/>
    <w:rsid w:val="00AB14CB"/>
    <w:rsid w:val="00AB2672"/>
    <w:rsid w:val="00AB4E3F"/>
    <w:rsid w:val="00AC376E"/>
    <w:rsid w:val="00AC54D9"/>
    <w:rsid w:val="00AD495C"/>
    <w:rsid w:val="00AE25D1"/>
    <w:rsid w:val="00AE4805"/>
    <w:rsid w:val="00AF33F1"/>
    <w:rsid w:val="00AF7C88"/>
    <w:rsid w:val="00B026D0"/>
    <w:rsid w:val="00B06F00"/>
    <w:rsid w:val="00B15499"/>
    <w:rsid w:val="00B16CE6"/>
    <w:rsid w:val="00B17B15"/>
    <w:rsid w:val="00B24CE9"/>
    <w:rsid w:val="00B27C31"/>
    <w:rsid w:val="00B32FFF"/>
    <w:rsid w:val="00B35C62"/>
    <w:rsid w:val="00B365AE"/>
    <w:rsid w:val="00B47109"/>
    <w:rsid w:val="00B52DE4"/>
    <w:rsid w:val="00B64150"/>
    <w:rsid w:val="00B728D6"/>
    <w:rsid w:val="00B74D1B"/>
    <w:rsid w:val="00B77021"/>
    <w:rsid w:val="00B77932"/>
    <w:rsid w:val="00B8015A"/>
    <w:rsid w:val="00B85991"/>
    <w:rsid w:val="00B86D64"/>
    <w:rsid w:val="00B90331"/>
    <w:rsid w:val="00B92F93"/>
    <w:rsid w:val="00B930E2"/>
    <w:rsid w:val="00B942E4"/>
    <w:rsid w:val="00B94479"/>
    <w:rsid w:val="00B95953"/>
    <w:rsid w:val="00B95CD5"/>
    <w:rsid w:val="00BA0BA4"/>
    <w:rsid w:val="00BA5123"/>
    <w:rsid w:val="00BA52B1"/>
    <w:rsid w:val="00BA57AE"/>
    <w:rsid w:val="00BA6083"/>
    <w:rsid w:val="00BA6806"/>
    <w:rsid w:val="00BB04BB"/>
    <w:rsid w:val="00BB0577"/>
    <w:rsid w:val="00BB05B7"/>
    <w:rsid w:val="00BB1A82"/>
    <w:rsid w:val="00BB29BF"/>
    <w:rsid w:val="00BB3355"/>
    <w:rsid w:val="00BB3655"/>
    <w:rsid w:val="00BB392E"/>
    <w:rsid w:val="00BC0AF9"/>
    <w:rsid w:val="00BC1250"/>
    <w:rsid w:val="00BC171A"/>
    <w:rsid w:val="00BC3775"/>
    <w:rsid w:val="00BC7C95"/>
    <w:rsid w:val="00BD07EB"/>
    <w:rsid w:val="00BD09F7"/>
    <w:rsid w:val="00BD4DBD"/>
    <w:rsid w:val="00BD4FD2"/>
    <w:rsid w:val="00BD63AE"/>
    <w:rsid w:val="00BD697D"/>
    <w:rsid w:val="00BE3E68"/>
    <w:rsid w:val="00BE4BB7"/>
    <w:rsid w:val="00BE5A2C"/>
    <w:rsid w:val="00BF15B6"/>
    <w:rsid w:val="00BF1E60"/>
    <w:rsid w:val="00BF2646"/>
    <w:rsid w:val="00BF4F6F"/>
    <w:rsid w:val="00C006EF"/>
    <w:rsid w:val="00C03555"/>
    <w:rsid w:val="00C074E9"/>
    <w:rsid w:val="00C1284D"/>
    <w:rsid w:val="00C139EE"/>
    <w:rsid w:val="00C13E47"/>
    <w:rsid w:val="00C16DA2"/>
    <w:rsid w:val="00C227BA"/>
    <w:rsid w:val="00C23872"/>
    <w:rsid w:val="00C250E0"/>
    <w:rsid w:val="00C32B93"/>
    <w:rsid w:val="00C361C0"/>
    <w:rsid w:val="00C36A0F"/>
    <w:rsid w:val="00C40CB2"/>
    <w:rsid w:val="00C46FA2"/>
    <w:rsid w:val="00C57FEE"/>
    <w:rsid w:val="00C61E50"/>
    <w:rsid w:val="00C63345"/>
    <w:rsid w:val="00C65D64"/>
    <w:rsid w:val="00C67A76"/>
    <w:rsid w:val="00C707C0"/>
    <w:rsid w:val="00C712D1"/>
    <w:rsid w:val="00C72744"/>
    <w:rsid w:val="00C72C90"/>
    <w:rsid w:val="00C82424"/>
    <w:rsid w:val="00C82CAF"/>
    <w:rsid w:val="00C846C9"/>
    <w:rsid w:val="00C865CE"/>
    <w:rsid w:val="00C87A7D"/>
    <w:rsid w:val="00C90C35"/>
    <w:rsid w:val="00C91013"/>
    <w:rsid w:val="00C94AEB"/>
    <w:rsid w:val="00C96631"/>
    <w:rsid w:val="00CA30D5"/>
    <w:rsid w:val="00CA6887"/>
    <w:rsid w:val="00CB1683"/>
    <w:rsid w:val="00CB5EB6"/>
    <w:rsid w:val="00CC0507"/>
    <w:rsid w:val="00CC6D97"/>
    <w:rsid w:val="00CD067D"/>
    <w:rsid w:val="00CD286C"/>
    <w:rsid w:val="00CD3EB9"/>
    <w:rsid w:val="00CD4C13"/>
    <w:rsid w:val="00CD58E4"/>
    <w:rsid w:val="00CD7E6F"/>
    <w:rsid w:val="00CE14A7"/>
    <w:rsid w:val="00CE4EC1"/>
    <w:rsid w:val="00CF18AC"/>
    <w:rsid w:val="00CF4ED3"/>
    <w:rsid w:val="00CF5F02"/>
    <w:rsid w:val="00CF708C"/>
    <w:rsid w:val="00D03DAF"/>
    <w:rsid w:val="00D10492"/>
    <w:rsid w:val="00D137C9"/>
    <w:rsid w:val="00D13D1F"/>
    <w:rsid w:val="00D14948"/>
    <w:rsid w:val="00D217CD"/>
    <w:rsid w:val="00D23364"/>
    <w:rsid w:val="00D24B57"/>
    <w:rsid w:val="00D24FBB"/>
    <w:rsid w:val="00D25CA8"/>
    <w:rsid w:val="00D30D6B"/>
    <w:rsid w:val="00D343F0"/>
    <w:rsid w:val="00D366E6"/>
    <w:rsid w:val="00D42BA8"/>
    <w:rsid w:val="00D5349D"/>
    <w:rsid w:val="00D633DD"/>
    <w:rsid w:val="00D66118"/>
    <w:rsid w:val="00D70677"/>
    <w:rsid w:val="00D7430F"/>
    <w:rsid w:val="00D77DB5"/>
    <w:rsid w:val="00D816C9"/>
    <w:rsid w:val="00D828C7"/>
    <w:rsid w:val="00D8468E"/>
    <w:rsid w:val="00D85E2A"/>
    <w:rsid w:val="00D914CA"/>
    <w:rsid w:val="00D925FC"/>
    <w:rsid w:val="00D9340F"/>
    <w:rsid w:val="00D93AFF"/>
    <w:rsid w:val="00D940D9"/>
    <w:rsid w:val="00D952E3"/>
    <w:rsid w:val="00D96AE0"/>
    <w:rsid w:val="00D96B51"/>
    <w:rsid w:val="00D973AC"/>
    <w:rsid w:val="00DA052F"/>
    <w:rsid w:val="00DA15A4"/>
    <w:rsid w:val="00DA5B55"/>
    <w:rsid w:val="00DA7DDC"/>
    <w:rsid w:val="00DB3575"/>
    <w:rsid w:val="00DB36DF"/>
    <w:rsid w:val="00DB38E0"/>
    <w:rsid w:val="00DB7C5D"/>
    <w:rsid w:val="00DC1DD3"/>
    <w:rsid w:val="00DC1F61"/>
    <w:rsid w:val="00DD57AC"/>
    <w:rsid w:val="00DD700B"/>
    <w:rsid w:val="00DE2E23"/>
    <w:rsid w:val="00DE36F3"/>
    <w:rsid w:val="00DE3D8E"/>
    <w:rsid w:val="00DF04A8"/>
    <w:rsid w:val="00DF0B27"/>
    <w:rsid w:val="00DF1630"/>
    <w:rsid w:val="00DF4413"/>
    <w:rsid w:val="00DF7414"/>
    <w:rsid w:val="00E01491"/>
    <w:rsid w:val="00E02044"/>
    <w:rsid w:val="00E044F7"/>
    <w:rsid w:val="00E05A7D"/>
    <w:rsid w:val="00E061AA"/>
    <w:rsid w:val="00E10F56"/>
    <w:rsid w:val="00E20653"/>
    <w:rsid w:val="00E2497F"/>
    <w:rsid w:val="00E26231"/>
    <w:rsid w:val="00E27270"/>
    <w:rsid w:val="00E3547B"/>
    <w:rsid w:val="00E377AA"/>
    <w:rsid w:val="00E51534"/>
    <w:rsid w:val="00E6087B"/>
    <w:rsid w:val="00E62553"/>
    <w:rsid w:val="00E65740"/>
    <w:rsid w:val="00E66444"/>
    <w:rsid w:val="00E6770F"/>
    <w:rsid w:val="00E71D79"/>
    <w:rsid w:val="00E724CC"/>
    <w:rsid w:val="00E73E6A"/>
    <w:rsid w:val="00E74FC3"/>
    <w:rsid w:val="00E75EFF"/>
    <w:rsid w:val="00E80105"/>
    <w:rsid w:val="00E81E7D"/>
    <w:rsid w:val="00E8214A"/>
    <w:rsid w:val="00E90D79"/>
    <w:rsid w:val="00E9233F"/>
    <w:rsid w:val="00E923D1"/>
    <w:rsid w:val="00E93D33"/>
    <w:rsid w:val="00E958A9"/>
    <w:rsid w:val="00EA319D"/>
    <w:rsid w:val="00EA566A"/>
    <w:rsid w:val="00EA6349"/>
    <w:rsid w:val="00EA664F"/>
    <w:rsid w:val="00EA683E"/>
    <w:rsid w:val="00EA7BAA"/>
    <w:rsid w:val="00EB7E9F"/>
    <w:rsid w:val="00EC30AB"/>
    <w:rsid w:val="00EC3EFC"/>
    <w:rsid w:val="00EC6EC7"/>
    <w:rsid w:val="00ED225F"/>
    <w:rsid w:val="00ED6691"/>
    <w:rsid w:val="00EE2BCA"/>
    <w:rsid w:val="00EE4154"/>
    <w:rsid w:val="00EE5736"/>
    <w:rsid w:val="00EF0910"/>
    <w:rsid w:val="00EF7551"/>
    <w:rsid w:val="00EF7E56"/>
    <w:rsid w:val="00F032A0"/>
    <w:rsid w:val="00F063C4"/>
    <w:rsid w:val="00F20A0F"/>
    <w:rsid w:val="00F23AD4"/>
    <w:rsid w:val="00F23AEC"/>
    <w:rsid w:val="00F23E6E"/>
    <w:rsid w:val="00F30563"/>
    <w:rsid w:val="00F30A8C"/>
    <w:rsid w:val="00F31F9E"/>
    <w:rsid w:val="00F324E3"/>
    <w:rsid w:val="00F33F08"/>
    <w:rsid w:val="00F377DF"/>
    <w:rsid w:val="00F41DBE"/>
    <w:rsid w:val="00F4413D"/>
    <w:rsid w:val="00F52E08"/>
    <w:rsid w:val="00F53DBA"/>
    <w:rsid w:val="00F53F49"/>
    <w:rsid w:val="00F543A8"/>
    <w:rsid w:val="00F61BBB"/>
    <w:rsid w:val="00F6207B"/>
    <w:rsid w:val="00F63B89"/>
    <w:rsid w:val="00F63EC7"/>
    <w:rsid w:val="00F66354"/>
    <w:rsid w:val="00F66E5F"/>
    <w:rsid w:val="00F709B8"/>
    <w:rsid w:val="00F70DB9"/>
    <w:rsid w:val="00F714D6"/>
    <w:rsid w:val="00F73AD3"/>
    <w:rsid w:val="00F77C9E"/>
    <w:rsid w:val="00F82230"/>
    <w:rsid w:val="00F91D2C"/>
    <w:rsid w:val="00F92A1C"/>
    <w:rsid w:val="00FA0F52"/>
    <w:rsid w:val="00FA23CA"/>
    <w:rsid w:val="00FA4443"/>
    <w:rsid w:val="00FA598A"/>
    <w:rsid w:val="00FB14D1"/>
    <w:rsid w:val="00FB1A8A"/>
    <w:rsid w:val="00FB2D1F"/>
    <w:rsid w:val="00FB3990"/>
    <w:rsid w:val="00FB464C"/>
    <w:rsid w:val="00FB4C58"/>
    <w:rsid w:val="00FB5037"/>
    <w:rsid w:val="00FB6AEA"/>
    <w:rsid w:val="00FB7250"/>
    <w:rsid w:val="00FB792F"/>
    <w:rsid w:val="00FB7DF9"/>
    <w:rsid w:val="00FC0DBD"/>
    <w:rsid w:val="00FC1FED"/>
    <w:rsid w:val="00FC79D4"/>
    <w:rsid w:val="00FD1716"/>
    <w:rsid w:val="00FD7FE3"/>
    <w:rsid w:val="00FE40AF"/>
    <w:rsid w:val="00FE508D"/>
    <w:rsid w:val="00FE5826"/>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1516"/>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468965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9517">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76777926">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3885800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8669238">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191213">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00106339">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609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C53A-7562-4278-ABA5-54134733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52</TotalTime>
  <Pages>7</Pages>
  <Words>1548</Words>
  <Characters>8687</Characters>
  <Application>Microsoft Office Word</Application>
  <DocSecurity>0</DocSecurity>
  <Lines>2895</Lines>
  <Paragraphs>292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Cecilia Kennergren</cp:lastModifiedBy>
  <cp:revision>11</cp:revision>
  <cp:lastPrinted>2019-05-21T10:41:00Z</cp:lastPrinted>
  <dcterms:created xsi:type="dcterms:W3CDTF">2019-06-12T11:26:00Z</dcterms:created>
  <dcterms:modified xsi:type="dcterms:W3CDTF">2019-06-14T06:26:00Z</dcterms:modified>
</cp:coreProperties>
</file>