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6EFFD" w14:textId="77777777" w:rsidR="00FB32B9" w:rsidRDefault="00211928" w:rsidP="00FB32B9">
      <w:pPr>
        <w:pStyle w:val="UDrubrik"/>
        <w:tabs>
          <w:tab w:val="left" w:pos="1701"/>
          <w:tab w:val="left" w:pos="1985"/>
        </w:tabs>
        <w:rPr>
          <w:rFonts w:cs="Arial"/>
          <w:sz w:val="28"/>
        </w:rPr>
      </w:pPr>
    </w:p>
    <w:p w14:paraId="68A6EFFE" w14:textId="77777777" w:rsidR="00FB32B9" w:rsidRDefault="00211928" w:rsidP="00FB32B9">
      <w:pPr>
        <w:pStyle w:val="UDrubrik"/>
        <w:tabs>
          <w:tab w:val="left" w:pos="1701"/>
          <w:tab w:val="left" w:pos="1985"/>
        </w:tabs>
        <w:rPr>
          <w:rFonts w:cs="Arial"/>
          <w:sz w:val="28"/>
        </w:rPr>
      </w:pPr>
    </w:p>
    <w:p w14:paraId="68A6EFFF" w14:textId="77777777" w:rsidR="00FB32B9" w:rsidRDefault="00211928" w:rsidP="00FB32B9">
      <w:pPr>
        <w:pStyle w:val="UDrubrik"/>
        <w:tabs>
          <w:tab w:val="left" w:pos="1701"/>
          <w:tab w:val="left" w:pos="1985"/>
        </w:tabs>
        <w:rPr>
          <w:rFonts w:cs="Arial"/>
          <w:sz w:val="28"/>
        </w:rPr>
      </w:pPr>
    </w:p>
    <w:p w14:paraId="68A6F000" w14:textId="77777777" w:rsidR="00FB32B9" w:rsidRDefault="00211928" w:rsidP="00FB32B9">
      <w:pPr>
        <w:pStyle w:val="UDrubrik"/>
        <w:tabs>
          <w:tab w:val="left" w:pos="1701"/>
          <w:tab w:val="left" w:pos="1985"/>
        </w:tabs>
        <w:rPr>
          <w:rFonts w:cs="Arial"/>
          <w:sz w:val="28"/>
        </w:rPr>
      </w:pPr>
    </w:p>
    <w:p w14:paraId="68A6F001" w14:textId="7E1FBB4E" w:rsidR="00FB32B9" w:rsidRDefault="00211928" w:rsidP="00FB32B9">
      <w:pPr>
        <w:pStyle w:val="UDrubrik"/>
        <w:tabs>
          <w:tab w:val="left" w:pos="1701"/>
          <w:tab w:val="left" w:pos="1985"/>
        </w:tabs>
        <w:rPr>
          <w:rFonts w:cs="Arial"/>
          <w:sz w:val="28"/>
        </w:rPr>
      </w:pPr>
      <w:r>
        <w:rPr>
          <w:rFonts w:cs="Arial"/>
          <w:sz w:val="28"/>
        </w:rPr>
        <w:t xml:space="preserve">Troliga A-punkter inför kommande rådsmöten som </w:t>
      </w:r>
      <w:r>
        <w:rPr>
          <w:rFonts w:cs="Arial"/>
          <w:sz w:val="28"/>
        </w:rPr>
        <w:t>godkän</w:t>
      </w:r>
      <w:r>
        <w:rPr>
          <w:rFonts w:cs="Arial"/>
          <w:sz w:val="28"/>
        </w:rPr>
        <w:t>des</w:t>
      </w:r>
      <w:r w:rsidR="002E0B84">
        <w:rPr>
          <w:rFonts w:cs="Arial"/>
          <w:sz w:val="28"/>
        </w:rPr>
        <w:t xml:space="preserve"> </w:t>
      </w:r>
      <w:r>
        <w:rPr>
          <w:rFonts w:cs="Arial"/>
          <w:sz w:val="28"/>
        </w:rPr>
        <w:t xml:space="preserve">vid </w:t>
      </w:r>
      <w:r w:rsidR="002E0B84">
        <w:rPr>
          <w:rFonts w:cs="Arial"/>
          <w:sz w:val="28"/>
        </w:rPr>
        <w:t>Coreper II</w:t>
      </w:r>
      <w:r>
        <w:rPr>
          <w:rFonts w:cs="Arial"/>
          <w:sz w:val="28"/>
        </w:rPr>
        <w:t xml:space="preserve"> den</w:t>
      </w:r>
      <w:r w:rsidR="002E0B84">
        <w:rPr>
          <w:rFonts w:cs="Arial"/>
          <w:sz w:val="28"/>
        </w:rPr>
        <w:t xml:space="preserve"> 4 november 2016</w:t>
      </w:r>
      <w:r>
        <w:rPr>
          <w:rFonts w:cs="Arial"/>
          <w:sz w:val="28"/>
        </w:rPr>
        <w:t>.</w:t>
      </w:r>
    </w:p>
    <w:p w14:paraId="68A6F002" w14:textId="77777777" w:rsidR="00FB32B9" w:rsidRDefault="00211928" w:rsidP="00FB32B9">
      <w:pPr>
        <w:pStyle w:val="Brdtext"/>
      </w:pPr>
    </w:p>
    <w:p w14:paraId="68A6F004" w14:textId="77777777" w:rsidR="00FB32B9" w:rsidRDefault="00211928">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8A6F005" w14:textId="77777777" w:rsidR="00D957FB" w:rsidRPr="00283DF3" w:rsidRDefault="00211928">
          <w:pPr>
            <w:pStyle w:val="Innehllsfrteckningsrubrik"/>
            <w:rPr>
              <w:color w:val="auto"/>
              <w:lang w:val="sv-SE"/>
            </w:rPr>
          </w:pPr>
          <w:r w:rsidRPr="00283DF3">
            <w:rPr>
              <w:color w:val="auto"/>
              <w:lang w:val="sv-SE"/>
            </w:rPr>
            <w:t>Innehållsförteckning</w:t>
          </w:r>
        </w:p>
        <w:p w14:paraId="68A6F006" w14:textId="77777777" w:rsidR="00DA7250" w:rsidRPr="00283DF3" w:rsidRDefault="00211928" w:rsidP="00DA7250">
          <w:pPr>
            <w:rPr>
              <w:lang w:eastAsia="ja-JP"/>
            </w:rPr>
          </w:pPr>
        </w:p>
        <w:p w14:paraId="46C4D31E" w14:textId="77777777" w:rsidR="002E0B84" w:rsidRDefault="00211928">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6285186" w:history="1">
            <w:r w:rsidR="002E0B84" w:rsidRPr="00057D74">
              <w:rPr>
                <w:rStyle w:val="Hyperlnk"/>
                <w:noProof/>
              </w:rPr>
              <w:t>1.</w:t>
            </w:r>
            <w:r w:rsidR="002E0B84">
              <w:rPr>
                <w:rFonts w:asciiTheme="minorHAnsi" w:eastAsiaTheme="minorEastAsia" w:hAnsiTheme="minorHAnsi" w:cstheme="minorBidi"/>
                <w:noProof/>
                <w:lang w:eastAsia="sv-SE"/>
              </w:rPr>
              <w:tab/>
            </w:r>
            <w:r w:rsidR="002E0B84" w:rsidRPr="00057D74">
              <w:rPr>
                <w:rStyle w:val="Hyperlnk"/>
                <w:noProof/>
              </w:rPr>
              <w:t>Proposal for a Council Implementing Decision setting out a recommendation for prolonging temporary internal border control in exceptional circumstances putting the overall functioning of the Schengen area at risk</w:t>
            </w:r>
            <w:r w:rsidR="002E0B84">
              <w:rPr>
                <w:noProof/>
                <w:webHidden/>
              </w:rPr>
              <w:tab/>
            </w:r>
            <w:r w:rsidR="002E0B84">
              <w:rPr>
                <w:noProof/>
                <w:webHidden/>
              </w:rPr>
              <w:fldChar w:fldCharType="begin"/>
            </w:r>
            <w:r w:rsidR="002E0B84">
              <w:rPr>
                <w:noProof/>
                <w:webHidden/>
              </w:rPr>
              <w:instrText xml:space="preserve"> PAGEREF _Toc466285186 \h </w:instrText>
            </w:r>
            <w:r w:rsidR="002E0B84">
              <w:rPr>
                <w:noProof/>
                <w:webHidden/>
              </w:rPr>
            </w:r>
            <w:r w:rsidR="002E0B84">
              <w:rPr>
                <w:noProof/>
                <w:webHidden/>
              </w:rPr>
              <w:fldChar w:fldCharType="separate"/>
            </w:r>
            <w:r w:rsidR="002E0B84">
              <w:rPr>
                <w:noProof/>
                <w:webHidden/>
              </w:rPr>
              <w:t>3</w:t>
            </w:r>
            <w:r w:rsidR="002E0B84">
              <w:rPr>
                <w:noProof/>
                <w:webHidden/>
              </w:rPr>
              <w:fldChar w:fldCharType="end"/>
            </w:r>
          </w:hyperlink>
        </w:p>
        <w:p w14:paraId="07E3F481" w14:textId="77777777" w:rsidR="002E0B84" w:rsidRDefault="002E0B84">
          <w:pPr>
            <w:pStyle w:val="Innehll1"/>
            <w:tabs>
              <w:tab w:val="left" w:pos="440"/>
              <w:tab w:val="right" w:leader="dot" w:pos="9062"/>
            </w:tabs>
            <w:rPr>
              <w:rFonts w:asciiTheme="minorHAnsi" w:eastAsiaTheme="minorEastAsia" w:hAnsiTheme="minorHAnsi" w:cstheme="minorBidi"/>
              <w:noProof/>
              <w:lang w:eastAsia="sv-SE"/>
            </w:rPr>
          </w:pPr>
          <w:hyperlink w:anchor="_Toc466285187" w:history="1">
            <w:r w:rsidRPr="00057D74">
              <w:rPr>
                <w:rStyle w:val="Hyperlnk"/>
                <w:noProof/>
              </w:rPr>
              <w:t>2.</w:t>
            </w:r>
            <w:r>
              <w:rPr>
                <w:rFonts w:asciiTheme="minorHAnsi" w:eastAsiaTheme="minorEastAsia" w:hAnsiTheme="minorHAnsi" w:cstheme="minorBidi"/>
                <w:noProof/>
                <w:lang w:eastAsia="sv-SE"/>
              </w:rPr>
              <w:tab/>
            </w:r>
            <w:r w:rsidRPr="00057D74">
              <w:rPr>
                <w:rStyle w:val="Hyperlnk"/>
                <w:noProof/>
              </w:rPr>
              <w:t>Report by the Code of Conduct Group (Business Taxation) to ECOFIN</w:t>
            </w:r>
            <w:r>
              <w:rPr>
                <w:noProof/>
                <w:webHidden/>
              </w:rPr>
              <w:tab/>
            </w:r>
            <w:r>
              <w:rPr>
                <w:noProof/>
                <w:webHidden/>
              </w:rPr>
              <w:fldChar w:fldCharType="begin"/>
            </w:r>
            <w:r>
              <w:rPr>
                <w:noProof/>
                <w:webHidden/>
              </w:rPr>
              <w:instrText xml:space="preserve"> PAGEREF _Toc466285187 \h </w:instrText>
            </w:r>
            <w:r>
              <w:rPr>
                <w:noProof/>
                <w:webHidden/>
              </w:rPr>
            </w:r>
            <w:r>
              <w:rPr>
                <w:noProof/>
                <w:webHidden/>
              </w:rPr>
              <w:fldChar w:fldCharType="separate"/>
            </w:r>
            <w:r>
              <w:rPr>
                <w:noProof/>
                <w:webHidden/>
              </w:rPr>
              <w:t>4</w:t>
            </w:r>
            <w:r>
              <w:rPr>
                <w:noProof/>
                <w:webHidden/>
              </w:rPr>
              <w:fldChar w:fldCharType="end"/>
            </w:r>
          </w:hyperlink>
        </w:p>
        <w:p w14:paraId="4F279ABB" w14:textId="77777777" w:rsidR="002E0B84" w:rsidRDefault="002E0B84">
          <w:pPr>
            <w:pStyle w:val="Innehll1"/>
            <w:tabs>
              <w:tab w:val="left" w:pos="440"/>
              <w:tab w:val="right" w:leader="dot" w:pos="9062"/>
            </w:tabs>
            <w:rPr>
              <w:rFonts w:asciiTheme="minorHAnsi" w:eastAsiaTheme="minorEastAsia" w:hAnsiTheme="minorHAnsi" w:cstheme="minorBidi"/>
              <w:noProof/>
              <w:lang w:eastAsia="sv-SE"/>
            </w:rPr>
          </w:pPr>
          <w:hyperlink w:anchor="_Toc466285188" w:history="1">
            <w:r w:rsidRPr="00057D74">
              <w:rPr>
                <w:rStyle w:val="Hyperlnk"/>
                <w:noProof/>
              </w:rPr>
              <w:t>3.</w:t>
            </w:r>
            <w:r>
              <w:rPr>
                <w:rFonts w:asciiTheme="minorHAnsi" w:eastAsiaTheme="minorEastAsia" w:hAnsiTheme="minorHAnsi" w:cstheme="minorBidi"/>
                <w:noProof/>
                <w:lang w:eastAsia="sv-SE"/>
              </w:rPr>
              <w:tab/>
            </w:r>
            <w:r w:rsidRPr="00057D74">
              <w:rPr>
                <w:rStyle w:val="Hyperlnk"/>
                <w:noProof/>
              </w:rPr>
              <w:t>Draft Council implementing Decision implementing Decision 2013/255/CFSP concerning restrictive measures against Syria and Draft Council implementing Regulation implementing Council Regulation (EU) No 36/2012 concerning restrictive measures in view of the situation in Syria</w:t>
            </w:r>
            <w:r>
              <w:rPr>
                <w:noProof/>
                <w:webHidden/>
              </w:rPr>
              <w:tab/>
            </w:r>
            <w:r>
              <w:rPr>
                <w:noProof/>
                <w:webHidden/>
              </w:rPr>
              <w:fldChar w:fldCharType="begin"/>
            </w:r>
            <w:r>
              <w:rPr>
                <w:noProof/>
                <w:webHidden/>
              </w:rPr>
              <w:instrText xml:space="preserve"> PAGEREF _Toc466285188 \h </w:instrText>
            </w:r>
            <w:r>
              <w:rPr>
                <w:noProof/>
                <w:webHidden/>
              </w:rPr>
            </w:r>
            <w:r>
              <w:rPr>
                <w:noProof/>
                <w:webHidden/>
              </w:rPr>
              <w:fldChar w:fldCharType="separate"/>
            </w:r>
            <w:r>
              <w:rPr>
                <w:noProof/>
                <w:webHidden/>
              </w:rPr>
              <w:t>4</w:t>
            </w:r>
            <w:r>
              <w:rPr>
                <w:noProof/>
                <w:webHidden/>
              </w:rPr>
              <w:fldChar w:fldCharType="end"/>
            </w:r>
          </w:hyperlink>
        </w:p>
        <w:p w14:paraId="68A6F00C" w14:textId="77777777" w:rsidR="00D957FB" w:rsidRDefault="00211928">
          <w:r>
            <w:rPr>
              <w:b/>
              <w:bCs/>
              <w:noProof/>
            </w:rPr>
            <w:fldChar w:fldCharType="end"/>
          </w:r>
        </w:p>
      </w:sdtContent>
    </w:sdt>
    <w:p w14:paraId="68A6F00D" w14:textId="77777777" w:rsidR="00D957FB" w:rsidRDefault="00211928">
      <w:pPr>
        <w:ind w:left="0"/>
      </w:pPr>
      <w:r>
        <w:br w:type="page"/>
      </w:r>
    </w:p>
    <w:p w14:paraId="68A6F00F" w14:textId="77777777" w:rsidR="00643D86" w:rsidRDefault="00211928" w:rsidP="00643D86">
      <w:pPr>
        <w:pStyle w:val="Rubrik1"/>
      </w:pPr>
      <w:bookmarkStart w:id="0" w:name="_Toc364854645"/>
      <w:bookmarkStart w:id="1" w:name="_Toc466285186"/>
      <w:r>
        <w:rPr>
          <w:noProof/>
        </w:rPr>
        <w:lastRenderedPageBreak/>
        <w:t>Proposal</w:t>
      </w:r>
      <w:r>
        <w:rPr>
          <w:noProof/>
        </w:rPr>
        <w:t xml:space="preserve"> for a </w:t>
      </w:r>
      <w:r>
        <w:rPr>
          <w:noProof/>
        </w:rPr>
        <w:t>Council Implementing Decision setting out a recommendation for prolonging temporary internal border control in exceptional circumstances putting the overall functioning of the Schengen area at risk</w:t>
      </w:r>
      <w:bookmarkEnd w:id="1"/>
    </w:p>
    <w:p w14:paraId="68A6F010" w14:textId="77777777" w:rsidR="00643D86" w:rsidRDefault="00211928" w:rsidP="00643D86">
      <w:pPr>
        <w:rPr>
          <w:lang w:val="en-US"/>
        </w:rPr>
      </w:pPr>
      <w:r>
        <w:rPr>
          <w:noProof/>
          <w:lang w:val="en-US"/>
        </w:rPr>
        <w:t>=</w:t>
      </w:r>
      <w:r>
        <w:rPr>
          <w:lang w:val="en-US"/>
        </w:rPr>
        <w:t>Approval of the draft text of the recommendation</w:t>
      </w:r>
      <w:r>
        <w:rPr>
          <w:lang w:val="en-US"/>
        </w:rPr>
        <w:br/>
      </w:r>
      <w:r>
        <w:rPr>
          <w:noProof/>
          <w:lang w:val="en-US"/>
        </w:rPr>
        <w:t>13937</w:t>
      </w:r>
      <w:r>
        <w:rPr>
          <w:lang w:val="en-US"/>
        </w:rPr>
        <w:t>/16</w:t>
      </w:r>
      <w:r>
        <w:rPr>
          <w:lang w:val="en-US"/>
        </w:rPr>
        <w:t xml:space="preserve"> SCH-EVAL 184 FRONT 412 COMIX 707</w:t>
      </w:r>
    </w:p>
    <w:p w14:paraId="68A6F011" w14:textId="3569EAFA" w:rsidR="00643D86" w:rsidRPr="00721A6E" w:rsidRDefault="00211928" w:rsidP="00643D86">
      <w:bookmarkStart w:id="2" w:name="_GoBack"/>
      <w:bookmarkEnd w:id="2"/>
      <w:r w:rsidRPr="00721A6E">
        <w:rPr>
          <w:b/>
        </w:rPr>
        <w:t>Ansvarigt statsråd</w:t>
      </w:r>
      <w:r w:rsidRPr="00721A6E">
        <w:rPr>
          <w:b/>
        </w:rPr>
        <w:br/>
      </w:r>
      <w:r w:rsidR="00721A6E" w:rsidRPr="00721A6E">
        <w:t>Anders Ygeman</w:t>
      </w:r>
    </w:p>
    <w:p w14:paraId="68A6F012" w14:textId="77777777" w:rsidR="00E0653A" w:rsidRDefault="00211928"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8A6F013" w14:textId="77777777" w:rsidR="00E0653A" w:rsidRDefault="00211928"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8A6F014" w14:textId="77777777" w:rsidR="00E0653A" w:rsidRDefault="00211928"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8A6F015" w14:textId="77777777" w:rsidR="00E0653A" w:rsidRDefault="0021192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w:instrText>
      </w:r>
      <w:r>
        <w:rPr>
          <w:b/>
        </w:rPr>
        <w:instrText xml:space="preserve">" = "-" "" "Tidigare behandlat i </w:instrText>
      </w:r>
      <w:r w:rsidRPr="00643D86">
        <w:rPr>
          <w:b/>
        </w:rPr>
        <w:instrText>råde</w:instrText>
      </w:r>
      <w:r>
        <w:rPr>
          <w:b/>
        </w:rPr>
        <w:instrText xml:space="preserve">t </w:instrText>
      </w:r>
      <w:r>
        <w:rPr>
          <w:b/>
        </w:rPr>
        <w:br/>
      </w:r>
      <w:r w:rsidRPr="002F0461">
        <w:instrText>-</w:instrText>
      </w:r>
    </w:p>
    <w:p w14:paraId="68A6F016" w14:textId="77777777" w:rsidR="00E0653A" w:rsidRDefault="0021192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8A6F017" w14:textId="77777777" w:rsidR="00E0653A" w:rsidRDefault="0021192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8A6F018" w14:textId="77777777" w:rsidR="00E0653A" w:rsidRDefault="0021192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8A6F019" w14:textId="77777777" w:rsidR="00E0653A" w:rsidRDefault="0021192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8A6F01A" w14:textId="77777777" w:rsidR="00E0653A" w:rsidRDefault="00211928" w:rsidP="00C8338E">
      <w:pPr>
        <w:rPr>
          <w:noProof/>
        </w:rPr>
      </w:pPr>
      <w:r>
        <w:instrText>"</w:instrText>
      </w:r>
      <w:r>
        <w:rPr>
          <w:b/>
        </w:rPr>
        <w:instrText xml:space="preserve"> </w:instrText>
      </w:r>
      <w:r>
        <w:rPr>
          <w:b/>
        </w:rPr>
        <w:fldChar w:fldCharType="end"/>
      </w:r>
      <w:r>
        <w:rPr>
          <w:b/>
        </w:rPr>
        <w:instrText xml:space="preserve">  "Tidigare beha</w:instrText>
      </w:r>
      <w:r>
        <w:rPr>
          <w:b/>
        </w:rPr>
        <w:instrText>ndlat i utskottet</w:instrText>
      </w:r>
      <w:r>
        <w:rPr>
          <w:b/>
        </w:rPr>
        <w:br/>
      </w:r>
      <w:r>
        <w:instrText>-</w:instrText>
      </w:r>
    </w:p>
    <w:p w14:paraId="68A6F01C" w14:textId="2188186E" w:rsidR="00AA72C9" w:rsidRDefault="00211928" w:rsidP="002E0B84">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rekommendationerna. </w:t>
      </w:r>
      <w:r>
        <w:br/>
      </w:r>
      <w:r>
        <w:rPr>
          <w:b/>
          <w:bCs/>
        </w:rPr>
        <w:br/>
        <w:t>Hur regeringen ställer sig till den blivande A-punkten:</w:t>
      </w:r>
      <w:r>
        <w:t xml:space="preserve"> Regeringen avser att rösta ja till förslaget.</w:t>
      </w:r>
    </w:p>
    <w:p w14:paraId="68A6F01D" w14:textId="77777777" w:rsidR="00AA72C9" w:rsidRDefault="00211928">
      <w:pPr>
        <w:spacing w:after="280" w:afterAutospacing="1"/>
      </w:pPr>
      <w:r>
        <w:rPr>
          <w:b/>
          <w:bCs/>
        </w:rPr>
        <w:t>Bakgrund:</w:t>
      </w:r>
      <w:r>
        <w:t xml:space="preserve"> Under våren 2016 uppenbarades allvarliga</w:t>
      </w:r>
      <w:r>
        <w:t xml:space="preserve"> brister i kontrollen av EU:s yttre gräns och flera medlemsstater återinförde som en reaktion tillfälliga inre gränskontroller. För att normalisera situationen inom Schengenområdet föreslog kommissionen ett antal åtgärder i sitt meddelande från den 3 mars,</w:t>
      </w:r>
      <w:r>
        <w:t xml:space="preserve"> ”Att återvända till Schengen – en färdplan” (KOM (2016) 120 slutlig). En av åtgärderna var att de nationellt återinförda tillfälliga inre gränskontrollerna skulle ersättas av en gemensam ansats med inre gränskontroller i enlighet med artikel 29 i EU:s grä</w:t>
      </w:r>
      <w:r>
        <w:t xml:space="preserve">nskodex (förordning 2016/399). Denna gör det möjligt att baserat på ett EU-beslut återinföra tillfälliga gränskontroller vid alla eller vissa avsnitt av de inre gränserna om en Schengenmedlemsstats bristande gränskontroll hotar Schengens funktionssätt. </w:t>
      </w:r>
    </w:p>
    <w:p w14:paraId="68A6F01E" w14:textId="77777777" w:rsidR="00AA72C9" w:rsidRDefault="00211928">
      <w:pPr>
        <w:spacing w:after="280" w:afterAutospacing="1"/>
      </w:pPr>
      <w:r>
        <w:t>Fö</w:t>
      </w:r>
      <w:r>
        <w:t>rfarandet enligt artikel 29 i gränskodexen måste föregås av en Schengenutvärdering som konstaterar att den bristande gränskontrollen i en medlemsstat är ett hot för Schengens funktionssätt. Under hösten 2015 gjordes en Schengenutvärdering av Grekland, varv</w:t>
      </w:r>
      <w:r>
        <w:t xml:space="preserve">id konstaterades att landet hade långtgående brister i sin gränskontroll av den yttre gränsen, bland annat fanns inte tillräckliga personella och tekniska resurser. </w:t>
      </w:r>
    </w:p>
    <w:p w14:paraId="68A6F01F" w14:textId="77777777" w:rsidR="00AA72C9" w:rsidRDefault="00211928">
      <w:pPr>
        <w:spacing w:after="280" w:afterAutospacing="1"/>
      </w:pPr>
      <w:r>
        <w:t>Den 4 maj 2016 presenterade kommissionen ett förslag till rådet i enlighet med denna artik</w:t>
      </w:r>
      <w:r>
        <w:t>el om rekommendationer till medlemsstaterna att under sex månader återinföra tillfälliga inre gränskontroller i:</w:t>
      </w:r>
      <w:r>
        <w:br/>
        <w:t xml:space="preserve">• Österrike vid den österrikisk-ungerska och österrikisk-slovenska landgränsen </w:t>
      </w:r>
      <w:r>
        <w:br/>
        <w:t>• Tyskland vid den tysk-österrikiska landgränsen</w:t>
      </w:r>
      <w:r>
        <w:br/>
        <w:t>• Danmark i ha</w:t>
      </w:r>
      <w:r>
        <w:t>mnarna med färjeförbindelse till Tyskland och vid den dansk-tyska landgränsen</w:t>
      </w:r>
      <w:r>
        <w:br/>
        <w:t>• Sverige i hamnarna i polisregionerna syd och väst och vid Öresundsbron</w:t>
      </w:r>
      <w:r>
        <w:br/>
        <w:t xml:space="preserve">• Norge i hamnarna med färjeförbindelse med Danmark, Tyskland och Sverige </w:t>
      </w:r>
    </w:p>
    <w:p w14:paraId="68A6F020" w14:textId="77777777" w:rsidR="00AA72C9" w:rsidRDefault="00211928">
      <w:pPr>
        <w:spacing w:after="280" w:afterAutospacing="1"/>
      </w:pPr>
      <w:r>
        <w:t>Rekommendationerna antogs av r</w:t>
      </w:r>
      <w:r>
        <w:t xml:space="preserve">ådet för utrikes frågor (FAC) som en A-punkt den 12 maj 2016. Skriftligt samråd med nämnden inför detta antagande ägde rum samma dag. Ståndpunkt avseende tillämpning av artikel 29 i EU:s gränskodex (förordning 2016/399), vilken utgör </w:t>
      </w:r>
      <w:r>
        <w:lastRenderedPageBreak/>
        <w:t>rättslig grund för dyl</w:t>
      </w:r>
      <w:r>
        <w:t>ika gränskontroller, förankrades i justitieutskottet under en överläggning den 11 februari 2016.</w:t>
      </w:r>
    </w:p>
    <w:p w14:paraId="68A6F021" w14:textId="77777777" w:rsidR="00AA72C9" w:rsidRDefault="00211928">
      <w:pPr>
        <w:spacing w:after="280" w:afterAutospacing="1"/>
      </w:pPr>
      <w:r>
        <w:t>Det förslag som kommissionen nu presenterat innehåller rekommendationer om en förlängning av de tillfälliga inre gränskontrollerna i tre månader. De länder och</w:t>
      </w:r>
      <w:r>
        <w:t xml:space="preserve"> gränser som pekas ut är samma som i beslutet från i maj. Kommissionen motiverar förslaget om en förlängning av gränskontrollerna med att det alltjämt föreligger ett hot mot Schengens funktionssätt, bland annat då det finns en risk för sekundära förflyttni</w:t>
      </w:r>
      <w:r>
        <w:t>ngar av migranter inom EU om gränskontrollerna lyfts. Kommissionen anför också att det höga antal irreguljära migranter och asylsökande som anlände till EU under hösten 2015 fortfarande utgör en betydande utmaning för viktiga samhällsfunktioner i Schengenl</w:t>
      </w:r>
      <w:r>
        <w:t>änderna. Arbetet med att komma till rätta med den eftersläpning i asylsystemen som då uppstod, liksom ansökningar från nya asylsökanden sätter ytterligare press på ländernas administrationer.</w:t>
      </w:r>
    </w:p>
    <w:p w14:paraId="68A6F023" w14:textId="77777777" w:rsidR="00643D86" w:rsidRDefault="00211928" w:rsidP="00643D86">
      <w:pPr>
        <w:pStyle w:val="Rubrik1"/>
      </w:pPr>
      <w:bookmarkStart w:id="3" w:name="_Toc466285187"/>
      <w:r>
        <w:rPr>
          <w:noProof/>
        </w:rPr>
        <w:t>Report</w:t>
      </w:r>
      <w:r>
        <w:rPr>
          <w:noProof/>
        </w:rPr>
        <w:t xml:space="preserve"> by the Code of Conduct Group (Business Taxation) to </w:t>
      </w:r>
      <w:r>
        <w:rPr>
          <w:noProof/>
        </w:rPr>
        <w:t>ECOFIN</w:t>
      </w:r>
      <w:bookmarkEnd w:id="3"/>
    </w:p>
    <w:p w14:paraId="68A6F024" w14:textId="77777777" w:rsidR="00643D86" w:rsidRDefault="00211928" w:rsidP="00643D86">
      <w:pPr>
        <w:rPr>
          <w:lang w:val="en-US"/>
        </w:rPr>
      </w:pPr>
      <w:r>
        <w:rPr>
          <w:noProof/>
          <w:lang w:val="en-US"/>
        </w:rPr>
        <w:t>=</w:t>
      </w:r>
      <w:r>
        <w:rPr>
          <w:lang w:val="en-US"/>
        </w:rPr>
        <w:t xml:space="preserve"> Patent boxes: state of play and the way forward</w:t>
      </w:r>
      <w:r>
        <w:rPr>
          <w:lang w:val="en-US"/>
        </w:rPr>
        <w:br/>
      </w:r>
      <w:r>
        <w:rPr>
          <w:noProof/>
          <w:lang w:val="en-US"/>
        </w:rPr>
        <w:t>13924</w:t>
      </w:r>
      <w:r>
        <w:rPr>
          <w:lang w:val="en-US"/>
        </w:rPr>
        <w:t>/16 FISC 183 ECOFIN 992</w:t>
      </w:r>
    </w:p>
    <w:p w14:paraId="68A6F025" w14:textId="77777777" w:rsidR="00643D86" w:rsidRDefault="00211928" w:rsidP="00643D86">
      <w:r>
        <w:rPr>
          <w:b/>
        </w:rPr>
        <w:t>Ansvarigt statsråd</w:t>
      </w:r>
      <w:r>
        <w:rPr>
          <w:b/>
        </w:rPr>
        <w:br/>
      </w:r>
      <w:r>
        <w:rPr>
          <w:noProof/>
        </w:rPr>
        <w:t>Magdalena</w:t>
      </w:r>
      <w:r>
        <w:t xml:space="preserve"> Andersson</w:t>
      </w:r>
    </w:p>
    <w:p w14:paraId="68A6F026" w14:textId="77777777" w:rsidR="00E0653A" w:rsidRDefault="00211928"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8A6F027" w14:textId="77777777" w:rsidR="00E0653A" w:rsidRDefault="00211928"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8A6F028" w14:textId="77777777" w:rsidR="00E0653A" w:rsidRDefault="00211928" w:rsidP="00C8338E">
      <w:pPr>
        <w:rPr>
          <w:noProof/>
        </w:rPr>
      </w:pPr>
      <w:r>
        <w:instrText>"</w:instrText>
      </w:r>
      <w:r>
        <w:rPr>
          <w:b/>
        </w:rPr>
        <w:instrText xml:space="preserve"> </w:instrText>
      </w:r>
      <w:r>
        <w:rPr>
          <w:b/>
        </w:rPr>
        <w:fldChar w:fldCharType="end"/>
      </w:r>
      <w:r>
        <w:rPr>
          <w:b/>
        </w:rPr>
        <w:instrText xml:space="preserve"> </w:instrText>
      </w:r>
      <w:r>
        <w:rPr>
          <w:b/>
        </w:rPr>
        <w:instrText xml:space="preserve"> "Tid</w:instrText>
      </w:r>
      <w:r>
        <w:rPr>
          <w:b/>
        </w:rPr>
        <w:instrText xml:space="preserve">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8A6F029" w14:textId="77777777" w:rsidR="00E0653A" w:rsidRDefault="0021192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8A6F02A" w14:textId="77777777" w:rsidR="00E0653A" w:rsidRDefault="0021192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8A6F02B" w14:textId="77777777" w:rsidR="00E0653A" w:rsidRDefault="0021192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8A6F02C" w14:textId="77777777" w:rsidR="00E0653A" w:rsidRDefault="0021192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w:instrText>
      </w:r>
      <w:r>
        <w:rPr>
          <w:b/>
        </w:rPr>
        <w:instrText xml:space="preserve">" = "-" "" "Tidigare behandlat i utskottet </w:instrText>
      </w:r>
      <w:r>
        <w:rPr>
          <w:b/>
        </w:rPr>
        <w:br/>
      </w:r>
      <w:r w:rsidRPr="002F0461">
        <w:instrText>-</w:instrText>
      </w:r>
    </w:p>
    <w:p w14:paraId="68A6F02D" w14:textId="77777777" w:rsidR="00E0653A" w:rsidRDefault="0021192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8A6F02E" w14:textId="77777777" w:rsidR="00E0653A" w:rsidRDefault="0021192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8A6F030" w14:textId="6E0FA50B" w:rsidR="00AA72C9" w:rsidRDefault="00211928" w:rsidP="002E0B84">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Avsikten med behandlingen är att rådet ska notera en rapport från Uppförandekodgruppen för företagsbeskattning.</w:t>
      </w:r>
    </w:p>
    <w:p w14:paraId="68A6F031" w14:textId="693B7CD2" w:rsidR="00AA72C9" w:rsidRDefault="00211928">
      <w:pPr>
        <w:spacing w:after="280" w:afterAutospacing="1"/>
      </w:pPr>
      <w:r>
        <w:rPr>
          <w:b/>
          <w:bCs/>
        </w:rPr>
        <w:t>Hur regeringen ställer sig till den blivande A-punkten:</w:t>
      </w:r>
      <w:r>
        <w:t xml:space="preserve"> Regeringen stödjer att rapporten lämnas till rådet.</w:t>
      </w:r>
    </w:p>
    <w:p w14:paraId="68A6F032" w14:textId="77777777" w:rsidR="00AA72C9" w:rsidRDefault="00211928">
      <w:pPr>
        <w:spacing w:after="280" w:afterAutospacing="1"/>
      </w:pPr>
      <w:r>
        <w:rPr>
          <w:b/>
          <w:bCs/>
        </w:rPr>
        <w:t>Bakgrund:</w:t>
      </w:r>
      <w:r>
        <w:t xml:space="preserve"> I november 2014 enades </w:t>
      </w:r>
      <w:r>
        <w:t>uppförandekodgruppen (företagsbeskattning) om att den s.k. nexusansatsen är en lämplig metod för att tillförsäkra att patentboxregimer (dvs förmånliga skatteregimer avseende inkomster från immateriella tillgångar) innehåller tillräcklig substans i enlighet</w:t>
      </w:r>
      <w:r>
        <w:t xml:space="preserve"> med tredje kriteriet i uppförandekoden för företagsbeskattning. Vidare enades gruppen om att befintliga patentboxregimer ska förenas med nexusansatsen. I december 2014 antog Ekofin-rådet slutsatser i enlighet med detta. Vidare sades i slutsatserna att med</w:t>
      </w:r>
      <w:r>
        <w:t xml:space="preserve">lemsstaterna måste påbörja processen att ändra sina patentboxregimer 2015 och att inga nya förmånstagare får använda sig av de gamla regimerna efter juni 2016. I december 2015 inbjöd rådet gruppen att fortsätta att övervaka att befintliga patentboxregimer </w:t>
      </w:r>
      <w:r>
        <w:t xml:space="preserve">görs förenliga med den överenskomna nexusansatsen. </w:t>
      </w:r>
    </w:p>
    <w:p w14:paraId="68A6F034" w14:textId="799EC8A5" w:rsidR="00FB32B9" w:rsidRDefault="00211928">
      <w:pPr>
        <w:spacing w:after="280" w:afterAutospacing="1"/>
        <w:rPr>
          <w:noProof/>
        </w:rPr>
      </w:pPr>
      <w:r>
        <w:t>Avsikten med att rapporten från kodgruppen till rådet är att informera om gruppens övervakning av medlemsstaternas arbete med att ändra patentboxregimer och förhållandet till kodens kriterier. Vidare bekr</w:t>
      </w:r>
      <w:r>
        <w:t>äftar kodgruppen att alla patentboxregimer kommer att undersökas enligt samtliga kriterier i koden för att utvärdera om de är skadliga eller inte.</w:t>
      </w:r>
    </w:p>
    <w:p w14:paraId="68A6F037" w14:textId="29BA28BA" w:rsidR="00643D86" w:rsidRDefault="00211928" w:rsidP="00643D86">
      <w:pPr>
        <w:pStyle w:val="Rubrik1"/>
      </w:pPr>
      <w:bookmarkStart w:id="4" w:name="_Toc466285188"/>
      <w:r>
        <w:rPr>
          <w:noProof/>
        </w:rPr>
        <w:t>Draft</w:t>
      </w:r>
      <w:r>
        <w:rPr>
          <w:noProof/>
        </w:rPr>
        <w:t xml:space="preserve"> Council implementing Decision implementing Decision 2013/255/CFSP concerning restrictive measures </w:t>
      </w:r>
      <w:r>
        <w:rPr>
          <w:noProof/>
        </w:rPr>
        <w:t>against Syria</w:t>
      </w:r>
      <w:r w:rsidR="002E0B84">
        <w:rPr>
          <w:noProof/>
        </w:rPr>
        <w:br/>
      </w:r>
      <w:r>
        <w:rPr>
          <w:noProof/>
        </w:rPr>
        <w:t>and</w:t>
      </w:r>
      <w:r w:rsidR="002E0B84">
        <w:rPr>
          <w:noProof/>
        </w:rPr>
        <w:br/>
      </w:r>
      <w:r>
        <w:rPr>
          <w:noProof/>
        </w:rPr>
        <w:t>Draft Council implementing Regulation implementing Council Regulation (EU) No 36/2012 concerning restrictive measures in view of the situation in Syria</w:t>
      </w:r>
      <w:bookmarkEnd w:id="4"/>
    </w:p>
    <w:p w14:paraId="68A6F03C" w14:textId="6D9F6366" w:rsidR="00643D86" w:rsidRDefault="00211928" w:rsidP="002E0B84">
      <w:pPr>
        <w:ind w:left="720"/>
        <w:rPr>
          <w:lang w:val="en-US"/>
        </w:rPr>
      </w:pPr>
      <w:r>
        <w:rPr>
          <w:noProof/>
          <w:lang w:val="en-US"/>
        </w:rPr>
        <w:t>=</w:t>
      </w:r>
      <w:r>
        <w:rPr>
          <w:lang w:val="en-US"/>
        </w:rPr>
        <w:t xml:space="preserve"> Adoption</w:t>
      </w:r>
      <w:r>
        <w:rPr>
          <w:lang w:val="en-US"/>
        </w:rPr>
        <w:br/>
      </w:r>
      <w:r>
        <w:rPr>
          <w:noProof/>
          <w:lang w:val="en-US"/>
        </w:rPr>
        <w:t>13375</w:t>
      </w:r>
      <w:r>
        <w:rPr>
          <w:lang w:val="en-US"/>
        </w:rPr>
        <w:t>/16 CORLX 407 CFSP/PESC 835 RELEX 854 COARM 189</w:t>
      </w:r>
      <w:r w:rsidR="002E0B84">
        <w:rPr>
          <w:lang w:val="en-US"/>
        </w:rPr>
        <w:br/>
      </w:r>
      <w:r>
        <w:rPr>
          <w:lang w:val="en-US"/>
        </w:rPr>
        <w:t>MAMA 214 FIN 674</w:t>
      </w:r>
      <w:r w:rsidR="002E0B84">
        <w:rPr>
          <w:lang w:val="en-US"/>
        </w:rPr>
        <w:br/>
      </w:r>
      <w:r>
        <w:rPr>
          <w:lang w:val="en-US"/>
        </w:rPr>
        <w:t>13297</w:t>
      </w:r>
      <w:r>
        <w:rPr>
          <w:lang w:val="en-US"/>
        </w:rPr>
        <w:t>/16 CORLX 399 CFSP/PESC 822 COARM 183 MAMA 208 FIN 654</w:t>
      </w:r>
      <w:r w:rsidR="002E0B84">
        <w:rPr>
          <w:lang w:val="en-US"/>
        </w:rPr>
        <w:br/>
      </w:r>
      <w:r>
        <w:rPr>
          <w:lang w:val="en-US"/>
        </w:rPr>
        <w:t>13299/16 CORLX 400 CFSP/PESC 823 RELEX 842 COARM 184</w:t>
      </w:r>
      <w:r w:rsidR="002E0B84">
        <w:rPr>
          <w:lang w:val="en-US"/>
        </w:rPr>
        <w:br/>
      </w:r>
      <w:r>
        <w:rPr>
          <w:lang w:val="en-US"/>
        </w:rPr>
        <w:t>MAMA 209 FIN 655</w:t>
      </w:r>
    </w:p>
    <w:p w14:paraId="68A6F03D" w14:textId="77777777" w:rsidR="00643D86" w:rsidRDefault="00211928" w:rsidP="00643D86">
      <w:r>
        <w:rPr>
          <w:b/>
        </w:rPr>
        <w:t>Ansvarigt statsråd</w:t>
      </w:r>
      <w:r>
        <w:rPr>
          <w:b/>
        </w:rPr>
        <w:br/>
      </w:r>
      <w:r>
        <w:rPr>
          <w:noProof/>
        </w:rPr>
        <w:t>Margot</w:t>
      </w:r>
      <w:r>
        <w:t xml:space="preserve"> Wallström</w:t>
      </w:r>
    </w:p>
    <w:p w14:paraId="68A6F03E" w14:textId="77777777" w:rsidR="00E0653A" w:rsidRDefault="00211928"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8A6F03F" w14:textId="77777777" w:rsidR="00E0653A" w:rsidRDefault="00211928" w:rsidP="00C8338E">
      <w:r>
        <w:instrText>"</w:instrText>
      </w:r>
      <w:r>
        <w:rPr>
          <w:b/>
        </w:rPr>
        <w:instrText xml:space="preserve"> </w:instrText>
      </w:r>
      <w:r>
        <w:rPr>
          <w:b/>
        </w:rPr>
        <w:fldChar w:fldCharType="end"/>
      </w:r>
      <w:r>
        <w:rPr>
          <w:b/>
        </w:rPr>
        <w:instrText xml:space="preserve"> </w:instrText>
      </w:r>
      <w:r>
        <w:rPr>
          <w:b/>
        </w:rPr>
        <w:instrText>"Tidigare</w:instrText>
      </w:r>
      <w:r>
        <w:rPr>
          <w:b/>
        </w:rPr>
        <w:instrText xml:space="preserv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8A6F040" w14:textId="77777777" w:rsidR="00E0653A" w:rsidRDefault="00211928"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8A6F041" w14:textId="77777777" w:rsidR="00E0653A" w:rsidRDefault="0021192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8A6F042" w14:textId="77777777" w:rsidR="00E0653A" w:rsidRDefault="00211928"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8A6F043" w14:textId="77777777" w:rsidR="00E0653A" w:rsidRDefault="00211928"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8A6F044" w14:textId="77777777" w:rsidR="00E0653A" w:rsidRDefault="00211928"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w:instrText>
      </w:r>
      <w:r>
        <w:rPr>
          <w:b/>
        </w:rPr>
        <w:instrText xml:space="preserve">" = "-" "" "Tidigare behandlat i utskottet </w:instrText>
      </w:r>
      <w:r>
        <w:rPr>
          <w:b/>
        </w:rPr>
        <w:br/>
      </w:r>
      <w:r w:rsidRPr="002F0461">
        <w:instrText>-</w:instrText>
      </w:r>
    </w:p>
    <w:p w14:paraId="68A6F045" w14:textId="77777777" w:rsidR="00E0653A" w:rsidRDefault="00211928"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8A6F046" w14:textId="77777777" w:rsidR="00E0653A" w:rsidRDefault="00211928"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8A6F048" w14:textId="2D929F5E" w:rsidR="00AA72C9" w:rsidRDefault="00211928" w:rsidP="002E0B84">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genomförandeförordningen och genomförandebeslutet om avlistningar av två bolag. </w:t>
      </w:r>
    </w:p>
    <w:p w14:paraId="68A6F049" w14:textId="6CF8A679" w:rsidR="00AA72C9" w:rsidRDefault="00211928">
      <w:pPr>
        <w:spacing w:after="280" w:afterAutospacing="1"/>
      </w:pPr>
      <w:r>
        <w:rPr>
          <w:b/>
          <w:bCs/>
        </w:rPr>
        <w:t>Hur regeringen ställer sig till den blivande A-punkten:</w:t>
      </w:r>
      <w:r>
        <w:t xml:space="preserve"> Regeringen avser rösta ja till att rådet antar genomförandeförordningen och genomförandebeslutet. </w:t>
      </w:r>
    </w:p>
    <w:p w14:paraId="68A6F04C" w14:textId="1C5AF62A" w:rsidR="00643D86" w:rsidRPr="00377012" w:rsidRDefault="00211928" w:rsidP="002E0B84">
      <w:pPr>
        <w:spacing w:after="280" w:afterAutospacing="1"/>
      </w:pPr>
      <w:r>
        <w:rPr>
          <w:b/>
          <w:bCs/>
        </w:rPr>
        <w:t>Bakgrund:</w:t>
      </w:r>
      <w:r>
        <w:t xml:space="preserve"> Två bolag som tidigare varit listade föreslås nu avlistas. De två bolagen lades till 2014 och reviderades förra året. Bolagen har nu utmanat list</w:t>
      </w:r>
      <w:r>
        <w:t xml:space="preserve">ningarna inför ECJ, och där bevisat att den överföring som utgjort huvudgrund till EU:s listning inte gått till regimen. </w:t>
      </w:r>
      <w:r>
        <w:br/>
      </w:r>
      <w:bookmarkEnd w:id="0"/>
    </w:p>
    <w:sectPr w:rsidR="00643D86" w:rsidRPr="00377012" w:rsidSect="002C27B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6F066" w14:textId="77777777" w:rsidR="00000000" w:rsidRDefault="00211928">
      <w:pPr>
        <w:spacing w:after="0" w:line="240" w:lineRule="auto"/>
      </w:pPr>
      <w:r>
        <w:separator/>
      </w:r>
    </w:p>
  </w:endnote>
  <w:endnote w:type="continuationSeparator" w:id="0">
    <w:p w14:paraId="68A6F068" w14:textId="77777777" w:rsidR="00000000" w:rsidRDefault="0021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6F050" w14:textId="77777777" w:rsidR="002F3A5A" w:rsidRDefault="0021192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68A6F051" w14:textId="77777777" w:rsidR="00283DF3" w:rsidRDefault="00211928">
        <w:pPr>
          <w:pStyle w:val="Sidfot"/>
          <w:jc w:val="right"/>
        </w:pPr>
      </w:p>
    </w:sdtContent>
  </w:sdt>
  <w:p w14:paraId="68A6F052" w14:textId="77777777" w:rsidR="00283DF3" w:rsidRDefault="00211928">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6F060" w14:textId="77777777" w:rsidR="00283DF3" w:rsidRDefault="00211928">
    <w:pPr>
      <w:pStyle w:val="Sidfot"/>
      <w:jc w:val="right"/>
    </w:pPr>
  </w:p>
  <w:p w14:paraId="68A6F061" w14:textId="77777777" w:rsidR="00283DF3" w:rsidRDefault="0021192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6F062" w14:textId="77777777" w:rsidR="00000000" w:rsidRDefault="00211928">
      <w:pPr>
        <w:spacing w:after="0" w:line="240" w:lineRule="auto"/>
      </w:pPr>
      <w:r>
        <w:separator/>
      </w:r>
    </w:p>
  </w:footnote>
  <w:footnote w:type="continuationSeparator" w:id="0">
    <w:p w14:paraId="68A6F064" w14:textId="77777777" w:rsidR="00000000" w:rsidRDefault="00211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6F04D" w14:textId="77777777" w:rsidR="002F3A5A" w:rsidRDefault="00211928">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68A6F04E" w14:textId="77777777" w:rsidR="002F3A5A" w:rsidRDefault="00211928" w:rsidP="002F3A5A">
        <w:pPr>
          <w:pStyle w:val="Sidhuvud"/>
          <w:jc w:val="right"/>
        </w:pPr>
        <w:r>
          <w:fldChar w:fldCharType="begin"/>
        </w:r>
        <w:r>
          <w:instrText xml:space="preserve"> PAGE   \* MERGEFORMAT </w:instrText>
        </w:r>
        <w:r>
          <w:fldChar w:fldCharType="separate"/>
        </w:r>
        <w:r>
          <w:rPr>
            <w:noProof/>
          </w:rPr>
          <w:t>3</w:t>
        </w:r>
        <w:r>
          <w:rPr>
            <w:noProof/>
          </w:rPr>
          <w:fldChar w:fldCharType="end"/>
        </w:r>
      </w:p>
    </w:sdtContent>
  </w:sdt>
  <w:p w14:paraId="68A6F04F" w14:textId="77777777" w:rsidR="006F1C0D" w:rsidRDefault="00211928"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AA72C9" w14:paraId="68A6F05A" w14:textId="77777777" w:rsidTr="006E71D7">
      <w:tc>
        <w:tcPr>
          <w:tcW w:w="4606" w:type="dxa"/>
        </w:tcPr>
        <w:p w14:paraId="68A6F053" w14:textId="77777777" w:rsidR="006E71D7" w:rsidRDefault="00211928" w:rsidP="00752770">
          <w:pPr>
            <w:pStyle w:val="Sidhuvud"/>
            <w:ind w:left="0"/>
          </w:pPr>
          <w:r>
            <w:rPr>
              <w:noProof/>
              <w:lang w:eastAsia="sv-SE"/>
            </w:rPr>
            <w:drawing>
              <wp:inline distT="0" distB="0" distL="0" distR="0" wp14:anchorId="68A6F062" wp14:editId="68A6F063">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8A6F054" w14:textId="77777777" w:rsidR="00FB32B9" w:rsidRDefault="00211928"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AA72C9" w14:paraId="68A6F057" w14:textId="77777777" w:rsidTr="00623763">
            <w:tc>
              <w:tcPr>
                <w:tcW w:w="1833" w:type="dxa"/>
              </w:tcPr>
              <w:p w14:paraId="68A6F055" w14:textId="77777777" w:rsidR="00623763" w:rsidRPr="00623763" w:rsidRDefault="00211928" w:rsidP="00623763">
                <w:pPr>
                  <w:ind w:left="0"/>
                </w:pPr>
                <w:r w:rsidRPr="00623763">
                  <w:rPr>
                    <w:rFonts w:ascii="TradeGothic" w:hAnsi="TradeGothic"/>
                    <w:b/>
                  </w:rPr>
                  <w:t>Promemoria</w:t>
                </w:r>
              </w:p>
            </w:tc>
            <w:tc>
              <w:tcPr>
                <w:tcW w:w="1833" w:type="dxa"/>
              </w:tcPr>
              <w:p w14:paraId="68A6F056" w14:textId="77777777" w:rsidR="00623763" w:rsidRPr="00623763" w:rsidRDefault="00211928"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45</w:t>
                </w:r>
                <w:r w:rsidRPr="00623763">
                  <w:rPr>
                    <w:rFonts w:ascii="TradeGothic" w:hAnsi="TradeGothic"/>
                    <w:b/>
                  </w:rPr>
                  <w:t>]</w:t>
                </w:r>
              </w:p>
            </w:tc>
          </w:tr>
        </w:tbl>
        <w:p w14:paraId="68A6F058" w14:textId="77777777" w:rsidR="00FB32B9" w:rsidRDefault="00211928" w:rsidP="00FB32B9">
          <w:pPr>
            <w:jc w:val="right"/>
          </w:pPr>
        </w:p>
        <w:p w14:paraId="68A6F059" w14:textId="77777777" w:rsidR="006E71D7" w:rsidRDefault="00211928" w:rsidP="00FB32B9">
          <w:pPr>
            <w:ind w:right="916"/>
          </w:pPr>
          <w:r>
            <w:rPr>
              <w:rFonts w:ascii="TradeGothic" w:hAnsi="TradeGothic"/>
              <w:b/>
              <w:noProof/>
            </w:rPr>
            <w:t>2016-11-07</w:t>
          </w:r>
          <w:r w:rsidRPr="00934953">
            <w:t xml:space="preserve"> </w:t>
          </w:r>
        </w:p>
      </w:tc>
    </w:tr>
  </w:tbl>
  <w:p w14:paraId="68A6F05B" w14:textId="77777777" w:rsidR="00FB32B9" w:rsidRDefault="00211928" w:rsidP="00FB32B9">
    <w:pPr>
      <w:pStyle w:val="Avsndare"/>
      <w:framePr w:w="0" w:hRule="auto" w:hSpace="0" w:wrap="auto" w:vAnchor="margin" w:hAnchor="text" w:xAlign="left" w:yAlign="inline"/>
      <w:rPr>
        <w:b/>
        <w:i w:val="0"/>
        <w:sz w:val="22"/>
      </w:rPr>
    </w:pPr>
  </w:p>
  <w:p w14:paraId="68A6F05C" w14:textId="77777777" w:rsidR="00FB32B9" w:rsidRDefault="00211928" w:rsidP="00FB32B9">
    <w:pPr>
      <w:pStyle w:val="Avsndare"/>
      <w:framePr w:w="0" w:hRule="auto" w:hSpace="0" w:wrap="auto" w:vAnchor="margin" w:hAnchor="text" w:xAlign="left" w:yAlign="inline"/>
      <w:rPr>
        <w:b/>
        <w:i w:val="0"/>
        <w:sz w:val="22"/>
      </w:rPr>
    </w:pPr>
    <w:r>
      <w:rPr>
        <w:b/>
        <w:i w:val="0"/>
        <w:sz w:val="22"/>
      </w:rPr>
      <w:t>Statsrådsberedningen</w:t>
    </w:r>
  </w:p>
  <w:p w14:paraId="68A6F05D" w14:textId="77777777" w:rsidR="00FB32B9" w:rsidRDefault="00211928" w:rsidP="00FB32B9">
    <w:pPr>
      <w:pStyle w:val="Avsndare"/>
      <w:framePr w:w="0" w:hRule="auto" w:hSpace="0" w:wrap="auto" w:vAnchor="margin" w:hAnchor="text" w:xAlign="left" w:yAlign="inline"/>
    </w:pPr>
  </w:p>
  <w:p w14:paraId="68A6F05E" w14:textId="77777777" w:rsidR="00FB32B9" w:rsidRDefault="00211928" w:rsidP="00FB32B9">
    <w:pPr>
      <w:pStyle w:val="Avsndare"/>
      <w:framePr w:w="0" w:hRule="auto" w:hSpace="0" w:wrap="auto" w:vAnchor="margin" w:hAnchor="text" w:xAlign="left" w:yAlign="inline"/>
    </w:pPr>
    <w:r>
      <w:t>EU-kansliet</w:t>
    </w:r>
  </w:p>
  <w:p w14:paraId="68A6F05F" w14:textId="77777777" w:rsidR="0012376B" w:rsidRDefault="0021192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555034D4">
      <w:start w:val="1"/>
      <w:numFmt w:val="decimal"/>
      <w:pStyle w:val="Rubrik1"/>
      <w:lvlText w:val="%1."/>
      <w:lvlJc w:val="left"/>
      <w:pPr>
        <w:ind w:left="720" w:hanging="360"/>
      </w:pPr>
    </w:lvl>
    <w:lvl w:ilvl="1" w:tplc="2BDC1028" w:tentative="1">
      <w:start w:val="1"/>
      <w:numFmt w:val="lowerLetter"/>
      <w:lvlText w:val="%2."/>
      <w:lvlJc w:val="left"/>
      <w:pPr>
        <w:ind w:left="1440" w:hanging="360"/>
      </w:pPr>
    </w:lvl>
    <w:lvl w:ilvl="2" w:tplc="10308442" w:tentative="1">
      <w:start w:val="1"/>
      <w:numFmt w:val="lowerRoman"/>
      <w:lvlText w:val="%3."/>
      <w:lvlJc w:val="right"/>
      <w:pPr>
        <w:ind w:left="2160" w:hanging="180"/>
      </w:pPr>
    </w:lvl>
    <w:lvl w:ilvl="3" w:tplc="78B40608" w:tentative="1">
      <w:start w:val="1"/>
      <w:numFmt w:val="decimal"/>
      <w:lvlText w:val="%4."/>
      <w:lvlJc w:val="left"/>
      <w:pPr>
        <w:ind w:left="2880" w:hanging="360"/>
      </w:pPr>
    </w:lvl>
    <w:lvl w:ilvl="4" w:tplc="D60E6B52" w:tentative="1">
      <w:start w:val="1"/>
      <w:numFmt w:val="lowerLetter"/>
      <w:lvlText w:val="%5."/>
      <w:lvlJc w:val="left"/>
      <w:pPr>
        <w:ind w:left="3600" w:hanging="360"/>
      </w:pPr>
    </w:lvl>
    <w:lvl w:ilvl="5" w:tplc="826A8D02" w:tentative="1">
      <w:start w:val="1"/>
      <w:numFmt w:val="lowerRoman"/>
      <w:lvlText w:val="%6."/>
      <w:lvlJc w:val="right"/>
      <w:pPr>
        <w:ind w:left="4320" w:hanging="180"/>
      </w:pPr>
    </w:lvl>
    <w:lvl w:ilvl="6" w:tplc="17C40B84" w:tentative="1">
      <w:start w:val="1"/>
      <w:numFmt w:val="decimal"/>
      <w:lvlText w:val="%7."/>
      <w:lvlJc w:val="left"/>
      <w:pPr>
        <w:ind w:left="5040" w:hanging="360"/>
      </w:pPr>
    </w:lvl>
    <w:lvl w:ilvl="7" w:tplc="0F4C547E" w:tentative="1">
      <w:start w:val="1"/>
      <w:numFmt w:val="lowerLetter"/>
      <w:lvlText w:val="%8."/>
      <w:lvlJc w:val="left"/>
      <w:pPr>
        <w:ind w:left="5760" w:hanging="360"/>
      </w:pPr>
    </w:lvl>
    <w:lvl w:ilvl="8" w:tplc="FF863E6C" w:tentative="1">
      <w:start w:val="1"/>
      <w:numFmt w:val="lowerRoman"/>
      <w:lvlText w:val="%9."/>
      <w:lvlJc w:val="right"/>
      <w:pPr>
        <w:ind w:left="6480" w:hanging="180"/>
      </w:pPr>
    </w:lvl>
  </w:abstractNum>
  <w:abstractNum w:abstractNumId="1">
    <w:nsid w:val="73990993"/>
    <w:multiLevelType w:val="hybridMultilevel"/>
    <w:tmpl w:val="3BD822EE"/>
    <w:lvl w:ilvl="0" w:tplc="6DC8F57A">
      <w:start w:val="1"/>
      <w:numFmt w:val="decimal"/>
      <w:lvlText w:val="%1."/>
      <w:lvlJc w:val="left"/>
      <w:pPr>
        <w:ind w:left="360" w:hanging="360"/>
      </w:pPr>
      <w:rPr>
        <w:b w:val="0"/>
      </w:rPr>
    </w:lvl>
    <w:lvl w:ilvl="1" w:tplc="E7F06D9A" w:tentative="1">
      <w:start w:val="1"/>
      <w:numFmt w:val="lowerLetter"/>
      <w:lvlText w:val="%2."/>
      <w:lvlJc w:val="left"/>
      <w:pPr>
        <w:ind w:left="1080" w:hanging="360"/>
      </w:pPr>
    </w:lvl>
    <w:lvl w:ilvl="2" w:tplc="229E559A" w:tentative="1">
      <w:start w:val="1"/>
      <w:numFmt w:val="lowerRoman"/>
      <w:lvlText w:val="%3."/>
      <w:lvlJc w:val="right"/>
      <w:pPr>
        <w:ind w:left="1800" w:hanging="180"/>
      </w:pPr>
    </w:lvl>
    <w:lvl w:ilvl="3" w:tplc="8304B820" w:tentative="1">
      <w:start w:val="1"/>
      <w:numFmt w:val="decimal"/>
      <w:lvlText w:val="%4."/>
      <w:lvlJc w:val="left"/>
      <w:pPr>
        <w:ind w:left="2520" w:hanging="360"/>
      </w:pPr>
    </w:lvl>
    <w:lvl w:ilvl="4" w:tplc="3F089FC4" w:tentative="1">
      <w:start w:val="1"/>
      <w:numFmt w:val="lowerLetter"/>
      <w:lvlText w:val="%5."/>
      <w:lvlJc w:val="left"/>
      <w:pPr>
        <w:ind w:left="3240" w:hanging="360"/>
      </w:pPr>
    </w:lvl>
    <w:lvl w:ilvl="5" w:tplc="91A2A10A" w:tentative="1">
      <w:start w:val="1"/>
      <w:numFmt w:val="lowerRoman"/>
      <w:lvlText w:val="%6."/>
      <w:lvlJc w:val="right"/>
      <w:pPr>
        <w:ind w:left="3960" w:hanging="180"/>
      </w:pPr>
    </w:lvl>
    <w:lvl w:ilvl="6" w:tplc="98C8CDFC" w:tentative="1">
      <w:start w:val="1"/>
      <w:numFmt w:val="decimal"/>
      <w:lvlText w:val="%7."/>
      <w:lvlJc w:val="left"/>
      <w:pPr>
        <w:ind w:left="4680" w:hanging="360"/>
      </w:pPr>
    </w:lvl>
    <w:lvl w:ilvl="7" w:tplc="B3147302" w:tentative="1">
      <w:start w:val="1"/>
      <w:numFmt w:val="lowerLetter"/>
      <w:lvlText w:val="%8."/>
      <w:lvlJc w:val="left"/>
      <w:pPr>
        <w:ind w:left="5400" w:hanging="360"/>
      </w:pPr>
    </w:lvl>
    <w:lvl w:ilvl="8" w:tplc="B1688F86"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2C9"/>
    <w:rsid w:val="00211928"/>
    <w:rsid w:val="002567D3"/>
    <w:rsid w:val="002E0B84"/>
    <w:rsid w:val="00721A6E"/>
    <w:rsid w:val="00AA7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6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JE6N4JFJXNNF-17-42105</_dlc_DocId>
    <_dlc_DocIdUrl xmlns="8b66ae41-1ec6-402e-b662-35d1932ca064">
      <Url>http://rkdhs-sb/enhet/EUKansli/_layouts/DocIdRedir.aspx?ID=JE6N4JFJXNNF-17-42105</Url>
      <Description>JE6N4JFJXNNF-17-42105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40610-402C-4F45-A644-9B853B3DF510}"/>
</file>

<file path=customXml/itemProps2.xml><?xml version="1.0" encoding="utf-8"?>
<ds:datastoreItem xmlns:ds="http://schemas.openxmlformats.org/officeDocument/2006/customXml" ds:itemID="{A8C1048A-8002-4ADA-AA9A-8F6A14B8DE15}"/>
</file>

<file path=customXml/itemProps3.xml><?xml version="1.0" encoding="utf-8"?>
<ds:datastoreItem xmlns:ds="http://schemas.openxmlformats.org/officeDocument/2006/customXml" ds:itemID="{7D76F359-0CCD-4944-B414-814E5E255975}"/>
</file>

<file path=customXml/itemProps4.xml><?xml version="1.0" encoding="utf-8"?>
<ds:datastoreItem xmlns:ds="http://schemas.openxmlformats.org/officeDocument/2006/customXml" ds:itemID="{90B5FC42-6004-484C-8DA1-BF6EC830F777}"/>
</file>

<file path=customXml/itemProps5.xml><?xml version="1.0" encoding="utf-8"?>
<ds:datastoreItem xmlns:ds="http://schemas.openxmlformats.org/officeDocument/2006/customXml" ds:itemID="{4CDC7437-780A-41CD-9BCB-7F41E0971F96}"/>
</file>

<file path=customXml/itemProps6.xml><?xml version="1.0" encoding="utf-8"?>
<ds:datastoreItem xmlns:ds="http://schemas.openxmlformats.org/officeDocument/2006/customXml" ds:itemID="{362A1FC3-B7CF-41FB-8198-2A19E9A7236E}"/>
</file>

<file path=customXml/itemProps7.xml><?xml version="1.0" encoding="utf-8"?>
<ds:datastoreItem xmlns:ds="http://schemas.openxmlformats.org/officeDocument/2006/customXml" ds:itemID="{E31576BB-4FE8-4A65-AE3F-0E0B232D0359}"/>
</file>

<file path=docProps/app.xml><?xml version="1.0" encoding="utf-8"?>
<Properties xmlns="http://schemas.openxmlformats.org/officeDocument/2006/extended-properties" xmlns:vt="http://schemas.openxmlformats.org/officeDocument/2006/docPropsVTypes">
  <Template>Normal</Template>
  <TotalTime>0</TotalTime>
  <Pages>5</Pages>
  <Words>1377</Words>
  <Characters>7304</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dcterms:created xsi:type="dcterms:W3CDTF">2016-11-07T12:07:00Z</dcterms:created>
  <dcterms:modified xsi:type="dcterms:W3CDTF">2016-11-07T12:07:00Z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20,42,43</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25322dc9-d1e0-4382-b08a-f8eeac80c06b</vt:lpwstr>
  </property>
</Properties>
</file>