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35B779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1B247C">
              <w:rPr>
                <w:b/>
                <w:lang w:eastAsia="en-US"/>
              </w:rPr>
              <w:t>1</w:t>
            </w:r>
            <w:r w:rsidR="00C34341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4F05DE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D36168">
              <w:rPr>
                <w:lang w:eastAsia="en-US"/>
              </w:rPr>
              <w:t>1</w:t>
            </w:r>
            <w:r w:rsidR="006000A1">
              <w:rPr>
                <w:lang w:eastAsia="en-US"/>
              </w:rPr>
              <w:t>1</w:t>
            </w:r>
            <w:r w:rsidR="005476F5">
              <w:rPr>
                <w:lang w:eastAsia="en-US"/>
              </w:rPr>
              <w:t>-</w:t>
            </w:r>
            <w:r w:rsidR="00427C7A">
              <w:rPr>
                <w:lang w:eastAsia="en-US"/>
              </w:rPr>
              <w:t>1</w:t>
            </w:r>
            <w:r w:rsidR="00C34341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047BF16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4130B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93325B">
              <w:rPr>
                <w:color w:val="000000" w:themeColor="text1"/>
                <w:lang w:eastAsia="en-US"/>
              </w:rPr>
              <w:t>1</w:t>
            </w:r>
            <w:r w:rsidR="00C34341">
              <w:rPr>
                <w:color w:val="000000" w:themeColor="text1"/>
                <w:lang w:eastAsia="en-US"/>
              </w:rPr>
              <w:t>0.30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64EABBC1" w:rsidR="00C32EDA" w:rsidRDefault="00C32EDA"/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6E938F7D" w:rsidR="003063D1" w:rsidRPr="00C56256" w:rsidRDefault="00C34341" w:rsidP="002B6B2C">
            <w:pPr>
              <w:rPr>
                <w:rFonts w:eastAsiaTheme="minorHAnsi"/>
                <w:b/>
                <w:color w:val="000000"/>
                <w:u w:val="single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Transport, telekomm</w:t>
            </w:r>
            <w:r w:rsidR="00C75252">
              <w:rPr>
                <w:rFonts w:eastAsiaTheme="minorHAnsi"/>
                <w:b/>
                <w:color w:val="000000"/>
                <w:lang w:eastAsia="en-US"/>
              </w:rPr>
              <w:t>u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nikations- och </w:t>
            </w:r>
            <w:r w:rsidRPr="00C56256">
              <w:rPr>
                <w:rFonts w:eastAsiaTheme="minorHAnsi"/>
                <w:b/>
                <w:color w:val="000000"/>
                <w:u w:val="single"/>
                <w:lang w:eastAsia="en-US"/>
              </w:rPr>
              <w:t>energifrågor</w:t>
            </w:r>
          </w:p>
          <w:p w14:paraId="4686EA47" w14:textId="43CED6D2" w:rsidR="002B6B2C" w:rsidRPr="00AA5C69" w:rsidRDefault="00C34341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Daniel Liljeberg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423D6">
              <w:rPr>
                <w:rFonts w:eastAsiaTheme="minorHAnsi"/>
                <w:color w:val="000000"/>
                <w:lang w:eastAsia="en-US"/>
              </w:rPr>
              <w:t>m.fl. f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rån</w:t>
            </w:r>
            <w:r w:rsidR="00D36168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Näringsdepartementet</w:t>
            </w:r>
            <w:r w:rsidR="00B423D6">
              <w:rPr>
                <w:rFonts w:eastAsiaTheme="minorHAnsi"/>
                <w:color w:val="000000"/>
                <w:lang w:eastAsia="en-US"/>
              </w:rPr>
              <w:t xml:space="preserve">, samt medarbetare från Infrastrukturdepartementet och </w:t>
            </w:r>
            <w:r w:rsidR="003063D1" w:rsidRPr="00AA5C69">
              <w:rPr>
                <w:rFonts w:eastAsiaTheme="minorHAnsi"/>
                <w:color w:val="000000"/>
                <w:lang w:eastAsia="en-US"/>
              </w:rPr>
              <w:t>Statsråd</w:t>
            </w:r>
            <w:r w:rsidR="00930D46">
              <w:rPr>
                <w:rFonts w:eastAsiaTheme="minorHAnsi"/>
                <w:color w:val="000000"/>
                <w:lang w:eastAsia="en-US"/>
              </w:rPr>
              <w:t>s</w:t>
            </w:r>
            <w:r w:rsidR="003063D1" w:rsidRPr="00AA5C69">
              <w:rPr>
                <w:rFonts w:eastAsiaTheme="minorHAnsi"/>
                <w:color w:val="000000"/>
                <w:lang w:eastAsia="en-US"/>
              </w:rPr>
              <w:t>beredningen</w:t>
            </w:r>
            <w:r w:rsidR="00F61823" w:rsidRPr="00AA5C69">
              <w:rPr>
                <w:rFonts w:eastAsiaTheme="minorHAnsi"/>
                <w:color w:val="000000"/>
                <w:lang w:eastAsia="en-US"/>
              </w:rPr>
              <w:t>,</w:t>
            </w:r>
            <w:r w:rsidR="003063D1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möte i rådet den 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="00134B86">
              <w:rPr>
                <w:rFonts w:eastAsiaTheme="minorHAnsi"/>
                <w:color w:val="000000"/>
                <w:lang w:eastAsia="en-US"/>
              </w:rPr>
              <w:t>4</w:t>
            </w:r>
            <w:r w:rsidR="00316630">
              <w:rPr>
                <w:rFonts w:eastAsiaTheme="minorHAnsi"/>
                <w:color w:val="000000"/>
                <w:lang w:eastAsia="en-US"/>
              </w:rPr>
              <w:t xml:space="preserve"> november 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202</w:t>
            </w:r>
            <w:r w:rsidR="00B45258" w:rsidRPr="00AA5C69">
              <w:rPr>
                <w:rFonts w:eastAsiaTheme="minorHAnsi"/>
                <w:color w:val="000000"/>
                <w:lang w:eastAsia="en-US"/>
              </w:rPr>
              <w:t>2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54DE22E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6A529F27" w:rsidR="00134B86" w:rsidRDefault="00134B86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7EB0783A" w14:textId="10FEC08E" w:rsidR="00134B86" w:rsidRPr="00134B86" w:rsidRDefault="00134B86" w:rsidP="009870E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B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C34341">
              <w:rPr>
                <w:rFonts w:eastAsiaTheme="minorHAnsi"/>
                <w:b/>
                <w:bCs/>
                <w:color w:val="000000"/>
                <w:lang w:eastAsia="en-US"/>
              </w:rPr>
              <w:t>25</w:t>
            </w:r>
            <w:r w:rsidRPr="00134B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oktober 2022</w:t>
            </w:r>
          </w:p>
          <w:p w14:paraId="1B47BAE8" w14:textId="29DA0E08" w:rsidR="00134B86" w:rsidRDefault="00134B86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30529EF0" w14:textId="2D6A8B22" w:rsidR="00754084" w:rsidRPr="00134B86" w:rsidRDefault="00134B86" w:rsidP="00754084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34B86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</w:t>
            </w:r>
            <w:r w:rsidR="00754084" w:rsidRPr="00EA0AF3">
              <w:t xml:space="preserve"> </w:t>
            </w:r>
            <w:r w:rsidR="00754084" w:rsidRPr="00754084">
              <w:rPr>
                <w:b/>
                <w:bCs/>
              </w:rPr>
              <w:t>Rådets förordning om ökad solidaritet genom bättre samordning av gasinköp, utbyte av gas över gränserna och tillförlitliga prisriktvärden</w:t>
            </w:r>
            <w:r w:rsidR="00754084">
              <w:rPr>
                <w:b/>
                <w:bCs/>
              </w:rPr>
              <w:br/>
            </w:r>
            <w:r w:rsidR="00754084" w:rsidRPr="00AA5C69">
              <w:t xml:space="preserve">Ordföranden konstaterade att det fanns stöd för regeringens </w:t>
            </w:r>
            <w:r w:rsidR="00754084">
              <w:t>ståndpunkt.</w:t>
            </w:r>
            <w:r w:rsidR="00754084">
              <w:br/>
            </w:r>
            <w:r w:rsidR="00754084" w:rsidRPr="00754084">
              <w:rPr>
                <w:color w:val="000000"/>
              </w:rPr>
              <w:t>V- och MP- ledamöterna anmälde avvikande ståndpunkt.</w:t>
            </w:r>
          </w:p>
          <w:p w14:paraId="05FF3452" w14:textId="34B9FAAB" w:rsidR="0010385D" w:rsidRPr="00C75252" w:rsidRDefault="00754084" w:rsidP="00754084">
            <w:pPr>
              <w:widowControl/>
              <w:autoSpaceDE w:val="0"/>
              <w:autoSpaceDN w:val="0"/>
              <w:adjustRightInd w:val="0"/>
              <w:spacing w:after="240"/>
            </w:pPr>
            <w:r>
              <w:rPr>
                <w:b/>
                <w:bCs/>
                <w:color w:val="000000"/>
              </w:rPr>
              <w:t xml:space="preserve">- </w:t>
            </w:r>
            <w:r w:rsidRPr="00EA0AF3">
              <w:t xml:space="preserve"> </w:t>
            </w:r>
            <w:r w:rsidRPr="00754084">
              <w:rPr>
                <w:b/>
                <w:bCs/>
              </w:rPr>
              <w:t>Rådets förordning om ramen för en påskyndad utbyggnad av förnybar energi</w:t>
            </w:r>
            <w:r w:rsidRPr="00754084">
              <w:rPr>
                <w:b/>
                <w:bCs/>
              </w:rPr>
              <w:br/>
            </w:r>
            <w:r w:rsidRPr="00AA5C69">
              <w:t xml:space="preserve">Ordföranden konstaterade att det fanns stöd för regeringens </w:t>
            </w:r>
            <w:r>
              <w:t>ståndpunkt.</w:t>
            </w:r>
            <w:r>
              <w:br/>
              <w:t>S-</w:t>
            </w:r>
            <w:r w:rsidR="0010385D">
              <w:t>, V- och MP-</w:t>
            </w:r>
            <w:r>
              <w:t>ledamöterna anmälde avvikande ståndpunkt</w:t>
            </w:r>
            <w:r w:rsidR="0010385D">
              <w:t>.</w:t>
            </w:r>
            <w:r>
              <w:br/>
            </w:r>
            <w:r w:rsidRPr="00754084">
              <w:rPr>
                <w:color w:val="000000"/>
              </w:rPr>
              <w:t>V-</w:t>
            </w:r>
            <w:r>
              <w:rPr>
                <w:color w:val="000000"/>
              </w:rPr>
              <w:t xml:space="preserve">, </w:t>
            </w:r>
            <w:r w:rsidRPr="00754084">
              <w:rPr>
                <w:color w:val="000000"/>
              </w:rPr>
              <w:t>och MP- ledamöterna anmälde avvikande ståndpunkt.</w:t>
            </w:r>
            <w:r w:rsidR="0010385D">
              <w:rPr>
                <w:color w:val="000000"/>
              </w:rPr>
              <w:t xml:space="preserve"> </w:t>
            </w:r>
            <w:r w:rsidR="0010385D">
              <w:rPr>
                <w:color w:val="000000"/>
              </w:rPr>
              <w:br/>
              <w:t>C</w:t>
            </w:r>
            <w:r w:rsidR="00B423D6">
              <w:rPr>
                <w:color w:val="000000"/>
              </w:rPr>
              <w:t>-</w:t>
            </w:r>
            <w:r w:rsidR="007214D4">
              <w:rPr>
                <w:color w:val="000000"/>
              </w:rPr>
              <w:t xml:space="preserve"> ledamoten</w:t>
            </w:r>
            <w:r w:rsidR="004E3B70">
              <w:rPr>
                <w:color w:val="000000"/>
              </w:rPr>
              <w:t xml:space="preserve"> </w:t>
            </w:r>
            <w:r w:rsidR="0010385D">
              <w:rPr>
                <w:color w:val="000000"/>
              </w:rPr>
              <w:t xml:space="preserve">lämnade avvikande ståndpunkt. </w:t>
            </w:r>
          </w:p>
        </w:tc>
      </w:tr>
      <w:tr w:rsidR="0093325B" w:rsidRPr="00DF4413" w14:paraId="71DDB18B" w14:textId="77777777" w:rsidTr="003063D1">
        <w:trPr>
          <w:trHeight w:val="568"/>
        </w:trPr>
        <w:tc>
          <w:tcPr>
            <w:tcW w:w="567" w:type="dxa"/>
          </w:tcPr>
          <w:p w14:paraId="5CB6109A" w14:textId="3CD71F0B" w:rsidR="0093325B" w:rsidRDefault="0093325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30" w:type="dxa"/>
          </w:tcPr>
          <w:p w14:paraId="7FB903D2" w14:textId="7AA84727" w:rsidR="0093325B" w:rsidRPr="00AA5C69" w:rsidRDefault="00134B86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Utrikes frågor – </w:t>
            </w:r>
            <w:r w:rsidR="00754084">
              <w:rPr>
                <w:rFonts w:eastAsiaTheme="minorHAnsi"/>
                <w:b/>
                <w:color w:val="000000"/>
                <w:lang w:eastAsia="en-US"/>
              </w:rPr>
              <w:t>handel</w:t>
            </w:r>
          </w:p>
          <w:p w14:paraId="5080283B" w14:textId="012976F3" w:rsidR="0093325B" w:rsidRPr="00AA5C69" w:rsidRDefault="00754084" w:rsidP="003640B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Johan Forssell</w:t>
            </w:r>
            <w:r w:rsidR="00134B86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134B86">
              <w:rPr>
                <w:rFonts w:eastAsiaTheme="minorHAnsi"/>
                <w:color w:val="000000"/>
                <w:lang w:eastAsia="en-US"/>
              </w:rPr>
              <w:t>departementet</w:t>
            </w:r>
            <w:r w:rsidR="0093325B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45666">
              <w:rPr>
                <w:rFonts w:eastAsiaTheme="minorHAnsi"/>
                <w:color w:val="000000"/>
                <w:lang w:eastAsia="en-US"/>
              </w:rPr>
              <w:t xml:space="preserve">samt medarbetare från Statsrådsberedningen </w:t>
            </w:r>
            <w:r w:rsidR="0093325B"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="00134B86">
              <w:rPr>
                <w:rFonts w:eastAsiaTheme="minorHAnsi"/>
                <w:color w:val="000000"/>
                <w:lang w:eastAsia="en-US"/>
              </w:rPr>
              <w:t>5</w:t>
            </w:r>
            <w:r w:rsidR="00E45666">
              <w:rPr>
                <w:rFonts w:eastAsiaTheme="minorHAnsi"/>
                <w:color w:val="000000"/>
                <w:lang w:eastAsia="en-US"/>
              </w:rPr>
              <w:t xml:space="preserve"> november </w:t>
            </w:r>
            <w:r w:rsidR="0093325B" w:rsidRPr="00AA5C69">
              <w:rPr>
                <w:rFonts w:eastAsiaTheme="minorHAnsi"/>
                <w:color w:val="000000"/>
                <w:lang w:eastAsia="en-US"/>
              </w:rPr>
              <w:t>2022.</w:t>
            </w:r>
          </w:p>
          <w:p w14:paraId="5429A6D1" w14:textId="77777777" w:rsidR="0093325B" w:rsidRPr="00AA5C69" w:rsidRDefault="0093325B" w:rsidP="003640B6">
            <w:pPr>
              <w:rPr>
                <w:rFonts w:eastAsiaTheme="minorHAnsi"/>
                <w:color w:val="000000"/>
                <w:lang w:eastAsia="en-US"/>
              </w:rPr>
            </w:pPr>
          </w:p>
          <w:p w14:paraId="52A5F0DD" w14:textId="52E26679" w:rsidR="00134B86" w:rsidRPr="00134B86" w:rsidRDefault="0093325B" w:rsidP="00134B86">
            <w:pPr>
              <w:pStyle w:val="Default"/>
              <w:rPr>
                <w:b/>
                <w:bCs/>
              </w:rPr>
            </w:pPr>
            <w:r w:rsidRPr="00AA5C69">
              <w:rPr>
                <w:b/>
              </w:rPr>
              <w:t>Ämnen:</w:t>
            </w:r>
            <w:r w:rsidRPr="00AA5C69">
              <w:rPr>
                <w:b/>
              </w:rPr>
              <w:br/>
            </w:r>
            <w:r w:rsidRPr="00AA5C69">
              <w:rPr>
                <w:b/>
              </w:rPr>
              <w:br/>
            </w:r>
            <w:r w:rsidR="00134B86">
              <w:rPr>
                <w:b/>
                <w:bCs/>
              </w:rPr>
              <w:t xml:space="preserve">- </w:t>
            </w:r>
            <w:r w:rsidR="00754084">
              <w:rPr>
                <w:b/>
                <w:bCs/>
              </w:rPr>
              <w:t>Återrapport från möte i rådet den 12 juni 2022</w:t>
            </w:r>
            <w:r w:rsidR="00754084">
              <w:rPr>
                <w:b/>
                <w:bCs/>
              </w:rPr>
              <w:br/>
            </w:r>
            <w:r w:rsidR="00754084">
              <w:rPr>
                <w:b/>
                <w:bCs/>
              </w:rPr>
              <w:br/>
              <w:t>- Återrapport från möte i rådet den 15 juni 2022</w:t>
            </w:r>
            <w:r w:rsidR="00754084">
              <w:rPr>
                <w:b/>
                <w:bCs/>
              </w:rPr>
              <w:br/>
            </w:r>
            <w:r w:rsidR="00754084">
              <w:rPr>
                <w:b/>
                <w:bCs/>
              </w:rPr>
              <w:lastRenderedPageBreak/>
              <w:br/>
              <w:t xml:space="preserve">- Återrapport från informellt ministermöte den </w:t>
            </w:r>
            <w:proofErr w:type="gramStart"/>
            <w:r w:rsidR="00754084">
              <w:rPr>
                <w:b/>
                <w:bCs/>
              </w:rPr>
              <w:t>30-31</w:t>
            </w:r>
            <w:proofErr w:type="gramEnd"/>
            <w:r w:rsidR="00754084">
              <w:rPr>
                <w:b/>
                <w:bCs/>
              </w:rPr>
              <w:t xml:space="preserve"> oktober 2022</w:t>
            </w:r>
            <w:r w:rsidR="006A3E2A">
              <w:rPr>
                <w:b/>
                <w:bCs/>
              </w:rPr>
              <w:br/>
            </w:r>
          </w:p>
          <w:p w14:paraId="5C211448" w14:textId="77777777" w:rsidR="005C2FF2" w:rsidRDefault="00134B86" w:rsidP="006000A1">
            <w:r w:rsidRPr="00754084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</w:t>
            </w:r>
            <w:r w:rsidR="00754084" w:rsidRPr="00754084">
              <w:rPr>
                <w:b/>
                <w:bCs/>
              </w:rPr>
              <w:t xml:space="preserve">Reformen av WTO och förberedelserna inför WTO:s trettonde ministerkonferens </w:t>
            </w:r>
            <w:r w:rsidR="006A3E2A">
              <w:rPr>
                <w:b/>
                <w:bCs/>
              </w:rPr>
              <w:br/>
            </w:r>
            <w:r w:rsidR="006A3E2A" w:rsidRPr="00AA5C69">
              <w:t xml:space="preserve">Ordföranden konstaterade att det fanns stöd för regeringens </w:t>
            </w:r>
            <w:r w:rsidR="006A3E2A">
              <w:t>inriktning.</w:t>
            </w:r>
          </w:p>
          <w:p w14:paraId="7C13E55F" w14:textId="77777777" w:rsidR="005C2FF2" w:rsidRPr="00134B86" w:rsidRDefault="005C2FF2" w:rsidP="005C2FF2">
            <w:pPr>
              <w:pStyle w:val="Default"/>
              <w:rPr>
                <w:b/>
                <w:bCs/>
              </w:rPr>
            </w:pPr>
            <w:r>
              <w:t xml:space="preserve">S-, V- och MP- ledamöterna anmälde avvikande ståndpunkt. </w:t>
            </w:r>
          </w:p>
          <w:p w14:paraId="4FA7C281" w14:textId="5282005B" w:rsidR="00F236B7" w:rsidRPr="00BA7348" w:rsidRDefault="00754084" w:rsidP="006000A1">
            <w:pPr>
              <w:rPr>
                <w:rFonts w:eastAsiaTheme="minorHAnsi"/>
                <w:color w:val="000000"/>
                <w:lang w:eastAsia="en-US"/>
              </w:rPr>
            </w:pPr>
            <w:r w:rsidRPr="00754084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754084">
              <w:rPr>
                <w:b/>
                <w:bCs/>
              </w:rPr>
              <w:t>Handelsförbindelserna mellan EU och USA</w:t>
            </w:r>
            <w:r w:rsidRPr="00754084">
              <w:rPr>
                <w:b/>
                <w:bCs/>
              </w:rPr>
              <w:br/>
            </w:r>
            <w:r w:rsidR="006A3E2A" w:rsidRPr="00AA5C69">
              <w:t xml:space="preserve">Ordföranden konstaterade att det fanns stöd för regeringens </w:t>
            </w:r>
            <w:r w:rsidR="006A3E2A">
              <w:t>inriktning.</w:t>
            </w:r>
            <w:r w:rsidR="006A3E2A">
              <w:br/>
            </w:r>
            <w:r w:rsidRPr="00754084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754084">
              <w:rPr>
                <w:b/>
                <w:bCs/>
              </w:rPr>
              <w:t>Handelsstöd till Ukraina</w:t>
            </w:r>
            <w:r w:rsidRPr="00754084">
              <w:rPr>
                <w:b/>
                <w:bCs/>
              </w:rPr>
              <w:br/>
            </w:r>
            <w:r w:rsidR="005E72E1" w:rsidRPr="00AA5C69">
              <w:t xml:space="preserve">Ordföranden konstaterade att det fanns stöd för regeringens </w:t>
            </w:r>
            <w:r w:rsidR="005E72E1">
              <w:t>inriktning.</w:t>
            </w:r>
            <w:r w:rsidR="005E72E1">
              <w:br/>
            </w:r>
            <w:r w:rsidR="00BA7348">
              <w:rPr>
                <w:b/>
                <w:bCs/>
                <w:color w:val="000000"/>
              </w:rPr>
              <w:br/>
              <w:t>- Övriga frågor:</w:t>
            </w:r>
            <w:r w:rsidR="00BA7348">
              <w:rPr>
                <w:b/>
                <w:bCs/>
                <w:color w:val="000000"/>
              </w:rPr>
              <w:br/>
            </w:r>
            <w:r w:rsidR="00BA7348">
              <w:rPr>
                <w:rFonts w:eastAsiaTheme="minorHAnsi"/>
                <w:color w:val="000000"/>
                <w:lang w:eastAsia="en-US"/>
              </w:rPr>
              <w:t xml:space="preserve">Informell </w:t>
            </w:r>
            <w:r w:rsidR="00F236B7">
              <w:rPr>
                <w:rFonts w:eastAsiaTheme="minorHAnsi"/>
                <w:color w:val="000000"/>
                <w:lang w:eastAsia="en-US"/>
              </w:rPr>
              <w:t>lunchdiskussion om EU:s bilaterala handelsrelationer inklusive pågående frihandelsavtalsförhandlingar.</w:t>
            </w:r>
            <w:r w:rsidR="00F236B7">
              <w:rPr>
                <w:rFonts w:eastAsiaTheme="minorHAnsi"/>
                <w:color w:val="000000"/>
                <w:lang w:eastAsia="en-US"/>
              </w:rPr>
              <w:br/>
              <w:t xml:space="preserve"> </w:t>
            </w:r>
          </w:p>
        </w:tc>
      </w:tr>
      <w:tr w:rsidR="00134B86" w:rsidRPr="00DF4413" w14:paraId="3E963596" w14:textId="77777777" w:rsidTr="003063D1">
        <w:trPr>
          <w:trHeight w:val="568"/>
        </w:trPr>
        <w:tc>
          <w:tcPr>
            <w:tcW w:w="567" w:type="dxa"/>
          </w:tcPr>
          <w:p w14:paraId="587E3BA5" w14:textId="3347F40C" w:rsidR="00134B86" w:rsidRDefault="00134B8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230" w:type="dxa"/>
          </w:tcPr>
          <w:p w14:paraId="09AC1AF3" w14:textId="3021C27C" w:rsidR="00134B86" w:rsidRDefault="00F236B7" w:rsidP="001A5C0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 w:rsidR="00C518E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Landsbygdsminister Peter Kullgren</w:t>
            </w:r>
            <w:r w:rsidR="00C518EE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Näringsdepartementet samt medarbetare från </w:t>
            </w:r>
            <w:r w:rsidR="00C518EE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</w:t>
            </w:r>
            <w:r w:rsidR="00C518EE">
              <w:rPr>
                <w:rFonts w:eastAsiaTheme="minorHAnsi"/>
                <w:color w:val="000000"/>
                <w:lang w:eastAsia="en-US"/>
              </w:rPr>
              <w:t xml:space="preserve">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21</w:t>
            </w:r>
            <w:r w:rsidR="00C518EE">
              <w:rPr>
                <w:rFonts w:eastAsiaTheme="minorHAnsi"/>
                <w:color w:val="000000"/>
                <w:lang w:eastAsia="en-US"/>
              </w:rPr>
              <w:t xml:space="preserve"> november 2022.</w:t>
            </w:r>
          </w:p>
          <w:p w14:paraId="1D4F3FBE" w14:textId="044D17BF" w:rsidR="00C518EE" w:rsidRDefault="00C518EE" w:rsidP="001A5C07">
            <w:pPr>
              <w:rPr>
                <w:rFonts w:eastAsiaTheme="minorHAnsi"/>
                <w:color w:val="000000"/>
                <w:lang w:eastAsia="en-US"/>
              </w:rPr>
            </w:pPr>
          </w:p>
          <w:p w14:paraId="1C94A4F3" w14:textId="3BE4C28C" w:rsidR="00C518EE" w:rsidRPr="00C518EE" w:rsidRDefault="00C518EE" w:rsidP="001A5C0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518EE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3E0BBFA0" w14:textId="77777777" w:rsidR="00C518EE" w:rsidRPr="00C518EE" w:rsidRDefault="00C518EE" w:rsidP="00C518E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518EE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DC30B52" w14:textId="08CAF2F5" w:rsidR="00C518EE" w:rsidRPr="00C518EE" w:rsidRDefault="00C518EE" w:rsidP="00F236B7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lang w:eastAsia="en-US"/>
              </w:rPr>
            </w:pPr>
            <w:r w:rsidRPr="00F236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F236B7" w:rsidRPr="00F236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F236B7">
              <w:rPr>
                <w:rFonts w:eastAsiaTheme="minorHAnsi"/>
                <w:b/>
                <w:bCs/>
                <w:color w:val="000000"/>
                <w:lang w:eastAsia="en-US"/>
              </w:rPr>
              <w:t>17 oktober 2022</w:t>
            </w:r>
            <w:r w:rsidR="00F236B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236B7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Genomförandet av EU:s nya skogsstrategi för 2030</w:t>
            </w:r>
            <w:r w:rsidR="00F236B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236B7" w:rsidRPr="00AA5C69">
              <w:t xml:space="preserve">Ordföranden konstaterade att det fanns stöd för regeringens </w:t>
            </w:r>
            <w:r w:rsidR="00F236B7">
              <w:t>inriktning.</w:t>
            </w: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11F25B93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230" w:type="dxa"/>
          </w:tcPr>
          <w:p w14:paraId="2C1BD936" w14:textId="60547913" w:rsidR="00F236B7" w:rsidRDefault="00F236B7" w:rsidP="00F236B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 - sammanhållning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Landsbygdsminister Peter Kullgren m.fl.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B1513A">
              <w:t xml:space="preserve"> </w:t>
            </w:r>
            <w:r w:rsidR="00B1513A" w:rsidRPr="00B1513A">
              <w:rPr>
                <w:rFonts w:eastAsiaTheme="minorHAnsi"/>
                <w:color w:val="000000"/>
                <w:lang w:eastAsia="en-US"/>
              </w:rPr>
              <w:t>Infrastrukturdepartementet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samt medarbetare från Statsrådsberedningen informerade och samrådde inför möte i rådet den 22 november 2022.</w:t>
            </w:r>
          </w:p>
          <w:p w14:paraId="4368AEDB" w14:textId="77777777" w:rsidR="00F236B7" w:rsidRDefault="00F236B7" w:rsidP="00F236B7">
            <w:pPr>
              <w:rPr>
                <w:rFonts w:eastAsiaTheme="minorHAnsi"/>
                <w:color w:val="000000"/>
                <w:lang w:eastAsia="en-US"/>
              </w:rPr>
            </w:pPr>
          </w:p>
          <w:p w14:paraId="2208D0EA" w14:textId="77777777" w:rsidR="00F236B7" w:rsidRPr="00C518EE" w:rsidRDefault="00F236B7" w:rsidP="00F236B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518EE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4743742E" w14:textId="77777777" w:rsidR="00F236B7" w:rsidRPr="00C518EE" w:rsidRDefault="00F236B7" w:rsidP="00F236B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518EE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0960214" w14:textId="5977220F" w:rsidR="00F236B7" w:rsidRDefault="00F236B7" w:rsidP="00F236B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236B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2 juni 2022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informellt ministermöte den 2 september 2022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Sammanhållningspolitikens långsiktiga effekter på EU:s regioner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AA5C69">
              <w:t xml:space="preserve">Ordföranden konstaterade att det fanns stöd för regeringens </w:t>
            </w:r>
            <w:r>
              <w:t>inriktning.</w:t>
            </w:r>
            <w:r>
              <w:br/>
            </w:r>
            <w:r>
              <w:br/>
            </w:r>
            <w:r w:rsidRPr="00F236B7">
              <w:rPr>
                <w:b/>
                <w:bCs/>
              </w:rPr>
              <w:t>- Slutsatser om sammanhållningspolitiken</w:t>
            </w:r>
            <w:r>
              <w:br/>
            </w:r>
            <w:r w:rsidRPr="00AA5C69">
              <w:t xml:space="preserve">Ordföranden konstaterade att det fanns stöd för regeringens </w:t>
            </w:r>
            <w:r>
              <w:t>ståndpunkt.</w:t>
            </w:r>
            <w:r w:rsidR="00C56256">
              <w:br/>
            </w:r>
            <w:r w:rsidR="00C56256">
              <w:rPr>
                <w:b/>
                <w:bCs/>
                <w:color w:val="000000"/>
              </w:rPr>
              <w:br/>
            </w:r>
            <w:r w:rsidR="00C56256">
              <w:rPr>
                <w:b/>
                <w:bCs/>
                <w:color w:val="000000"/>
              </w:rPr>
              <w:br/>
            </w:r>
          </w:p>
        </w:tc>
      </w:tr>
      <w:tr w:rsidR="00F236B7" w:rsidRPr="00DF4413" w14:paraId="74E8308A" w14:textId="77777777" w:rsidTr="003063D1">
        <w:trPr>
          <w:trHeight w:val="568"/>
        </w:trPr>
        <w:tc>
          <w:tcPr>
            <w:tcW w:w="567" w:type="dxa"/>
          </w:tcPr>
          <w:p w14:paraId="73C1F3FF" w14:textId="06AA1C62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230" w:type="dxa"/>
          </w:tcPr>
          <w:p w14:paraId="548CD6C2" w14:textId="58BF0EA0" w:rsidR="00F236B7" w:rsidRDefault="00F236B7" w:rsidP="00F236B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32538">
              <w:rPr>
                <w:rFonts w:eastAsiaTheme="minorHAnsi"/>
                <w:color w:val="000000"/>
                <w:lang w:eastAsia="en-US"/>
              </w:rPr>
              <w:t>Uppteckningar från sammanträdet den 4 november samt p</w:t>
            </w:r>
            <w:r w:rsidRPr="00930DBC">
              <w:rPr>
                <w:rFonts w:eastAsiaTheme="minorHAnsi"/>
                <w:color w:val="000000"/>
                <w:lang w:eastAsia="en-US"/>
              </w:rPr>
              <w:t>rotokoll från sammanträde</w:t>
            </w:r>
            <w:r w:rsidR="00932538">
              <w:rPr>
                <w:rFonts w:eastAsiaTheme="minorHAnsi"/>
                <w:color w:val="000000"/>
                <w:lang w:eastAsia="en-US"/>
              </w:rPr>
              <w:t xml:space="preserve">t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932538">
              <w:rPr>
                <w:rFonts w:eastAsiaTheme="minorHAnsi"/>
                <w:color w:val="000000"/>
                <w:lang w:eastAsia="en-US"/>
              </w:rPr>
              <w:t>11</w:t>
            </w:r>
            <w:r>
              <w:rPr>
                <w:rFonts w:eastAsiaTheme="minorHAnsi"/>
                <w:color w:val="000000"/>
                <w:lang w:eastAsia="en-US"/>
              </w:rPr>
              <w:t xml:space="preserve"> november. </w:t>
            </w:r>
          </w:p>
          <w:p w14:paraId="3C886D96" w14:textId="77777777" w:rsidR="00F236B7" w:rsidRDefault="00F236B7" w:rsidP="00F236B7">
            <w:pPr>
              <w:rPr>
                <w:rFonts w:eastAsiaTheme="minorHAnsi"/>
                <w:color w:val="000000"/>
                <w:lang w:eastAsia="en-US"/>
              </w:rPr>
            </w:pPr>
          </w:p>
          <w:p w14:paraId="72BA6CAD" w14:textId="6FA20C01" w:rsidR="00F236B7" w:rsidRDefault="00F236B7" w:rsidP="00F236B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6646A1">
              <w:rPr>
                <w:rFonts w:eastAsiaTheme="minorHAnsi"/>
                <w:color w:val="000000"/>
                <w:lang w:eastAsia="en-US"/>
              </w:rPr>
              <w:t>11</w:t>
            </w:r>
            <w:r>
              <w:rPr>
                <w:rFonts w:eastAsiaTheme="minorHAnsi"/>
                <w:color w:val="000000"/>
                <w:lang w:eastAsia="en-US"/>
              </w:rPr>
              <w:t xml:space="preserve"> november 2022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  <w:r w:rsidR="006646A1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932538" w:rsidRPr="00DF4413" w14:paraId="1B31857C" w14:textId="77777777" w:rsidTr="003063D1">
        <w:trPr>
          <w:trHeight w:val="568"/>
        </w:trPr>
        <w:tc>
          <w:tcPr>
            <w:tcW w:w="567" w:type="dxa"/>
          </w:tcPr>
          <w:p w14:paraId="515CD182" w14:textId="16C0C2F5" w:rsidR="00932538" w:rsidRDefault="00932538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6 </w:t>
            </w:r>
          </w:p>
        </w:tc>
        <w:tc>
          <w:tcPr>
            <w:tcW w:w="7230" w:type="dxa"/>
          </w:tcPr>
          <w:p w14:paraId="70DE4CB4" w14:textId="6A99B443" w:rsidR="00932538" w:rsidRPr="00932538" w:rsidRDefault="00932538" w:rsidP="00F236B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cosac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plenarmöte 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13-15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november 2022 i Prag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Ordföranden </w:t>
            </w:r>
            <w:r w:rsidR="00C56256">
              <w:rPr>
                <w:rFonts w:eastAsiaTheme="minorHAnsi"/>
                <w:color w:val="000000"/>
                <w:lang w:eastAsia="en-US"/>
              </w:rPr>
              <w:t>återrapporterade</w:t>
            </w:r>
            <w:r>
              <w:rPr>
                <w:rFonts w:eastAsiaTheme="minorHAnsi"/>
                <w:color w:val="000000"/>
                <w:lang w:eastAsia="en-US"/>
              </w:rPr>
              <w:t xml:space="preserve"> från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cosac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plenarmöte den 13-15 november 2022.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0A489A75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5A3181" w14:textId="2A1C5F26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7B0E7F" w14:textId="14E7E1E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6A88598A" w14:textId="77777777" w:rsidR="006000A1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2AD038B8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77835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1A53E2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481E39" w14:textId="4336C985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DB93A" w14:textId="0017AB9C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1F225E" w14:textId="70762772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D429D6" w14:textId="0955E677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77101D" w14:textId="55B1FACE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EF9B9C" w14:textId="2E31834B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86A2FF" w14:textId="1427E6CF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CE4254" w14:textId="58D37405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316C60C" w14:textId="5BB89938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DAD189" w14:textId="0CA54698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B91F62F" w14:textId="699E2F0E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801EF3" w14:textId="72303B92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6A5470" w14:textId="6D362507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375D4D" w14:textId="54033235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A9EFED" w14:textId="27661451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262A44" w14:textId="5D302714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5802D5" w14:textId="1A7173AE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D6FACEF" w14:textId="104A14AF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83879" w14:textId="276B2498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79C41" w14:textId="25E25CEE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13DED7" w14:textId="2D58C9C7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41B1E2" w14:textId="6D51F5BA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4CDD79" w14:textId="2BD9635E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C5E317" w14:textId="3BA5D04F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353034" w14:textId="0A871C00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49EF0F" w14:textId="3B650218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0E1F12" w14:textId="11CAD2E7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09A7D5" w14:textId="77777777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39DD63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B4C98B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F6BFB6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EF6DB9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3514286" w:rsidR="00D67773" w:rsidRPr="00FB792F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83852AD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E2540">
        <w:rPr>
          <w:b/>
          <w:snapToGrid w:val="0"/>
          <w:lang w:eastAsia="en-US"/>
        </w:rPr>
        <w:t xml:space="preserve">Caroline Hägerhäll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52694E87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F61823">
        <w:rPr>
          <w:b/>
          <w:snapToGrid w:val="0"/>
          <w:lang w:eastAsia="en-US"/>
        </w:rPr>
        <w:t>Hans Wallmark</w:t>
      </w:r>
    </w:p>
    <w:p w14:paraId="2CF67406" w14:textId="77777777" w:rsidR="008730C6" w:rsidRDefault="008730C6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5C00415" w14:textId="77777777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50133C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6D9AB00E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C518EE">
              <w:rPr>
                <w:b/>
                <w:color w:val="000000"/>
                <w:lang w:val="en-GB" w:eastAsia="en-US"/>
              </w:rPr>
              <w:t>1</w:t>
            </w:r>
            <w:r w:rsidR="00EE2540">
              <w:rPr>
                <w:b/>
                <w:color w:val="000000"/>
                <w:lang w:val="en-GB" w:eastAsia="en-US"/>
              </w:rPr>
              <w:t>2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404F2663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EE2540">
              <w:rPr>
                <w:b/>
                <w:color w:val="000000"/>
                <w:sz w:val="22"/>
                <w:szCs w:val="22"/>
                <w:lang w:val="en-GB" w:eastAsia="en-US"/>
              </w:rPr>
              <w:t>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378083B9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4E1E0D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365D201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584A2F4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67942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44725CCB" w:rsidR="00F61823" w:rsidRPr="00DE5153" w:rsidRDefault="00C518EE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46304275" w:rsidR="00F61823" w:rsidRPr="0053205B" w:rsidRDefault="00C518EE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310516FB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1BE24EE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2B4F60A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E1614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54DFAA9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CD689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764CE6E1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157C149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6AAE4D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7F423C7F" w:rsidR="00C518EE" w:rsidRPr="00DE5153" w:rsidRDefault="00EE2540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2B17D098" w:rsidR="00C518EE" w:rsidRPr="00DE5153" w:rsidRDefault="00EE2540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C518EE" w:rsidRPr="00605C66" w:rsidRDefault="00C518EE" w:rsidP="00C518E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DAF35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4BAA25D1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5979B185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10B07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5B18D42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4269421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28E0B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  <w:r w:rsidR="008730C6">
              <w:rPr>
                <w:color w:val="000000"/>
                <w:sz w:val="18"/>
                <w:szCs w:val="18"/>
                <w:lang w:val="en-GB" w:eastAsia="en-US"/>
              </w:rPr>
              <w:t xml:space="preserve"> (S</w:t>
            </w:r>
            <w:r w:rsidR="009D49AE">
              <w:rPr>
                <w:color w:val="000000"/>
                <w:sz w:val="18"/>
                <w:szCs w:val="18"/>
                <w:lang w:val="en-GB" w:eastAsia="en-US"/>
              </w:rPr>
              <w:t>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2C9C190E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7B79EA7A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43465A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3CF0E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3F15988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F61823" w:rsidRPr="00070C4A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ABA68C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3B2467A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30AC2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3E2D3E2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7EA940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5383C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F61823" w:rsidRPr="00166DC1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0F253399" w:rsidR="00F61823" w:rsidRPr="00E67B54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21393001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EE2540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1249E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409911A2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4B464719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1599F8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0FF58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62225C5A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5B3DD377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7D03FD9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F8D4DA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6DE67636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3D51EABB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AF3D3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F61823" w:rsidRPr="00DE5153" w:rsidRDefault="00094C94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0AA6DE2E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3EA640CF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1D236E3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E080D3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10385D" w14:paraId="7587C51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EB4C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479EB4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56A99D2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6F3E68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F61823" w:rsidRPr="0010385D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F0FD5CC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2BB54ABC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AA1D05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4F1299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3081F8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F61823" w:rsidRPr="00DE5153" w:rsidRDefault="00C518EE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53D3D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5170FAA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4157695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73489D1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7777777" w:rsidR="00F61823" w:rsidRPr="00E67B54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91987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C766F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4D89ED2B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3F5C606A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28C11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11D3748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2FD4CD4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B87D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708D1FD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A4F4DF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6CCC727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43BF0BB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77777777" w:rsidR="00C518EE" w:rsidRPr="00605C66" w:rsidRDefault="00C518EE" w:rsidP="00C518E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3FE2999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43FD287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4F6DD7D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13304FDC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C518EE" w:rsidRPr="00605C66" w:rsidRDefault="00C518EE" w:rsidP="00C518E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73D2E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3934B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F61823" w:rsidRPr="00E67B54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0C7AE1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F61823" w:rsidRPr="002C630D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D29317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D94959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CD0B64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200896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720E0CA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946DA1E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6207531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3F74542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D49DD4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55EB9B86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4ABA356D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B9DE9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9339E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22C3AE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7F9700B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77470F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F75E9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B9E1F6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B7D9C9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CB92FD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EA4188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2E400FA4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C518EE" w:rsidRPr="00605C66" w:rsidRDefault="00C518EE" w:rsidP="00C518E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AA72E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C3A34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2A486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EB08B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Johan Hultberg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B7FCC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64A076F4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7B005F1B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50EF02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67D0928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5022F2F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6AA4D24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B7A7F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584D814C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30662F6E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72E5FB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C518EE" w:rsidRPr="00605C66" w:rsidRDefault="00C518EE" w:rsidP="00C518E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B345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0617DD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63CE1F9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A03D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BC930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471A032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6782A8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64DDD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39437C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08FCD1B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68A7D0A9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09890595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7777777" w:rsidR="00C518EE" w:rsidRPr="00605C66" w:rsidRDefault="00C518EE" w:rsidP="00C518E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85E68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B83B26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57478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2E208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188E30E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90C03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9F7CB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9D6A8A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FFE4E6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7D76CF3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D9B6B0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C518EE" w:rsidRPr="00C1609B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43C9552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70D5592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66053529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7777777" w:rsidR="00C518EE" w:rsidRPr="00605C66" w:rsidRDefault="00C518EE" w:rsidP="00C518E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11A21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F61823" w:rsidRPr="00C1609B" w:rsidRDefault="00F61823" w:rsidP="00F618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5B365B3D" w:rsidR="00F61823" w:rsidRPr="00DE5153" w:rsidRDefault="00EE2540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4F57098D" w:rsidR="00F61823" w:rsidRPr="00DE5153" w:rsidRDefault="00EE2540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77777777" w:rsidR="00F61823" w:rsidRPr="00605C66" w:rsidRDefault="00F61823" w:rsidP="00F6182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8C2A3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35D5972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A276EE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1DD39C7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A10E2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48466F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265FE7A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02527E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5916509F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481FBAE7" w:rsidR="00F61823" w:rsidRPr="00DE5153" w:rsidRDefault="00EE254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84C614C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27106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2170004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62299A1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39972E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BB07F4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007C482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46E12" w14:textId="77777777" w:rsidTr="00C9222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9E6C7F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F88F7CD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4FCEBBF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6E6B6C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7FC81FC8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Nicklas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Attefjord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9E825FB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18FE4787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0EE54853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3F1E060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4E4D5AD6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BB58B0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74FA8D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1ACBE05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95A8F2" w14:textId="77777777" w:rsidTr="0050133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F61823" w:rsidRPr="004A267C" w:rsidRDefault="004A267C" w:rsidP="00BB480E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321ABF" w14:paraId="17127D74" w14:textId="77777777" w:rsidTr="0050133C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F61823" w:rsidRPr="00C80B21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2F2C72FB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285520">
              <w:rPr>
                <w:color w:val="000000" w:themeColor="text1"/>
                <w:sz w:val="20"/>
                <w:lang w:eastAsia="en-US"/>
              </w:rPr>
              <w:t>från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2) X </w:t>
            </w:r>
            <w:r w:rsidR="004A267C">
              <w:rPr>
                <w:color w:val="000000" w:themeColor="text1"/>
                <w:sz w:val="20"/>
                <w:lang w:eastAsia="en-US"/>
              </w:rPr>
              <w:t>från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285520"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3872FC82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583474">
        <w:rPr>
          <w:b/>
          <w:color w:val="000000"/>
          <w:lang w:eastAsia="en-US"/>
        </w:rPr>
        <w:t>1</w:t>
      </w:r>
      <w:r w:rsidR="001E4928">
        <w:rPr>
          <w:b/>
          <w:color w:val="000000"/>
          <w:lang w:eastAsia="en-US"/>
        </w:rPr>
        <w:t>2</w:t>
      </w:r>
    </w:p>
    <w:p w14:paraId="3B723ED3" w14:textId="77777777" w:rsidR="00FB4506" w:rsidRDefault="00B52F21" w:rsidP="00FB4506">
      <w:pPr>
        <w:rPr>
          <w:sz w:val="22"/>
          <w:szCs w:val="22"/>
        </w:rPr>
      </w:pPr>
      <w:r w:rsidRPr="00577962">
        <w:rPr>
          <w:b/>
          <w:color w:val="000000"/>
          <w:lang w:eastAsia="en-US"/>
        </w:rPr>
        <w:br/>
      </w:r>
      <w:r w:rsidR="00FB4506">
        <w:rPr>
          <w:b/>
        </w:rPr>
        <w:t>Skriftligt samråd med EU-nämnden</w:t>
      </w:r>
      <w:r w:rsidR="00FB4506" w:rsidRPr="008E31F5">
        <w:t xml:space="preserve"> </w:t>
      </w:r>
      <w:r w:rsidR="00FB4506">
        <w:rPr>
          <w:b/>
          <w:bCs/>
        </w:rPr>
        <w:t xml:space="preserve">gällande </w:t>
      </w:r>
      <w:r w:rsidR="00FB4506" w:rsidRPr="00FB4506">
        <w:rPr>
          <w:b/>
          <w:bCs/>
        </w:rPr>
        <w:t>troliga A-punkter v. 46</w:t>
      </w:r>
      <w:r w:rsidR="00FB4506">
        <w:rPr>
          <w:b/>
          <w:bCs/>
        </w:rPr>
        <w:t>.</w:t>
      </w:r>
      <w:r w:rsidR="00FB4506">
        <w:rPr>
          <w:b/>
          <w:bCs/>
        </w:rPr>
        <w:br/>
      </w:r>
      <w:r w:rsidR="00FB4506" w:rsidRPr="00FB4506">
        <w:t>Samrådet avslutades den 18 november 2022.</w:t>
      </w:r>
      <w:r w:rsidR="00FB4506">
        <w:rPr>
          <w:b/>
          <w:bCs/>
        </w:rPr>
        <w:t xml:space="preserve"> </w:t>
      </w:r>
      <w:r w:rsidR="00FB4506">
        <w:t>Det fanns stöd för regeringens ståndpunkter.</w:t>
      </w:r>
    </w:p>
    <w:p w14:paraId="28E0F43A" w14:textId="77777777" w:rsidR="00FB4506" w:rsidRDefault="00FB4506" w:rsidP="00FB4506"/>
    <w:p w14:paraId="59062B29" w14:textId="77777777" w:rsidR="00FB4506" w:rsidRPr="00FB4506" w:rsidRDefault="00FB4506" w:rsidP="00FB4506">
      <w:pPr>
        <w:rPr>
          <w:b/>
          <w:bCs/>
          <w:sz w:val="22"/>
          <w:szCs w:val="22"/>
          <w:u w:val="single"/>
        </w:rPr>
      </w:pPr>
      <w:r w:rsidRPr="00FB4506">
        <w:rPr>
          <w:sz w:val="22"/>
          <w:szCs w:val="22"/>
          <w:u w:val="single"/>
        </w:rPr>
        <w:t>Följande avvikande ståndpunkter har anmälts av Vänsterpartiet:</w:t>
      </w:r>
    </w:p>
    <w:p w14:paraId="5CB2B8C8" w14:textId="77777777" w:rsidR="00FB4506" w:rsidRPr="0010385D" w:rsidRDefault="00FB4506" w:rsidP="00FB4506">
      <w:pPr>
        <w:rPr>
          <w:b/>
          <w:bCs/>
          <w:sz w:val="22"/>
          <w:szCs w:val="22"/>
          <w:lang w:val="en-GB"/>
        </w:rPr>
      </w:pPr>
      <w:r w:rsidRPr="0010385D">
        <w:rPr>
          <w:b/>
          <w:bCs/>
          <w:sz w:val="22"/>
          <w:szCs w:val="22"/>
          <w:lang w:val="en-GB"/>
        </w:rPr>
        <w:t>“10. Council Decision authorising the opening of negotiations with Albania on operational activities carried out by the European Border and Coast Guard Agency in Albania</w:t>
      </w:r>
    </w:p>
    <w:p w14:paraId="4F67B848" w14:textId="77777777" w:rsidR="00FB4506" w:rsidRPr="00FB4506" w:rsidRDefault="00FB4506" w:rsidP="00FB4506">
      <w:pPr>
        <w:rPr>
          <w:sz w:val="22"/>
          <w:szCs w:val="22"/>
        </w:rPr>
      </w:pPr>
      <w:r w:rsidRPr="00FB4506">
        <w:rPr>
          <w:sz w:val="22"/>
          <w:szCs w:val="22"/>
        </w:rPr>
        <w:t xml:space="preserve">Regeringen borde rösta nej till att inleda förhandlingar om ett statusavtal som möjliggör för </w:t>
      </w:r>
      <w:proofErr w:type="spellStart"/>
      <w:r w:rsidRPr="00FB4506">
        <w:rPr>
          <w:sz w:val="22"/>
          <w:szCs w:val="22"/>
        </w:rPr>
        <w:t>Frontex</w:t>
      </w:r>
      <w:proofErr w:type="spellEnd"/>
      <w:r w:rsidRPr="00FB4506">
        <w:rPr>
          <w:sz w:val="22"/>
          <w:szCs w:val="22"/>
        </w:rPr>
        <w:t xml:space="preserve"> att operera i Albanien.”</w:t>
      </w:r>
      <w:bookmarkStart w:id="1" w:name="_Toc119505680"/>
    </w:p>
    <w:p w14:paraId="59158403" w14:textId="77777777" w:rsidR="00FB4506" w:rsidRPr="00FB4506" w:rsidRDefault="00FB4506" w:rsidP="00FB4506">
      <w:pPr>
        <w:rPr>
          <w:sz w:val="22"/>
          <w:szCs w:val="22"/>
        </w:rPr>
      </w:pPr>
    </w:p>
    <w:p w14:paraId="29764979" w14:textId="77777777" w:rsidR="00FB4506" w:rsidRPr="00FB4506" w:rsidRDefault="00FB4506" w:rsidP="00FB4506">
      <w:pPr>
        <w:rPr>
          <w:b/>
          <w:bCs/>
          <w:sz w:val="22"/>
          <w:szCs w:val="22"/>
          <w:lang w:val="en-GB"/>
        </w:rPr>
      </w:pPr>
      <w:r w:rsidRPr="00FB4506">
        <w:rPr>
          <w:b/>
          <w:bCs/>
          <w:sz w:val="22"/>
          <w:szCs w:val="22"/>
          <w:lang w:val="en-GB"/>
        </w:rPr>
        <w:t>11.Council Decision authorising the opening of negotiations with Bosnia and Herzegovina on operational activities carried out by the European Border and Coast Guard Agency in Bosnia and Herzegovina</w:t>
      </w:r>
      <w:bookmarkEnd w:id="1"/>
    </w:p>
    <w:p w14:paraId="39ED6D64" w14:textId="77777777" w:rsidR="00FB4506" w:rsidRPr="00FB4506" w:rsidRDefault="00FB4506" w:rsidP="00FB4506">
      <w:pPr>
        <w:rPr>
          <w:sz w:val="22"/>
          <w:szCs w:val="22"/>
          <w:lang w:val="en-GB"/>
        </w:rPr>
      </w:pPr>
    </w:p>
    <w:p w14:paraId="648A6546" w14:textId="77777777" w:rsidR="00FB4506" w:rsidRPr="00FB4506" w:rsidRDefault="00FB4506" w:rsidP="00FB4506">
      <w:pPr>
        <w:rPr>
          <w:sz w:val="22"/>
          <w:szCs w:val="22"/>
        </w:rPr>
      </w:pPr>
      <w:r w:rsidRPr="00FB4506">
        <w:rPr>
          <w:sz w:val="22"/>
          <w:szCs w:val="22"/>
        </w:rPr>
        <w:t xml:space="preserve">Regeringen borde rösta nej att inleda förhandlingar om ett statusavtal som möjliggör för </w:t>
      </w:r>
      <w:proofErr w:type="spellStart"/>
      <w:r w:rsidRPr="00FB4506">
        <w:rPr>
          <w:sz w:val="22"/>
          <w:szCs w:val="22"/>
        </w:rPr>
        <w:t>Frontex</w:t>
      </w:r>
      <w:proofErr w:type="spellEnd"/>
      <w:r w:rsidRPr="00FB4506">
        <w:rPr>
          <w:sz w:val="22"/>
          <w:szCs w:val="22"/>
        </w:rPr>
        <w:t xml:space="preserve"> att operera i Bosnien och Hercegovina.</w:t>
      </w:r>
    </w:p>
    <w:p w14:paraId="2C5C275E" w14:textId="77777777" w:rsidR="00FB4506" w:rsidRPr="0010385D" w:rsidRDefault="00FB4506" w:rsidP="00FB4506">
      <w:pPr>
        <w:pStyle w:val="Rubrik1"/>
        <w:rPr>
          <w:rFonts w:ascii="Times New Roman" w:hAnsi="Times New Roman"/>
          <w:sz w:val="22"/>
          <w:szCs w:val="22"/>
          <w:lang w:val="en-GB"/>
        </w:rPr>
      </w:pPr>
      <w:bookmarkStart w:id="2" w:name="_Toc119505681"/>
      <w:r w:rsidRPr="0010385D">
        <w:rPr>
          <w:rFonts w:ascii="Times New Roman" w:hAnsi="Times New Roman"/>
          <w:sz w:val="22"/>
          <w:szCs w:val="22"/>
          <w:lang w:val="en-GB"/>
        </w:rPr>
        <w:t>12.Council Decision authorising the opening of negotiations with Montenegro on operational activities carried out by the European Border and Coast Guard Agency in Montenegro</w:t>
      </w:r>
      <w:bookmarkEnd w:id="2"/>
    </w:p>
    <w:p w14:paraId="665EFB11" w14:textId="77777777" w:rsidR="00FB4506" w:rsidRPr="0010385D" w:rsidRDefault="00FB4506" w:rsidP="00FB4506">
      <w:pPr>
        <w:rPr>
          <w:rFonts w:eastAsiaTheme="minorHAnsi"/>
          <w:sz w:val="22"/>
          <w:szCs w:val="22"/>
          <w:lang w:val="en-GB"/>
        </w:rPr>
      </w:pPr>
    </w:p>
    <w:p w14:paraId="64D2A4AC" w14:textId="77777777" w:rsidR="00FB4506" w:rsidRPr="00FB4506" w:rsidRDefault="00FB4506" w:rsidP="00FB4506">
      <w:pPr>
        <w:rPr>
          <w:sz w:val="22"/>
          <w:szCs w:val="22"/>
        </w:rPr>
      </w:pPr>
      <w:r w:rsidRPr="00FB4506">
        <w:rPr>
          <w:sz w:val="22"/>
          <w:szCs w:val="22"/>
        </w:rPr>
        <w:t xml:space="preserve">Regeringen borde rösta nej att inleda förhandlingar om ett statusavtal som möjliggör för </w:t>
      </w:r>
      <w:proofErr w:type="spellStart"/>
      <w:r w:rsidRPr="00FB4506">
        <w:rPr>
          <w:sz w:val="22"/>
          <w:szCs w:val="22"/>
        </w:rPr>
        <w:t>Frontex</w:t>
      </w:r>
      <w:proofErr w:type="spellEnd"/>
      <w:r w:rsidRPr="00FB4506">
        <w:rPr>
          <w:sz w:val="22"/>
          <w:szCs w:val="22"/>
        </w:rPr>
        <w:t xml:space="preserve"> att operera i Montenegro.</w:t>
      </w:r>
    </w:p>
    <w:p w14:paraId="0004511A" w14:textId="77777777" w:rsidR="00FB4506" w:rsidRPr="0010385D" w:rsidRDefault="00FB4506" w:rsidP="00FB4506">
      <w:pPr>
        <w:pStyle w:val="Rubrik1"/>
        <w:rPr>
          <w:rFonts w:ascii="Times New Roman" w:hAnsi="Times New Roman"/>
          <w:sz w:val="22"/>
          <w:szCs w:val="22"/>
          <w:lang w:val="en-GB"/>
        </w:rPr>
      </w:pPr>
      <w:r w:rsidRPr="0010385D">
        <w:rPr>
          <w:rFonts w:ascii="Times New Roman" w:hAnsi="Times New Roman"/>
          <w:sz w:val="22"/>
          <w:szCs w:val="22"/>
          <w:lang w:val="en-GB"/>
        </w:rPr>
        <w:t xml:space="preserve">13 </w:t>
      </w:r>
      <w:bookmarkStart w:id="3" w:name="_Toc119505682"/>
      <w:r w:rsidRPr="0010385D">
        <w:rPr>
          <w:rFonts w:ascii="Times New Roman" w:hAnsi="Times New Roman"/>
          <w:sz w:val="22"/>
          <w:szCs w:val="22"/>
          <w:lang w:val="en-GB"/>
        </w:rPr>
        <w:t>Council Decision authorising the opening of negotiations with Serbia on operational activities carried out by the European Border and Coast Guard Agency in Serbia</w:t>
      </w:r>
      <w:bookmarkEnd w:id="3"/>
    </w:p>
    <w:p w14:paraId="40A7F42A" w14:textId="77777777" w:rsidR="00FB4506" w:rsidRPr="0010385D" w:rsidRDefault="00FB4506" w:rsidP="00FB4506">
      <w:pPr>
        <w:rPr>
          <w:rFonts w:eastAsiaTheme="minorHAnsi"/>
          <w:b/>
          <w:bCs/>
          <w:sz w:val="22"/>
          <w:szCs w:val="22"/>
          <w:lang w:val="en-GB"/>
        </w:rPr>
      </w:pPr>
    </w:p>
    <w:p w14:paraId="064EBF10" w14:textId="77777777" w:rsidR="00FB4506" w:rsidRPr="00FB4506" w:rsidRDefault="00FB4506" w:rsidP="00FB4506">
      <w:pPr>
        <w:rPr>
          <w:sz w:val="22"/>
          <w:szCs w:val="22"/>
        </w:rPr>
      </w:pPr>
      <w:r w:rsidRPr="00FB4506">
        <w:rPr>
          <w:sz w:val="22"/>
          <w:szCs w:val="22"/>
        </w:rPr>
        <w:t xml:space="preserve">Regeringen borde rösta nej att inleda förhandlingar om ett statusavtal som möjliggör för </w:t>
      </w:r>
      <w:proofErr w:type="spellStart"/>
      <w:r w:rsidRPr="00FB4506">
        <w:rPr>
          <w:sz w:val="22"/>
          <w:szCs w:val="22"/>
        </w:rPr>
        <w:t>Frontex</w:t>
      </w:r>
      <w:proofErr w:type="spellEnd"/>
      <w:r w:rsidRPr="00FB4506">
        <w:rPr>
          <w:sz w:val="22"/>
          <w:szCs w:val="22"/>
        </w:rPr>
        <w:t xml:space="preserve"> att operera i Serbien.”</w:t>
      </w:r>
    </w:p>
    <w:p w14:paraId="160474F3" w14:textId="77777777" w:rsidR="00FB4506" w:rsidRDefault="00FB4506" w:rsidP="00FB4506"/>
    <w:p w14:paraId="1E48F22B" w14:textId="2061A79C" w:rsidR="00FB4506" w:rsidRDefault="00FB4506" w:rsidP="00FB4506">
      <w:r>
        <w:rPr>
          <w:b/>
        </w:rPr>
        <w:t>Skriftligt samråd med EU-nämnden</w:t>
      </w:r>
      <w:r w:rsidRPr="00FB4506">
        <w:rPr>
          <w:b/>
          <w:bCs/>
        </w:rPr>
        <w:t xml:space="preserve"> gällande</w:t>
      </w:r>
      <w:r w:rsidRPr="00FB4506">
        <w:rPr>
          <w:i/>
          <w:iCs/>
        </w:rPr>
        <w:t xml:space="preserve"> </w:t>
      </w:r>
      <w:r w:rsidRPr="00FB4506">
        <w:rPr>
          <w:b/>
          <w:bCs/>
        </w:rPr>
        <w:t xml:space="preserve">EU central </w:t>
      </w:r>
      <w:proofErr w:type="spellStart"/>
      <w:r w:rsidRPr="00FB4506">
        <w:rPr>
          <w:b/>
          <w:bCs/>
        </w:rPr>
        <w:t>Asia</w:t>
      </w:r>
      <w:proofErr w:type="spellEnd"/>
      <w:r w:rsidRPr="00FB4506">
        <w:rPr>
          <w:b/>
          <w:bCs/>
        </w:rPr>
        <w:t xml:space="preserve"> </w:t>
      </w:r>
      <w:proofErr w:type="spellStart"/>
      <w:r w:rsidRPr="00FB4506">
        <w:rPr>
          <w:b/>
          <w:bCs/>
        </w:rPr>
        <w:t>sustainable</w:t>
      </w:r>
      <w:proofErr w:type="spellEnd"/>
      <w:r w:rsidRPr="00FB4506">
        <w:rPr>
          <w:b/>
          <w:bCs/>
        </w:rPr>
        <w:t xml:space="preserve"> </w:t>
      </w:r>
      <w:proofErr w:type="spellStart"/>
      <w:r w:rsidRPr="00FB4506">
        <w:rPr>
          <w:b/>
          <w:bCs/>
        </w:rPr>
        <w:t>connetivity</w:t>
      </w:r>
      <w:proofErr w:type="spellEnd"/>
      <w:r w:rsidRPr="00FB4506">
        <w:rPr>
          <w:b/>
          <w:bCs/>
        </w:rPr>
        <w:t xml:space="preserve"> </w:t>
      </w:r>
      <w:proofErr w:type="spellStart"/>
      <w:r w:rsidRPr="00FB4506">
        <w:rPr>
          <w:b/>
          <w:bCs/>
        </w:rPr>
        <w:t>conference</w:t>
      </w:r>
      <w:proofErr w:type="spellEnd"/>
      <w:r w:rsidRPr="00FB4506">
        <w:rPr>
          <w:b/>
          <w:bCs/>
        </w:rPr>
        <w:t xml:space="preserve"> </w:t>
      </w:r>
      <w:proofErr w:type="spellStart"/>
      <w:r w:rsidRPr="00FB4506">
        <w:rPr>
          <w:b/>
          <w:bCs/>
        </w:rPr>
        <w:t>declaration</w:t>
      </w:r>
      <w:proofErr w:type="spellEnd"/>
      <w:r>
        <w:rPr>
          <w:b/>
          <w:bCs/>
        </w:rPr>
        <w:t>.</w:t>
      </w:r>
      <w:r>
        <w:rPr>
          <w:b/>
          <w:bCs/>
        </w:rPr>
        <w:br/>
      </w:r>
      <w:r w:rsidRPr="00FB4506">
        <w:t>Samrådet avslutades den 16 november 2022.</w:t>
      </w:r>
      <w:r>
        <w:rPr>
          <w:b/>
          <w:bCs/>
        </w:rPr>
        <w:t xml:space="preserve"> </w:t>
      </w:r>
      <w:r>
        <w:t>Det fanns stöd för regeringens ståndpunkt. Ingen avvikande ståndpunkt har inkommit.</w:t>
      </w:r>
    </w:p>
    <w:p w14:paraId="54B651AE" w14:textId="6F7F2340" w:rsidR="00FB4506" w:rsidRDefault="00FB4506" w:rsidP="00FB4506">
      <w:pPr>
        <w:rPr>
          <w:b/>
        </w:rPr>
      </w:pPr>
    </w:p>
    <w:p w14:paraId="48E60C49" w14:textId="77777777" w:rsidR="00FB4506" w:rsidRDefault="00FB4506" w:rsidP="00FB4506">
      <w:pPr>
        <w:rPr>
          <w:sz w:val="22"/>
          <w:szCs w:val="22"/>
        </w:rPr>
      </w:pPr>
      <w:r>
        <w:rPr>
          <w:b/>
        </w:rPr>
        <w:t>Skriftligt samråd med EU-nämnden</w:t>
      </w:r>
      <w:r w:rsidRPr="008E31F5">
        <w:t xml:space="preserve"> </w:t>
      </w:r>
      <w:r>
        <w:rPr>
          <w:b/>
          <w:bCs/>
        </w:rPr>
        <w:t>gällande</w:t>
      </w:r>
      <w:r>
        <w:t xml:space="preserve"> </w:t>
      </w:r>
      <w:r w:rsidRPr="00FB4506">
        <w:rPr>
          <w:b/>
          <w:bCs/>
        </w:rPr>
        <w:t xml:space="preserve">troliga A-punkter v 45 </w:t>
      </w:r>
      <w:r>
        <w:rPr>
          <w:b/>
          <w:bCs/>
        </w:rPr>
        <w:t>–</w:t>
      </w:r>
      <w:r w:rsidRPr="00FB4506">
        <w:rPr>
          <w:b/>
          <w:bCs/>
        </w:rPr>
        <w:t xml:space="preserve"> </w:t>
      </w:r>
      <w:proofErr w:type="spellStart"/>
      <w:r w:rsidRPr="00FB4506">
        <w:rPr>
          <w:b/>
          <w:bCs/>
        </w:rPr>
        <w:t>kompl</w:t>
      </w:r>
      <w:proofErr w:type="spellEnd"/>
      <w:r>
        <w:t>.</w:t>
      </w:r>
      <w:r w:rsidRPr="00FB4506">
        <w:br/>
      </w:r>
      <w:r>
        <w:t xml:space="preserve">Samrådet avslutades den 14 november 2022. Det fanns stöd för regeringens ståndpunkter. </w:t>
      </w:r>
      <w:proofErr w:type="gramStart"/>
      <w:r>
        <w:t>Ingen  avvikande</w:t>
      </w:r>
      <w:proofErr w:type="gramEnd"/>
      <w:r>
        <w:t xml:space="preserve"> ståndpunkt har anmälts. </w:t>
      </w:r>
    </w:p>
    <w:p w14:paraId="617E6498" w14:textId="77777777" w:rsidR="00FB4506" w:rsidRDefault="00FB4506" w:rsidP="00FB4506">
      <w:pPr>
        <w:rPr>
          <w:b/>
        </w:rPr>
      </w:pPr>
    </w:p>
    <w:p w14:paraId="05672AF0" w14:textId="217EE8E4" w:rsidR="00FB4506" w:rsidRDefault="00FB4506" w:rsidP="00FB4506">
      <w:pPr>
        <w:rPr>
          <w:sz w:val="22"/>
          <w:szCs w:val="22"/>
        </w:rPr>
      </w:pPr>
      <w:r>
        <w:rPr>
          <w:b/>
        </w:rPr>
        <w:t>Skriftligt samråd med EU-nämnden</w:t>
      </w:r>
      <w:r w:rsidRPr="008E31F5">
        <w:t xml:space="preserve"> </w:t>
      </w:r>
      <w:r>
        <w:rPr>
          <w:b/>
          <w:bCs/>
        </w:rPr>
        <w:t>gällande</w:t>
      </w:r>
      <w:r>
        <w:t xml:space="preserve"> </w:t>
      </w:r>
      <w:r w:rsidRPr="00FB4506">
        <w:rPr>
          <w:b/>
        </w:rPr>
        <w:t>19:e partsmötet CITES</w:t>
      </w:r>
      <w:r>
        <w:rPr>
          <w:b/>
        </w:rPr>
        <w:br/>
      </w:r>
      <w:r>
        <w:rPr>
          <w:bCs/>
        </w:rPr>
        <w:t>Samrådet avslutades den 1</w:t>
      </w:r>
      <w:r w:rsidR="00C37916">
        <w:rPr>
          <w:bCs/>
        </w:rPr>
        <w:t>4</w:t>
      </w:r>
      <w:r>
        <w:rPr>
          <w:bCs/>
        </w:rPr>
        <w:t xml:space="preserve"> november 2022. </w:t>
      </w:r>
      <w:r>
        <w:t xml:space="preserve">Det fanns stöd för regeringens ståndpunkt. </w:t>
      </w:r>
      <w:proofErr w:type="gramStart"/>
      <w:r>
        <w:t>Ingen  avvikande</w:t>
      </w:r>
      <w:proofErr w:type="gramEnd"/>
      <w:r>
        <w:t xml:space="preserve"> ståndpunkt har anmälts. </w:t>
      </w:r>
    </w:p>
    <w:p w14:paraId="3B6CD472" w14:textId="77777777" w:rsidR="00FB4506" w:rsidRDefault="00FB4506" w:rsidP="006E50B8">
      <w:pPr>
        <w:rPr>
          <w:b/>
        </w:rPr>
      </w:pPr>
    </w:p>
    <w:p w14:paraId="7F1288F8" w14:textId="50BAFCA9" w:rsidR="006E50B8" w:rsidRPr="008E31F5" w:rsidRDefault="006E50B8" w:rsidP="001E4928">
      <w:pPr>
        <w:rPr>
          <w:sz w:val="22"/>
          <w:szCs w:val="22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51D8483" w14:textId="77777777" w:rsidR="006E50B8" w:rsidRPr="008E31F5" w:rsidRDefault="006E50B8" w:rsidP="006E50B8"/>
    <w:p w14:paraId="024C11F9" w14:textId="58715727" w:rsidR="002026FE" w:rsidRDefault="002026FE" w:rsidP="00583474">
      <w:pPr>
        <w:rPr>
          <w:b/>
        </w:rPr>
      </w:pPr>
    </w:p>
    <w:sectPr w:rsidR="002026F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C17" w14:textId="77777777" w:rsidR="00CB0C3B" w:rsidRDefault="00CB0C3B" w:rsidP="00011EB2">
      <w:r>
        <w:separator/>
      </w:r>
    </w:p>
  </w:endnote>
  <w:endnote w:type="continuationSeparator" w:id="0">
    <w:p w14:paraId="590840D5" w14:textId="77777777" w:rsidR="00CB0C3B" w:rsidRDefault="00CB0C3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0A0" w14:textId="77777777" w:rsidR="00CB0C3B" w:rsidRDefault="00CB0C3B" w:rsidP="00011EB2">
      <w:r>
        <w:separator/>
      </w:r>
    </w:p>
  </w:footnote>
  <w:footnote w:type="continuationSeparator" w:id="0">
    <w:p w14:paraId="3004B227" w14:textId="77777777" w:rsidR="00CB0C3B" w:rsidRDefault="00CB0C3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37D"/>
    <w:multiLevelType w:val="hybridMultilevel"/>
    <w:tmpl w:val="EF180488"/>
    <w:lvl w:ilvl="0" w:tplc="877E606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8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0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2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9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42"/>
  </w:num>
  <w:num w:numId="7">
    <w:abstractNumId w:val="1"/>
  </w:num>
  <w:num w:numId="8">
    <w:abstractNumId w:val="31"/>
  </w:num>
  <w:num w:numId="9">
    <w:abstractNumId w:val="16"/>
  </w:num>
  <w:num w:numId="10">
    <w:abstractNumId w:val="38"/>
  </w:num>
  <w:num w:numId="11">
    <w:abstractNumId w:val="11"/>
  </w:num>
  <w:num w:numId="12">
    <w:abstractNumId w:val="24"/>
  </w:num>
  <w:num w:numId="13">
    <w:abstractNumId w:val="35"/>
  </w:num>
  <w:num w:numId="14">
    <w:abstractNumId w:val="19"/>
  </w:num>
  <w:num w:numId="15">
    <w:abstractNumId w:val="7"/>
  </w:num>
  <w:num w:numId="16">
    <w:abstractNumId w:val="14"/>
  </w:num>
  <w:num w:numId="17">
    <w:abstractNumId w:val="32"/>
  </w:num>
  <w:num w:numId="18">
    <w:abstractNumId w:val="18"/>
  </w:num>
  <w:num w:numId="19">
    <w:abstractNumId w:val="17"/>
  </w:num>
  <w:num w:numId="20">
    <w:abstractNumId w:val="21"/>
  </w:num>
  <w:num w:numId="21">
    <w:abstractNumId w:val="34"/>
  </w:num>
  <w:num w:numId="22">
    <w:abstractNumId w:val="41"/>
  </w:num>
  <w:num w:numId="23">
    <w:abstractNumId w:val="2"/>
  </w:num>
  <w:num w:numId="24">
    <w:abstractNumId w:val="40"/>
  </w:num>
  <w:num w:numId="25">
    <w:abstractNumId w:val="23"/>
  </w:num>
  <w:num w:numId="26">
    <w:abstractNumId w:val="43"/>
  </w:num>
  <w:num w:numId="27">
    <w:abstractNumId w:val="43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0"/>
  </w:num>
  <w:num w:numId="29">
    <w:abstractNumId w:val="36"/>
  </w:num>
  <w:num w:numId="30">
    <w:abstractNumId w:val="3"/>
  </w:num>
  <w:num w:numId="31">
    <w:abstractNumId w:val="25"/>
  </w:num>
  <w:num w:numId="32">
    <w:abstractNumId w:val="15"/>
  </w:num>
  <w:num w:numId="33">
    <w:abstractNumId w:val="13"/>
  </w:num>
  <w:num w:numId="34">
    <w:abstractNumId w:val="5"/>
  </w:num>
  <w:num w:numId="35">
    <w:abstractNumId w:val="26"/>
  </w:num>
  <w:num w:numId="36">
    <w:abstractNumId w:val="39"/>
  </w:num>
  <w:num w:numId="37">
    <w:abstractNumId w:val="22"/>
  </w:num>
  <w:num w:numId="38">
    <w:abstractNumId w:val="37"/>
  </w:num>
  <w:num w:numId="39">
    <w:abstractNumId w:val="28"/>
  </w:num>
  <w:num w:numId="40">
    <w:abstractNumId w:val="10"/>
  </w:num>
  <w:num w:numId="41">
    <w:abstractNumId w:val="33"/>
  </w:num>
  <w:num w:numId="42">
    <w:abstractNumId w:val="1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29DE"/>
    <w:rsid w:val="003635D1"/>
    <w:rsid w:val="003640B6"/>
    <w:rsid w:val="00364639"/>
    <w:rsid w:val="00364CC8"/>
    <w:rsid w:val="00364D87"/>
    <w:rsid w:val="003655CB"/>
    <w:rsid w:val="00366EA9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6A1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000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4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4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</TotalTime>
  <Pages>8</Pages>
  <Words>1336</Words>
  <Characters>7818</Characters>
  <Application>Microsoft Office Word</Application>
  <DocSecurity>0</DocSecurity>
  <Lines>1303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8</cp:revision>
  <cp:lastPrinted>2022-10-26T12:08:00Z</cp:lastPrinted>
  <dcterms:created xsi:type="dcterms:W3CDTF">2022-11-24T08:43:00Z</dcterms:created>
  <dcterms:modified xsi:type="dcterms:W3CDTF">2022-11-24T14:29:00Z</dcterms:modified>
</cp:coreProperties>
</file>