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B7731" w:rsidRPr="009F19DC">
        <w:tblPrEx>
          <w:tblCellMar>
            <w:top w:w="0" w:type="dxa"/>
            <w:bottom w:w="0" w:type="dxa"/>
          </w:tblCellMar>
        </w:tblPrEx>
        <w:tc>
          <w:tcPr>
            <w:tcW w:w="2268" w:type="dxa"/>
          </w:tcPr>
          <w:p w:rsidR="000B7731" w:rsidRPr="009F19DC" w:rsidRDefault="000B7731">
            <w:pPr>
              <w:framePr w:w="4400" w:h="1644" w:wrap="notBeside" w:vAnchor="page" w:hAnchor="page" w:x="6573" w:y="721"/>
              <w:rPr>
                <w:rFonts w:ascii="TradeGothic" w:hAnsi="TradeGothic"/>
                <w:i/>
                <w:sz w:val="18"/>
              </w:rPr>
            </w:pPr>
          </w:p>
        </w:tc>
        <w:tc>
          <w:tcPr>
            <w:tcW w:w="2347" w:type="dxa"/>
            <w:gridSpan w:val="2"/>
          </w:tcPr>
          <w:p w:rsidR="000B7731" w:rsidRPr="009F19DC" w:rsidRDefault="000B7731">
            <w:pPr>
              <w:framePr w:w="4400" w:h="1644" w:wrap="notBeside" w:vAnchor="page" w:hAnchor="page" w:x="6573" w:y="721"/>
              <w:rPr>
                <w:rFonts w:ascii="TradeGothic" w:hAnsi="TradeGothic"/>
                <w:i/>
                <w:sz w:val="18"/>
              </w:rPr>
            </w:pPr>
          </w:p>
        </w:tc>
      </w:tr>
      <w:tr w:rsidR="000B7731" w:rsidRPr="009F19DC">
        <w:tblPrEx>
          <w:tblCellMar>
            <w:top w:w="0" w:type="dxa"/>
            <w:bottom w:w="0" w:type="dxa"/>
          </w:tblCellMar>
        </w:tblPrEx>
        <w:trPr>
          <w:cantSplit/>
        </w:trPr>
        <w:tc>
          <w:tcPr>
            <w:tcW w:w="4615" w:type="dxa"/>
            <w:gridSpan w:val="3"/>
          </w:tcPr>
          <w:p w:rsidR="000B7731" w:rsidRPr="009F19DC" w:rsidRDefault="000B7731">
            <w:pPr>
              <w:framePr w:w="4400" w:h="1644" w:wrap="notBeside" w:vAnchor="page" w:hAnchor="page" w:x="6573" w:y="721"/>
              <w:rPr>
                <w:rFonts w:ascii="TradeGothic" w:hAnsi="TradeGothic"/>
                <w:b/>
                <w:sz w:val="22"/>
              </w:rPr>
            </w:pPr>
            <w:r w:rsidRPr="009F19DC">
              <w:rPr>
                <w:rFonts w:ascii="TradeGothic" w:hAnsi="TradeGothic"/>
                <w:b/>
                <w:sz w:val="22"/>
              </w:rPr>
              <w:t>Rådspromemoria</w:t>
            </w:r>
          </w:p>
        </w:tc>
      </w:tr>
      <w:tr w:rsidR="000B7731" w:rsidRPr="009F19DC">
        <w:tblPrEx>
          <w:tblCellMar>
            <w:top w:w="0" w:type="dxa"/>
            <w:bottom w:w="0" w:type="dxa"/>
          </w:tblCellMar>
        </w:tblPrEx>
        <w:tc>
          <w:tcPr>
            <w:tcW w:w="3402" w:type="dxa"/>
            <w:gridSpan w:val="2"/>
          </w:tcPr>
          <w:p w:rsidR="000B7731" w:rsidRPr="009F19DC" w:rsidRDefault="000B7731">
            <w:pPr>
              <w:framePr w:w="4400" w:h="1644" w:wrap="notBeside" w:vAnchor="page" w:hAnchor="page" w:x="6573" w:y="721"/>
            </w:pPr>
          </w:p>
        </w:tc>
        <w:tc>
          <w:tcPr>
            <w:tcW w:w="1213" w:type="dxa"/>
          </w:tcPr>
          <w:p w:rsidR="000B7731" w:rsidRPr="009F19DC" w:rsidRDefault="000B7731">
            <w:pPr>
              <w:framePr w:w="4400" w:h="1644" w:wrap="notBeside" w:vAnchor="page" w:hAnchor="page" w:x="6573" w:y="721"/>
            </w:pPr>
          </w:p>
        </w:tc>
      </w:tr>
      <w:tr w:rsidR="000B7731" w:rsidRPr="009F19DC">
        <w:tblPrEx>
          <w:tblCellMar>
            <w:top w:w="0" w:type="dxa"/>
            <w:bottom w:w="0" w:type="dxa"/>
          </w:tblCellMar>
        </w:tblPrEx>
        <w:tc>
          <w:tcPr>
            <w:tcW w:w="2268" w:type="dxa"/>
          </w:tcPr>
          <w:p w:rsidR="000B7731" w:rsidRPr="009F19DC" w:rsidRDefault="00236C24">
            <w:pPr>
              <w:framePr w:w="4400" w:h="1644" w:wrap="notBeside" w:vAnchor="page" w:hAnchor="page" w:x="6573" w:y="721"/>
            </w:pPr>
            <w:r w:rsidRPr="009F19DC">
              <w:t>2009-12</w:t>
            </w:r>
            <w:r w:rsidR="00C40F78" w:rsidRPr="009F19DC">
              <w:t>-</w:t>
            </w:r>
            <w:r w:rsidRPr="009F19DC">
              <w:t>03</w:t>
            </w:r>
          </w:p>
        </w:tc>
        <w:tc>
          <w:tcPr>
            <w:tcW w:w="2347" w:type="dxa"/>
            <w:gridSpan w:val="2"/>
          </w:tcPr>
          <w:p w:rsidR="000B7731" w:rsidRPr="009F19DC" w:rsidRDefault="000B7731">
            <w:pPr>
              <w:framePr w:w="4400" w:h="1644" w:wrap="notBeside" w:vAnchor="page" w:hAnchor="page" w:x="6573" w:y="721"/>
            </w:pPr>
          </w:p>
        </w:tc>
      </w:tr>
      <w:tr w:rsidR="000B7731" w:rsidRPr="009F19DC">
        <w:tblPrEx>
          <w:tblCellMar>
            <w:top w:w="0" w:type="dxa"/>
            <w:bottom w:w="0" w:type="dxa"/>
          </w:tblCellMar>
        </w:tblPrEx>
        <w:tc>
          <w:tcPr>
            <w:tcW w:w="2268" w:type="dxa"/>
          </w:tcPr>
          <w:p w:rsidR="000B7731" w:rsidRPr="009F19DC" w:rsidRDefault="000B7731">
            <w:pPr>
              <w:framePr w:w="4400" w:h="1644" w:wrap="notBeside" w:vAnchor="page" w:hAnchor="page" w:x="6573" w:y="721"/>
            </w:pPr>
          </w:p>
        </w:tc>
        <w:tc>
          <w:tcPr>
            <w:tcW w:w="2347" w:type="dxa"/>
            <w:gridSpan w:val="2"/>
          </w:tcPr>
          <w:p w:rsidR="000B7731" w:rsidRPr="009F19DC" w:rsidRDefault="000B773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B7731" w:rsidRPr="009F19DC">
        <w:tblPrEx>
          <w:tblCellMar>
            <w:top w:w="0" w:type="dxa"/>
            <w:bottom w:w="0" w:type="dxa"/>
          </w:tblCellMar>
        </w:tblPrEx>
        <w:trPr>
          <w:trHeight w:val="284"/>
        </w:trPr>
        <w:tc>
          <w:tcPr>
            <w:tcW w:w="4911" w:type="dxa"/>
          </w:tcPr>
          <w:p w:rsidR="000B7731" w:rsidRPr="009F19DC" w:rsidRDefault="000B7731">
            <w:pPr>
              <w:pStyle w:val="Avsndare"/>
              <w:framePr w:h="2483" w:wrap="notBeside" w:x="1504"/>
              <w:rPr>
                <w:b/>
                <w:i w:val="0"/>
                <w:sz w:val="22"/>
              </w:rPr>
            </w:pPr>
            <w:r w:rsidRPr="009F19DC">
              <w:rPr>
                <w:b/>
                <w:i w:val="0"/>
                <w:sz w:val="22"/>
              </w:rPr>
              <w:t>Näringsdepartementet</w:t>
            </w:r>
          </w:p>
        </w:tc>
      </w:tr>
      <w:tr w:rsidR="000B7731" w:rsidRPr="009F19DC">
        <w:tblPrEx>
          <w:tblCellMar>
            <w:top w:w="0" w:type="dxa"/>
            <w:bottom w:w="0" w:type="dxa"/>
          </w:tblCellMar>
        </w:tblPrEx>
        <w:trPr>
          <w:trHeight w:val="284"/>
        </w:trPr>
        <w:tc>
          <w:tcPr>
            <w:tcW w:w="4911" w:type="dxa"/>
          </w:tcPr>
          <w:p w:rsidR="000B7731" w:rsidRPr="009F19DC" w:rsidRDefault="000B7731">
            <w:pPr>
              <w:pStyle w:val="Avsndare"/>
              <w:framePr w:h="2483" w:wrap="notBeside" w:x="1504"/>
              <w:rPr>
                <w:bCs/>
                <w:iCs/>
              </w:rPr>
            </w:pPr>
          </w:p>
        </w:tc>
      </w:tr>
      <w:tr w:rsidR="000B7731" w:rsidRPr="009F19DC">
        <w:tblPrEx>
          <w:tblCellMar>
            <w:top w:w="0" w:type="dxa"/>
            <w:bottom w:w="0" w:type="dxa"/>
          </w:tblCellMar>
        </w:tblPrEx>
        <w:trPr>
          <w:trHeight w:val="284"/>
        </w:trPr>
        <w:tc>
          <w:tcPr>
            <w:tcW w:w="4911" w:type="dxa"/>
          </w:tcPr>
          <w:p w:rsidR="000B7731" w:rsidRPr="009F19DC" w:rsidRDefault="000B7731">
            <w:pPr>
              <w:pStyle w:val="Avsndare"/>
              <w:framePr w:h="2483" w:wrap="notBeside" w:x="1504"/>
              <w:rPr>
                <w:bCs/>
                <w:iCs/>
              </w:rPr>
            </w:pPr>
          </w:p>
        </w:tc>
      </w:tr>
      <w:tr w:rsidR="000B7731" w:rsidRPr="009F19DC">
        <w:tblPrEx>
          <w:tblCellMar>
            <w:top w:w="0" w:type="dxa"/>
            <w:bottom w:w="0" w:type="dxa"/>
          </w:tblCellMar>
        </w:tblPrEx>
        <w:trPr>
          <w:trHeight w:val="284"/>
        </w:trPr>
        <w:tc>
          <w:tcPr>
            <w:tcW w:w="4911" w:type="dxa"/>
          </w:tcPr>
          <w:p w:rsidR="000B7731" w:rsidRPr="009F19DC" w:rsidRDefault="000B7731">
            <w:pPr>
              <w:pStyle w:val="Avsndare"/>
              <w:framePr w:h="2483" w:wrap="notBeside" w:x="1504"/>
              <w:rPr>
                <w:bCs/>
                <w:iCs/>
              </w:rPr>
            </w:pPr>
          </w:p>
        </w:tc>
      </w:tr>
      <w:tr w:rsidR="000B7731" w:rsidRPr="009F19DC">
        <w:tblPrEx>
          <w:tblCellMar>
            <w:top w:w="0" w:type="dxa"/>
            <w:bottom w:w="0" w:type="dxa"/>
          </w:tblCellMar>
        </w:tblPrEx>
        <w:trPr>
          <w:trHeight w:val="284"/>
        </w:trPr>
        <w:tc>
          <w:tcPr>
            <w:tcW w:w="4911" w:type="dxa"/>
          </w:tcPr>
          <w:p w:rsidR="000B7731" w:rsidRPr="009F19DC" w:rsidRDefault="000B7731">
            <w:pPr>
              <w:pStyle w:val="Avsndare"/>
              <w:framePr w:h="2483" w:wrap="notBeside" w:x="1504"/>
              <w:rPr>
                <w:bCs/>
                <w:iCs/>
              </w:rPr>
            </w:pPr>
          </w:p>
        </w:tc>
      </w:tr>
      <w:tr w:rsidR="000B7731" w:rsidRPr="009F19DC">
        <w:tblPrEx>
          <w:tblCellMar>
            <w:top w:w="0" w:type="dxa"/>
            <w:bottom w:w="0" w:type="dxa"/>
          </w:tblCellMar>
        </w:tblPrEx>
        <w:trPr>
          <w:trHeight w:val="284"/>
        </w:trPr>
        <w:tc>
          <w:tcPr>
            <w:tcW w:w="4911" w:type="dxa"/>
          </w:tcPr>
          <w:p w:rsidR="000B7731" w:rsidRPr="009F19DC" w:rsidRDefault="000B7731">
            <w:pPr>
              <w:pStyle w:val="Avsndare"/>
              <w:framePr w:h="2483" w:wrap="notBeside" w:x="1504"/>
              <w:rPr>
                <w:bCs/>
                <w:iCs/>
              </w:rPr>
            </w:pPr>
          </w:p>
        </w:tc>
      </w:tr>
      <w:tr w:rsidR="000B7731" w:rsidRPr="009F19DC">
        <w:tblPrEx>
          <w:tblCellMar>
            <w:top w:w="0" w:type="dxa"/>
            <w:bottom w:w="0" w:type="dxa"/>
          </w:tblCellMar>
        </w:tblPrEx>
        <w:trPr>
          <w:trHeight w:val="284"/>
        </w:trPr>
        <w:tc>
          <w:tcPr>
            <w:tcW w:w="4911" w:type="dxa"/>
          </w:tcPr>
          <w:p w:rsidR="000B7731" w:rsidRPr="009F19DC" w:rsidRDefault="000B7731">
            <w:pPr>
              <w:pStyle w:val="Avsndare"/>
              <w:framePr w:h="2483" w:wrap="notBeside" w:x="1504"/>
              <w:rPr>
                <w:bCs/>
                <w:iCs/>
              </w:rPr>
            </w:pPr>
          </w:p>
        </w:tc>
      </w:tr>
      <w:tr w:rsidR="000B7731" w:rsidRPr="009F19DC">
        <w:tblPrEx>
          <w:tblCellMar>
            <w:top w:w="0" w:type="dxa"/>
            <w:bottom w:w="0" w:type="dxa"/>
          </w:tblCellMar>
        </w:tblPrEx>
        <w:trPr>
          <w:trHeight w:val="284"/>
        </w:trPr>
        <w:tc>
          <w:tcPr>
            <w:tcW w:w="4911" w:type="dxa"/>
          </w:tcPr>
          <w:p w:rsidR="000B7731" w:rsidRPr="009F19DC" w:rsidRDefault="000B7731">
            <w:pPr>
              <w:pStyle w:val="Avsndare"/>
              <w:framePr w:h="2483" w:wrap="notBeside" w:x="1504"/>
              <w:rPr>
                <w:bCs/>
                <w:iCs/>
              </w:rPr>
            </w:pPr>
          </w:p>
        </w:tc>
      </w:tr>
      <w:tr w:rsidR="000B7731" w:rsidRPr="009F19DC">
        <w:tblPrEx>
          <w:tblCellMar>
            <w:top w:w="0" w:type="dxa"/>
            <w:bottom w:w="0" w:type="dxa"/>
          </w:tblCellMar>
        </w:tblPrEx>
        <w:trPr>
          <w:trHeight w:val="284"/>
        </w:trPr>
        <w:tc>
          <w:tcPr>
            <w:tcW w:w="4911" w:type="dxa"/>
          </w:tcPr>
          <w:p w:rsidR="000B7731" w:rsidRPr="009F19DC" w:rsidRDefault="000B7731">
            <w:pPr>
              <w:pStyle w:val="Avsndare"/>
              <w:framePr w:h="2483" w:wrap="notBeside" w:x="1504"/>
              <w:rPr>
                <w:bCs/>
                <w:iCs/>
              </w:rPr>
            </w:pPr>
          </w:p>
        </w:tc>
      </w:tr>
    </w:tbl>
    <w:p w:rsidR="000B7731" w:rsidRPr="009F19DC" w:rsidRDefault="000B7731">
      <w:pPr>
        <w:framePr w:w="4400" w:h="2523" w:wrap="notBeside" w:vAnchor="page" w:hAnchor="page" w:x="6453" w:y="2445"/>
        <w:ind w:left="142"/>
        <w:rPr>
          <w:b/>
        </w:rPr>
      </w:pPr>
    </w:p>
    <w:p w:rsidR="000B7731" w:rsidRPr="009F19DC" w:rsidRDefault="00C40F78" w:rsidP="00C40F78">
      <w:pPr>
        <w:pStyle w:val="RKrubrik"/>
        <w:pBdr>
          <w:bottom w:val="single" w:sz="6" w:space="1" w:color="auto"/>
        </w:pBdr>
      </w:pPr>
      <w:bookmarkStart w:id="0" w:name="bRubrik"/>
      <w:bookmarkEnd w:id="0"/>
      <w:r w:rsidRPr="009F19DC">
        <w:t xml:space="preserve">Rådets möte i </w:t>
      </w:r>
      <w:r w:rsidR="00236C24" w:rsidRPr="009F19DC">
        <w:t>Bryssel</w:t>
      </w:r>
      <w:r w:rsidR="000B7731" w:rsidRPr="009F19DC">
        <w:t xml:space="preserve"> den </w:t>
      </w:r>
      <w:r w:rsidR="00236C24" w:rsidRPr="009F19DC">
        <w:t>17-18</w:t>
      </w:r>
      <w:r w:rsidRPr="009F19DC">
        <w:t xml:space="preserve"> </w:t>
      </w:r>
      <w:r w:rsidR="00236C24" w:rsidRPr="009F19DC">
        <w:t>december</w:t>
      </w:r>
      <w:r w:rsidRPr="009F19DC">
        <w:t xml:space="preserve"> 2009</w:t>
      </w:r>
    </w:p>
    <w:p w:rsidR="00C40F78" w:rsidRPr="009F19DC" w:rsidRDefault="00C40F78" w:rsidP="00C40F78">
      <w:pPr>
        <w:pStyle w:val="RKnormal"/>
      </w:pPr>
    </w:p>
    <w:p w:rsidR="000B7731" w:rsidRPr="009F19DC" w:rsidRDefault="008B1B93">
      <w:pPr>
        <w:pStyle w:val="RKnormal"/>
      </w:pPr>
      <w:r w:rsidRPr="009F19DC">
        <w:t>Dagordningspunkt 5</w:t>
      </w:r>
      <w:r w:rsidR="00C40F78" w:rsidRPr="009F19DC">
        <w:t>.</w:t>
      </w:r>
    </w:p>
    <w:p w:rsidR="000B7731" w:rsidRPr="009F19DC" w:rsidRDefault="000B7731">
      <w:pPr>
        <w:pStyle w:val="RKnormal"/>
      </w:pPr>
    </w:p>
    <w:p w:rsidR="000B7731" w:rsidRPr="009F19DC" w:rsidRDefault="000B7731" w:rsidP="00A02454">
      <w:r w:rsidRPr="009F19DC">
        <w:t>Rubrik:</w:t>
      </w:r>
      <w:r w:rsidR="00C40F78" w:rsidRPr="009F19DC">
        <w:t xml:space="preserve"> </w:t>
      </w:r>
      <w:r w:rsidR="00A02454" w:rsidRPr="009F19DC">
        <w:t>Förslag till Europaparlamentets och rådets direktiv om en ram för införande av intelligenta transportsystem på vägtransportområdet och för gränssnitt mot andra transportsätt</w:t>
      </w:r>
      <w:r w:rsidR="00C1063A" w:rsidRPr="009F19DC">
        <w:t xml:space="preserve"> - </w:t>
      </w:r>
      <w:r w:rsidR="007B3A56" w:rsidRPr="009F19DC">
        <w:t>Lägesrapport/politisk överenskommelse</w:t>
      </w:r>
    </w:p>
    <w:p w:rsidR="000B7731" w:rsidRPr="009F19DC" w:rsidRDefault="000B7731">
      <w:pPr>
        <w:pStyle w:val="RKnormal"/>
      </w:pPr>
    </w:p>
    <w:p w:rsidR="000B7731" w:rsidRPr="009F19DC" w:rsidRDefault="00E61852">
      <w:pPr>
        <w:pStyle w:val="RKnormal"/>
      </w:pPr>
      <w:r w:rsidRPr="009F19DC">
        <w:t>dok.</w:t>
      </w:r>
      <w:r w:rsidR="000B7731" w:rsidRPr="009F19DC">
        <w:t>:</w:t>
      </w:r>
      <w:r w:rsidR="00C40F78" w:rsidRPr="009F19DC">
        <w:t xml:space="preserve"> </w:t>
      </w:r>
      <w:r w:rsidRPr="009F19DC">
        <w:t xml:space="preserve">17564/08 </w:t>
      </w:r>
    </w:p>
    <w:p w:rsidR="000B7731" w:rsidRPr="009F19DC" w:rsidRDefault="000B7731">
      <w:pPr>
        <w:pStyle w:val="RKnormal"/>
      </w:pPr>
    </w:p>
    <w:p w:rsidR="000B7731" w:rsidRPr="009F19DC" w:rsidRDefault="000B7731">
      <w:pPr>
        <w:pStyle w:val="RKnormal"/>
      </w:pPr>
      <w:r w:rsidRPr="009F19DC">
        <w:t xml:space="preserve">Tidigare behandlad vid samråd med EU-nämnden: </w:t>
      </w:r>
      <w:r w:rsidR="00A02454" w:rsidRPr="009F19DC">
        <w:t xml:space="preserve">27 mars 2009 </w:t>
      </w:r>
      <w:r w:rsidR="00255AEB" w:rsidRPr="009F19DC">
        <w:t xml:space="preserve">då med förslag till </w:t>
      </w:r>
      <w:r w:rsidR="00A02454" w:rsidRPr="009F19DC">
        <w:t>rådsslutsatser med anledning av förslag till handlingsplan för ITS</w:t>
      </w:r>
      <w:r w:rsidR="00BE2FA2" w:rsidRPr="009F19DC">
        <w:t xml:space="preserve"> samt 5</w:t>
      </w:r>
      <w:r w:rsidR="007B3A56" w:rsidRPr="009F19DC">
        <w:t xml:space="preserve"> juni med en lägesrapport rör</w:t>
      </w:r>
      <w:r w:rsidR="00BE2FA2" w:rsidRPr="009F19DC">
        <w:t>ande rådets arbete med förslag</w:t>
      </w:r>
      <w:r w:rsidR="007B3A56" w:rsidRPr="009F19DC">
        <w:t xml:space="preserve"> till direktiv</w:t>
      </w:r>
      <w:r w:rsidR="00C40F78" w:rsidRPr="009F19DC">
        <w:t>.</w:t>
      </w:r>
    </w:p>
    <w:p w:rsidR="000B7731" w:rsidRPr="009F19DC" w:rsidRDefault="000B7731">
      <w:pPr>
        <w:pStyle w:val="RKrubrik"/>
      </w:pPr>
      <w:r w:rsidRPr="009F19DC">
        <w:t>Bakgrund</w:t>
      </w:r>
    </w:p>
    <w:p w:rsidR="00A02454" w:rsidRPr="009F19DC" w:rsidRDefault="00A02454" w:rsidP="00A02454">
      <w:pPr>
        <w:pStyle w:val="RKnormal"/>
      </w:pPr>
      <w:r w:rsidRPr="009F19DC">
        <w:t>Kommissionen presenterade i december förra året ett meddelande med en handlingsplan för prioriteringar inom området Intelligenta transportsystem  också benämnt ITS. Tillsammans med handlingsplanen följde ett förslag till direktiv i syfte att på europeisk nivå åstadkomma ett koordinerat införande av ITS. Vid mötet i mars</w:t>
      </w:r>
      <w:r w:rsidR="00C1063A" w:rsidRPr="009F19DC">
        <w:t xml:space="preserve"> i år</w:t>
      </w:r>
      <w:r w:rsidRPr="009F19DC">
        <w:t xml:space="preserve"> antog rådet slutsatser med anledning av handlingsplanen. Sedan dess har direktivet behandlats i rådsarbetsgruppen.</w:t>
      </w:r>
    </w:p>
    <w:p w:rsidR="000B7731" w:rsidRPr="009F19DC" w:rsidRDefault="000B7731">
      <w:pPr>
        <w:pStyle w:val="RKrubrik"/>
      </w:pPr>
      <w:r w:rsidRPr="009F19DC">
        <w:t>Rättslig grund och beslutsförfarande</w:t>
      </w:r>
    </w:p>
    <w:p w:rsidR="000B7731" w:rsidRPr="009F19DC" w:rsidRDefault="00A02454">
      <w:pPr>
        <w:pStyle w:val="RKnormal"/>
      </w:pPr>
      <w:r w:rsidRPr="009F19DC">
        <w:t xml:space="preserve">Artikel 71(1) EG-fördraget. </w:t>
      </w:r>
      <w:r w:rsidR="00C1063A" w:rsidRPr="009F19DC">
        <w:t>Antagande</w:t>
      </w:r>
      <w:r w:rsidRPr="009F19DC">
        <w:t xml:space="preserve"> inom ramen för medbeslutande</w:t>
      </w:r>
      <w:r w:rsidRPr="009F19DC">
        <w:softHyphen/>
        <w:t>förfarandet enligt artikel 251 EG-fördraget.</w:t>
      </w:r>
    </w:p>
    <w:p w:rsidR="000B7731" w:rsidRPr="009F19DC" w:rsidRDefault="000B7731">
      <w:pPr>
        <w:pStyle w:val="RKrubrik"/>
        <w:rPr>
          <w:iCs/>
        </w:rPr>
      </w:pPr>
      <w:r w:rsidRPr="009F19DC">
        <w:rPr>
          <w:iCs/>
        </w:rPr>
        <w:t>Svensk ståndpunkt</w:t>
      </w:r>
    </w:p>
    <w:p w:rsidR="00120497" w:rsidRPr="009F19DC" w:rsidRDefault="00120497" w:rsidP="00120497">
      <w:pPr>
        <w:pStyle w:val="RKnormal"/>
      </w:pPr>
      <w:r w:rsidRPr="009F19DC">
        <w:t xml:space="preserve">Sverige är positiva till ett direktiv. EU-gemensamma gränsöverskridande ITS lösningar kräver ett gemensamt ramverk för utveckling och </w:t>
      </w:r>
      <w:r w:rsidRPr="009F19DC">
        <w:lastRenderedPageBreak/>
        <w:t>införande. Målet för det svenska ordförandeskapet är att om möjligt nå en tidig uppgörelse med EP i den andra läsningen och vid TTE-rådet i sådant fall enbart informera delegationerna om läget. Om detta inte skulle lyckas går förslaget vidare till en konventionell andra läsning och i så fall siktar ordförandeskapet på att fastställa en politisk överenskommelse om direktivet i rådet den 17 december. Utestående frågor i de trilogmöten som nu pågår är i första hand frågan om hur direktivet ska behandla obligatoriskt införande av ITS tjänster och applikationer samt frågan om ersättande av kommittologiförfarande med granskning med delegerade akter. Som ordförande bör Sverige verka för en kompromiss med en tvåstegslösning där kommissionen uppmanas att, efter specifikationer väl beslutats för en av de prioriterade områden, återkomma med förslag om införande till rådet och parlamentet.</w:t>
      </w:r>
    </w:p>
    <w:p w:rsidR="000B7731" w:rsidRPr="009F19DC" w:rsidRDefault="000B7731" w:rsidP="00C1063A">
      <w:pPr>
        <w:pStyle w:val="RKrubrik"/>
      </w:pPr>
      <w:r w:rsidRPr="009F19DC">
        <w:t>Europaparlamentets inställning</w:t>
      </w:r>
    </w:p>
    <w:p w:rsidR="00C1063A" w:rsidRPr="009F19DC" w:rsidRDefault="00C1063A" w:rsidP="00C1063A">
      <w:pPr>
        <w:pStyle w:val="RKnormal"/>
      </w:pPr>
      <w:r w:rsidRPr="009F19DC">
        <w:t xml:space="preserve">EP är positiva till direktivförslaget men vill generellt gå längre i att ställa krav på MS på införande av olika ITS-tjänster. Vidare vill man förstärka direktivet i frågor som bl.a. rör oskyddade trafikanter, datasäkerhet och personlig integritet. </w:t>
      </w:r>
    </w:p>
    <w:p w:rsidR="000B7731" w:rsidRPr="009F19DC" w:rsidRDefault="000B7731">
      <w:pPr>
        <w:pStyle w:val="RKrubrik"/>
        <w:rPr>
          <w:iCs/>
        </w:rPr>
      </w:pPr>
      <w:r w:rsidRPr="009F19DC">
        <w:rPr>
          <w:iCs/>
        </w:rPr>
        <w:t>Förslaget</w:t>
      </w:r>
    </w:p>
    <w:p w:rsidR="000B7731" w:rsidRPr="009F19DC" w:rsidRDefault="00C1063A">
      <w:pPr>
        <w:pStyle w:val="RKnormal"/>
      </w:pPr>
      <w:r w:rsidRPr="009F19DC">
        <w:t xml:space="preserve">Direktivförslaget syftar till att uppnå ett effektivare samarbete mellan medlemsstaterna. Enligt direktivet ska en European ITS kommitté (EIC) med representanter från medlemsstaterna samt en European ITS Advisory Group med representanter från industrin tillsättas. EIC ska främst utbyta information, ta fram en övergripande vision, övervaka utveckling av riktlinjer och arbetssätt samt när nödvändigt besluta om specifika åtgärder. Direktivet enligt förslaget ställer bl.a. krav på att medlemsstaterna ska använda samordnade lösningar, göra kvalitetsgranskad vägtransportdata tillgänglig, säkerställa datautbyte mellan trafikcentraler, att integrera trafiksäkerhetslösningar i fordonen på en gemensam teknisk plattform samt regelbundet rapportera till kommissionen om aktiviteter och åtgärdsplaner. </w:t>
      </w:r>
    </w:p>
    <w:p w:rsidR="004B05C9" w:rsidRPr="009F19DC" w:rsidRDefault="004B05C9" w:rsidP="004B05C9">
      <w:pPr>
        <w:pStyle w:val="RKrubrik"/>
        <w:rPr>
          <w:iCs/>
        </w:rPr>
      </w:pPr>
      <w:r w:rsidRPr="009F19DC">
        <w:rPr>
          <w:iCs/>
        </w:rPr>
        <w:t>Gällande svenska regler och förslagets effekter på dessa</w:t>
      </w:r>
    </w:p>
    <w:p w:rsidR="004B05C9" w:rsidRPr="009F19DC" w:rsidRDefault="004B05C9" w:rsidP="004B05C9">
      <w:r w:rsidRPr="009F19DC">
        <w:t>Det finns inga regler inom detta område för närvarande.</w:t>
      </w:r>
    </w:p>
    <w:p w:rsidR="000B7731" w:rsidRPr="009F19DC" w:rsidRDefault="000B7731">
      <w:pPr>
        <w:pStyle w:val="RKrubrik"/>
      </w:pPr>
      <w:r w:rsidRPr="009F19DC">
        <w:t>Ekonomiska konsekvenser</w:t>
      </w:r>
    </w:p>
    <w:p w:rsidR="004B05C9" w:rsidRPr="009F19DC" w:rsidRDefault="004B05C9" w:rsidP="004B05C9">
      <w:r w:rsidRPr="009F19DC">
        <w:t>Påverkan på statsbudgeten bedöms inte vara påvisbar.</w:t>
      </w:r>
    </w:p>
    <w:p w:rsidR="000B7731" w:rsidRPr="009F19DC" w:rsidRDefault="000B7731" w:rsidP="008F5727">
      <w:pPr>
        <w:pStyle w:val="RKrubrik"/>
      </w:pPr>
      <w:r w:rsidRPr="009F19DC">
        <w:t>Övrigt</w:t>
      </w:r>
    </w:p>
    <w:p w:rsidR="000B7731" w:rsidRPr="009F19DC" w:rsidRDefault="000B7731">
      <w:pPr>
        <w:pStyle w:val="RKnormal"/>
        <w:ind w:left="-1134"/>
      </w:pPr>
    </w:p>
    <w:p w:rsidR="000B7731" w:rsidRPr="009F19DC" w:rsidRDefault="000B7731">
      <w:pPr>
        <w:pStyle w:val="RKrubrik"/>
        <w:spacing w:before="0" w:after="0"/>
      </w:pPr>
    </w:p>
    <w:p w:rsidR="000B7731" w:rsidRPr="009F19DC" w:rsidRDefault="000B7731">
      <w:pPr>
        <w:pStyle w:val="RKnormal"/>
      </w:pPr>
    </w:p>
    <w:p w:rsidR="000B7731" w:rsidRPr="009F19DC" w:rsidRDefault="000B7731">
      <w:pPr>
        <w:pStyle w:val="RKnormal"/>
      </w:pPr>
    </w:p>
    <w:sectPr w:rsidR="000B7731" w:rsidRPr="009F19D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412" w:rsidRPr="009F19DC" w:rsidRDefault="00494412">
      <w:r w:rsidRPr="009F19DC">
        <w:separator/>
      </w:r>
    </w:p>
  </w:endnote>
  <w:endnote w:type="continuationSeparator" w:id="0">
    <w:p w:rsidR="00494412" w:rsidRPr="009F19DC" w:rsidRDefault="00494412">
      <w:r w:rsidRPr="009F1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412" w:rsidRPr="009F19DC" w:rsidRDefault="00494412">
      <w:r w:rsidRPr="009F19DC">
        <w:separator/>
      </w:r>
    </w:p>
  </w:footnote>
  <w:footnote w:type="continuationSeparator" w:id="0">
    <w:p w:rsidR="00494412" w:rsidRPr="009F19DC" w:rsidRDefault="00494412">
      <w:r w:rsidRPr="009F19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A56" w:rsidRPr="009F19DC" w:rsidRDefault="007B3A56">
    <w:pPr>
      <w:pStyle w:val="Sidhuvud"/>
      <w:framePr w:wrap="around" w:vAnchor="text" w:hAnchor="margin" w:xAlign="right" w:y="1"/>
      <w:rPr>
        <w:rStyle w:val="Sidnummer"/>
      </w:rPr>
    </w:pPr>
    <w:r w:rsidRPr="009F19DC">
      <w:rPr>
        <w:rStyle w:val="Sidnummer"/>
      </w:rPr>
      <w:fldChar w:fldCharType="begin" w:fldLock="1"/>
    </w:r>
    <w:r w:rsidRPr="009F19DC">
      <w:rPr>
        <w:rStyle w:val="Sidnummer"/>
      </w:rPr>
      <w:instrText xml:space="preserve">PAGE  </w:instrText>
    </w:r>
    <w:r w:rsidRPr="009F19DC">
      <w:rPr>
        <w:rStyle w:val="Sidnummer"/>
      </w:rPr>
      <w:fldChar w:fldCharType="separate"/>
    </w:r>
    <w:r w:rsidR="00540166" w:rsidRPr="009F19DC">
      <w:rPr>
        <w:rStyle w:val="Sidnummer"/>
      </w:rPr>
      <w:t>2</w:t>
    </w:r>
    <w:r w:rsidRPr="009F19DC">
      <w:rPr>
        <w:rStyle w:val="Sidnummer"/>
      </w:rPr>
      <w:fldChar w:fldCharType="end"/>
    </w:r>
  </w:p>
  <w:p w:rsidR="007B3A56" w:rsidRPr="009F19DC" w:rsidRDefault="007B3A56">
    <w:pPr>
      <w:pStyle w:val="Sidhuvud"/>
      <w:ind w:right="360"/>
    </w:pPr>
  </w:p>
  <w:p w:rsidR="007B3A56" w:rsidRPr="009F19DC" w:rsidRDefault="007B3A5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A56" w:rsidRPr="009F19DC" w:rsidRDefault="007B3A56">
    <w:pPr>
      <w:pStyle w:val="Sidhuvud"/>
      <w:framePr w:wrap="around" w:vAnchor="text" w:hAnchor="margin" w:xAlign="right" w:y="1"/>
      <w:rPr>
        <w:rStyle w:val="Sidnummer"/>
      </w:rPr>
    </w:pPr>
    <w:r w:rsidRPr="009F19DC">
      <w:rPr>
        <w:rStyle w:val="Sidnummer"/>
      </w:rPr>
      <w:fldChar w:fldCharType="begin" w:fldLock="1"/>
    </w:r>
    <w:r w:rsidRPr="009F19DC">
      <w:rPr>
        <w:rStyle w:val="Sidnummer"/>
      </w:rPr>
      <w:instrText xml:space="preserve">PAGE  </w:instrText>
    </w:r>
    <w:r w:rsidRPr="009F19DC">
      <w:rPr>
        <w:rStyle w:val="Sidnummer"/>
      </w:rPr>
      <w:fldChar w:fldCharType="separate"/>
    </w:r>
    <w:r w:rsidR="00E61852" w:rsidRPr="009F19DC">
      <w:rPr>
        <w:rStyle w:val="Sidnummer"/>
      </w:rPr>
      <w:t>3</w:t>
    </w:r>
    <w:r w:rsidRPr="009F19DC">
      <w:rPr>
        <w:rStyle w:val="Sidnummer"/>
      </w:rPr>
      <w:fldChar w:fldCharType="end"/>
    </w:r>
  </w:p>
  <w:p w:rsidR="007B3A56" w:rsidRPr="009F19DC" w:rsidRDefault="007B3A56">
    <w:pPr>
      <w:pStyle w:val="Sidhuvud"/>
      <w:ind w:right="360"/>
    </w:pPr>
  </w:p>
  <w:p w:rsidR="007B3A56" w:rsidRPr="009F19DC" w:rsidRDefault="007B3A5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A56" w:rsidRPr="009F19DC" w:rsidRDefault="009F19DC">
    <w:pPr>
      <w:framePr w:w="2948" w:h="1321" w:hRule="exact" w:wrap="notBeside" w:vAnchor="page" w:hAnchor="page" w:x="1362" w:y="653"/>
    </w:pPr>
    <w:r w:rsidRPr="009F19D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B3A56" w:rsidRPr="009F19DC" w:rsidRDefault="007B3A56">
    <w:pPr>
      <w:pStyle w:val="RKrubrik"/>
      <w:keepNext w:val="0"/>
      <w:tabs>
        <w:tab w:val="clear" w:pos="1134"/>
        <w:tab w:val="clear" w:pos="2835"/>
      </w:tabs>
      <w:spacing w:before="0" w:after="0" w:line="320" w:lineRule="atLeast"/>
      <w:rPr>
        <w:bCs/>
      </w:rPr>
    </w:pPr>
  </w:p>
  <w:p w:rsidR="007B3A56" w:rsidRPr="009F19DC" w:rsidRDefault="007B3A56">
    <w:pPr>
      <w:rPr>
        <w:rFonts w:ascii="TradeGothic" w:hAnsi="TradeGothic"/>
        <w:b/>
        <w:bCs/>
        <w:spacing w:val="12"/>
        <w:sz w:val="22"/>
      </w:rPr>
    </w:pPr>
  </w:p>
  <w:p w:rsidR="007B3A56" w:rsidRPr="009F19DC" w:rsidRDefault="007B3A56">
    <w:pPr>
      <w:pStyle w:val="RKrubrik"/>
      <w:keepNext w:val="0"/>
      <w:tabs>
        <w:tab w:val="clear" w:pos="1134"/>
        <w:tab w:val="clear" w:pos="2835"/>
      </w:tabs>
      <w:spacing w:before="0" w:after="0" w:line="320" w:lineRule="atLeast"/>
      <w:rPr>
        <w:bCs/>
      </w:rPr>
    </w:pPr>
  </w:p>
  <w:p w:rsidR="007B3A56" w:rsidRPr="009F19DC" w:rsidRDefault="007B3A5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2171D"/>
    <w:rsid w:val="0007125E"/>
    <w:rsid w:val="000B7731"/>
    <w:rsid w:val="00111D9A"/>
    <w:rsid w:val="00120497"/>
    <w:rsid w:val="00236C24"/>
    <w:rsid w:val="00254446"/>
    <w:rsid w:val="00255AEB"/>
    <w:rsid w:val="00365653"/>
    <w:rsid w:val="003B4C0B"/>
    <w:rsid w:val="00494412"/>
    <w:rsid w:val="004B05C9"/>
    <w:rsid w:val="00540166"/>
    <w:rsid w:val="006525B7"/>
    <w:rsid w:val="007B3A56"/>
    <w:rsid w:val="007D2AB1"/>
    <w:rsid w:val="008146D6"/>
    <w:rsid w:val="008B1B93"/>
    <w:rsid w:val="008F5727"/>
    <w:rsid w:val="009F19DC"/>
    <w:rsid w:val="00A02454"/>
    <w:rsid w:val="00B2171D"/>
    <w:rsid w:val="00BE2FA2"/>
    <w:rsid w:val="00C1063A"/>
    <w:rsid w:val="00C3787A"/>
    <w:rsid w:val="00C40F78"/>
    <w:rsid w:val="00DF3BF3"/>
    <w:rsid w:val="00E03AB6"/>
    <w:rsid w:val="00E61852"/>
    <w:rsid w:val="00F026CE"/>
    <w:rsid w:val="00F56AA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A8C3EE-56A5-4FD5-A5B7-90CA9367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A02454"/>
    <w:rPr>
      <w:rFonts w:ascii="OrigGarmnd BT" w:hAnsi="OrigGarmnd BT"/>
      <w:sz w:val="24"/>
      <w:lang w:val="sv-SE" w:eastAsia="en-US" w:bidi="ar-SA"/>
    </w:rPr>
  </w:style>
  <w:style w:type="paragraph" w:styleId="Ballongtext">
    <w:name w:val="Balloon Text"/>
    <w:basedOn w:val="Normal"/>
    <w:semiHidden/>
    <w:rsid w:val="00540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474</Words>
  <Characters>3073</Characters>
  <Application>Microsoft Office Word</Application>
  <DocSecurity>4</DocSecurity>
  <Lines>90</Lines>
  <Paragraphs>26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2009-12-07T12:11:00Z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