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C83" w:rsidRPr="008009E5" w:rsidRDefault="00622C83" w:rsidP="005605ED">
      <w:pPr>
        <w:pStyle w:val="Hemstlrubrik"/>
      </w:pPr>
      <w:r w:rsidRPr="008009E5">
        <w:t>Förslag till riksdagsbeslut</w:t>
      </w:r>
    </w:p>
    <w:p w:rsidR="00622C83" w:rsidRPr="008009E5" w:rsidRDefault="00622C83" w:rsidP="00622C83">
      <w:pPr>
        <w:pStyle w:val="Hemstlatt"/>
      </w:pPr>
      <w:r w:rsidRPr="008009E5">
        <w:t>Riksdagen tillkännager för regeringen som sin mening vad i motionen anförs om Södertäljes förutsättningar att fortsatt vara ett viktigt centrum för svensk vetenskaplig medicinteknisk forskning på högsta internati</w:t>
      </w:r>
      <w:r w:rsidRPr="008009E5">
        <w:t>o</w:t>
      </w:r>
      <w:r w:rsidRPr="008009E5">
        <w:t>nella nivå.</w:t>
      </w:r>
    </w:p>
    <w:p w:rsidR="00622C83" w:rsidRPr="008009E5" w:rsidRDefault="00622C83" w:rsidP="00622C83">
      <w:pPr>
        <w:pStyle w:val="Hemstlatt"/>
      </w:pPr>
      <w:r w:rsidRPr="008009E5">
        <w:t>Riksdagen tillkännager för regeringen som sin mening vad i motionen anförs om Södertäljes förutsättningar att fortsatt vara ett viktigt centrum för fordonsmässig produktion, forskning och utveckling.</w:t>
      </w:r>
    </w:p>
    <w:p w:rsidR="00622C83" w:rsidRPr="008009E5" w:rsidRDefault="00622C83" w:rsidP="00622C83">
      <w:pPr>
        <w:pStyle w:val="Hemstlatt"/>
      </w:pPr>
      <w:r w:rsidRPr="008009E5">
        <w:t xml:space="preserve">Riksdagen tillkännager för regeringen som sin mening </w:t>
      </w:r>
      <w:r w:rsidR="001643AD" w:rsidRPr="008009E5">
        <w:t xml:space="preserve">vad i motionen anförs om </w:t>
      </w:r>
      <w:r w:rsidRPr="008009E5">
        <w:t>att ansvaret för kostnaderna för Mälarbron i Södertälje skall bli föremål för prövning i avsikt att föra över kostnadsansvaret från Söde</w:t>
      </w:r>
      <w:r w:rsidRPr="008009E5">
        <w:t>r</w:t>
      </w:r>
      <w:r w:rsidRPr="008009E5">
        <w:t>tälje kommun till sjöfarten via Sjöfartsverket.</w:t>
      </w:r>
      <w:r w:rsidR="001643AD" w:rsidRPr="008009E5">
        <w:rPr>
          <w:szCs w:val="24"/>
          <w:vertAlign w:val="superscript"/>
        </w:rPr>
        <w:t>1</w:t>
      </w:r>
      <w:r w:rsidR="001643AD" w:rsidRPr="008009E5">
        <w:t xml:space="preserve"> </w:t>
      </w:r>
    </w:p>
    <w:p w:rsidR="00622C83" w:rsidRPr="008009E5" w:rsidRDefault="00622C83" w:rsidP="00622C83">
      <w:pPr>
        <w:pStyle w:val="Hemstlatt"/>
      </w:pPr>
      <w:r w:rsidRPr="008009E5">
        <w:t>Riksdagen tillkännager för regeringen som sin mening vad i motionen anförs om satsningar i Södertälje på särskilda insatser inriktade på kvi</w:t>
      </w:r>
      <w:r w:rsidRPr="008009E5">
        <w:t>n</w:t>
      </w:r>
      <w:r w:rsidRPr="008009E5">
        <w:t>nor med utländsk härkomst</w:t>
      </w:r>
      <w:r w:rsidR="00DB6F84" w:rsidRPr="008009E5">
        <w:t xml:space="preserve"> avseende</w:t>
      </w:r>
      <w:r w:rsidRPr="008009E5">
        <w:t xml:space="preserve"> ekonomisk</w:t>
      </w:r>
      <w:r w:rsidR="00DB6F84" w:rsidRPr="008009E5">
        <w:t>a förutsättningar och kulturell</w:t>
      </w:r>
      <w:r w:rsidRPr="008009E5">
        <w:t xml:space="preserve"> frihet i Södertäljeregionen.</w:t>
      </w:r>
      <w:r w:rsidR="001643AD" w:rsidRPr="008009E5">
        <w:rPr>
          <w:szCs w:val="24"/>
          <w:vertAlign w:val="superscript"/>
        </w:rPr>
        <w:t>2</w:t>
      </w:r>
      <w:r w:rsidR="001643AD" w:rsidRPr="008009E5">
        <w:t xml:space="preserve"> </w:t>
      </w:r>
    </w:p>
    <w:p w:rsidR="00622C83" w:rsidRPr="008009E5" w:rsidRDefault="00622C83" w:rsidP="00622C83">
      <w:pPr>
        <w:pStyle w:val="Hemstlatt"/>
      </w:pPr>
      <w:r w:rsidRPr="008009E5">
        <w:t>Riksdagen tillkännager för regeringen som sin mening vad i motionen anförs om satsningar i Södertälje på kompetenshöjande åtgärder inom de industriella områden som finns företrädda i kommunen.</w:t>
      </w:r>
    </w:p>
    <w:p w:rsidR="00622C83" w:rsidRPr="008009E5" w:rsidRDefault="00622C83" w:rsidP="00622C83">
      <w:pPr>
        <w:pStyle w:val="Hemstlatt"/>
      </w:pPr>
      <w:r w:rsidRPr="008009E5">
        <w:t>Riksdagen tillkännager för regeringen som sin mening vad i motionen anförs om en utveckling av dubbelbeskattningen, som missgynnar svenskt ägande på bekostnad av utländskt.</w:t>
      </w:r>
      <w:r w:rsidR="001643AD" w:rsidRPr="008009E5">
        <w:rPr>
          <w:szCs w:val="24"/>
          <w:vertAlign w:val="superscript"/>
        </w:rPr>
        <w:t>3</w:t>
      </w:r>
      <w:r w:rsidR="001643AD" w:rsidRPr="008009E5">
        <w:t xml:space="preserve">  </w:t>
      </w:r>
    </w:p>
    <w:p w:rsidR="00622C83" w:rsidRPr="008009E5" w:rsidRDefault="00622C83" w:rsidP="00622C83">
      <w:pPr>
        <w:pStyle w:val="Hemstlatt"/>
      </w:pPr>
      <w:r w:rsidRPr="008009E5">
        <w:t>Riksdagen tillkännager för regeringen som sin mening vad i motionen anförs om att satsa på bra infrastruktur där det har störst tillväxteffekt.</w:t>
      </w:r>
      <w:r w:rsidR="001643AD" w:rsidRPr="008009E5">
        <w:rPr>
          <w:szCs w:val="24"/>
          <w:vertAlign w:val="superscript"/>
        </w:rPr>
        <w:t>1</w:t>
      </w:r>
      <w:r w:rsidR="001643AD" w:rsidRPr="008009E5">
        <w:t xml:space="preserve"> </w:t>
      </w:r>
    </w:p>
    <w:p w:rsidR="00622C83" w:rsidRPr="008009E5" w:rsidRDefault="00622C83" w:rsidP="00622C83">
      <w:pPr>
        <w:pStyle w:val="Hemstlatt"/>
      </w:pPr>
      <w:r w:rsidRPr="008009E5">
        <w:t>Riksdagen tillkännager för regeringen som sin mening vad i motionen anförs om forskningen.</w:t>
      </w:r>
    </w:p>
    <w:p w:rsidR="00622C83" w:rsidRPr="008009E5" w:rsidRDefault="00622C83" w:rsidP="00DA08C9">
      <w:pPr>
        <w:pStyle w:val="Hemstlatt"/>
        <w:pageBreakBefore/>
      </w:pPr>
      <w:r w:rsidRPr="008009E5">
        <w:lastRenderedPageBreak/>
        <w:t>Riksdagen tillkännager för regeringen som sin mening vad i motionen anförs om att sänka skatterna på arbete och företagande, förenkla rege</w:t>
      </w:r>
      <w:r w:rsidRPr="008009E5">
        <w:t>l</w:t>
      </w:r>
      <w:r w:rsidRPr="008009E5">
        <w:t>verk och införa en mer flexibel arbetstidsreglering i syfte att främja åte</w:t>
      </w:r>
      <w:r w:rsidRPr="008009E5">
        <w:t>r</w:t>
      </w:r>
      <w:r w:rsidRPr="008009E5">
        <w:t>växten av företag.</w:t>
      </w:r>
      <w:r w:rsidR="001643AD" w:rsidRPr="008009E5">
        <w:rPr>
          <w:szCs w:val="24"/>
          <w:vertAlign w:val="superscript"/>
        </w:rPr>
        <w:t>3</w:t>
      </w:r>
      <w:r w:rsidR="001643AD" w:rsidRPr="008009E5">
        <w:t xml:space="preserve">  </w:t>
      </w:r>
    </w:p>
    <w:p w:rsidR="00B05736" w:rsidRPr="008009E5" w:rsidRDefault="00B05736" w:rsidP="001643AD">
      <w:pPr>
        <w:pStyle w:val="Normaltindrag"/>
      </w:pPr>
    </w:p>
    <w:p w:rsidR="00B05736" w:rsidRPr="008009E5" w:rsidRDefault="00B05736" w:rsidP="001643AD">
      <w:pPr>
        <w:pStyle w:val="Normaltindrag"/>
      </w:pPr>
    </w:p>
    <w:p w:rsidR="00B05736" w:rsidRPr="008009E5" w:rsidRDefault="00B05736" w:rsidP="001643AD">
      <w:pPr>
        <w:pStyle w:val="Normaltindrag"/>
      </w:pPr>
    </w:p>
    <w:p w:rsidR="00B05736" w:rsidRPr="008009E5" w:rsidRDefault="00B05736" w:rsidP="001643AD">
      <w:pPr>
        <w:pStyle w:val="Normaltindrag"/>
      </w:pPr>
    </w:p>
    <w:p w:rsidR="00B05736" w:rsidRPr="008009E5" w:rsidRDefault="00B05736" w:rsidP="001643AD">
      <w:pPr>
        <w:pStyle w:val="Normaltindrag"/>
      </w:pPr>
    </w:p>
    <w:p w:rsidR="00B05736" w:rsidRPr="008009E5" w:rsidRDefault="00B05736" w:rsidP="001643AD">
      <w:pPr>
        <w:pStyle w:val="Normaltindrag"/>
      </w:pPr>
    </w:p>
    <w:p w:rsidR="00B05736" w:rsidRPr="008009E5" w:rsidRDefault="00B05736"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073BF9" w:rsidRPr="008009E5" w:rsidRDefault="00073BF9" w:rsidP="001643AD">
      <w:pPr>
        <w:pStyle w:val="Normaltindrag"/>
      </w:pPr>
    </w:p>
    <w:p w:rsidR="00B05736" w:rsidRPr="008009E5" w:rsidRDefault="00B05736"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DA08C9" w:rsidRPr="008009E5" w:rsidRDefault="00DA08C9" w:rsidP="001643AD">
      <w:pPr>
        <w:pStyle w:val="Normaltindrag"/>
      </w:pPr>
    </w:p>
    <w:p w:rsidR="00B05736" w:rsidRPr="008009E5" w:rsidRDefault="00B05736" w:rsidP="001643AD">
      <w:pPr>
        <w:pStyle w:val="Normaltindrag"/>
      </w:pPr>
    </w:p>
    <w:p w:rsidR="00B05736" w:rsidRPr="008009E5" w:rsidRDefault="00B05736" w:rsidP="001643AD">
      <w:pPr>
        <w:pStyle w:val="Normaltindrag"/>
      </w:pPr>
    </w:p>
    <w:p w:rsidR="001643AD" w:rsidRPr="008009E5" w:rsidRDefault="001643AD" w:rsidP="001643AD">
      <w:pPr>
        <w:pStyle w:val="Normaltindrag"/>
      </w:pPr>
    </w:p>
    <w:p w:rsidR="001643AD" w:rsidRPr="008009E5" w:rsidRDefault="001643AD" w:rsidP="00B05736">
      <w:pPr>
        <w:spacing w:before="0"/>
        <w:rPr>
          <w:sz w:val="16"/>
          <w:szCs w:val="16"/>
        </w:rPr>
      </w:pPr>
      <w:r w:rsidRPr="008009E5">
        <w:rPr>
          <w:szCs w:val="24"/>
          <w:vertAlign w:val="superscript"/>
        </w:rPr>
        <w:t>1</w:t>
      </w:r>
      <w:r w:rsidRPr="008009E5">
        <w:rPr>
          <w:sz w:val="16"/>
          <w:szCs w:val="16"/>
        </w:rPr>
        <w:t>Yrkandena 3 och 7 hänvisade till TU.</w:t>
      </w:r>
    </w:p>
    <w:p w:rsidR="001643AD" w:rsidRPr="008009E5" w:rsidRDefault="001643AD" w:rsidP="00B05736">
      <w:pPr>
        <w:spacing w:before="0"/>
        <w:rPr>
          <w:sz w:val="16"/>
          <w:szCs w:val="16"/>
        </w:rPr>
      </w:pPr>
      <w:r w:rsidRPr="008009E5">
        <w:rPr>
          <w:szCs w:val="24"/>
          <w:vertAlign w:val="superscript"/>
        </w:rPr>
        <w:t>2</w:t>
      </w:r>
      <w:r w:rsidRPr="008009E5">
        <w:rPr>
          <w:sz w:val="16"/>
          <w:szCs w:val="16"/>
        </w:rPr>
        <w:t>Y</w:t>
      </w:r>
      <w:r w:rsidR="006A7429" w:rsidRPr="008009E5">
        <w:rPr>
          <w:sz w:val="16"/>
          <w:szCs w:val="16"/>
        </w:rPr>
        <w:t>rkande 4 hänvisat till KrU.</w:t>
      </w:r>
    </w:p>
    <w:p w:rsidR="006A7429" w:rsidRPr="008009E5" w:rsidRDefault="006A7429" w:rsidP="00B05736">
      <w:pPr>
        <w:spacing w:before="0"/>
        <w:rPr>
          <w:sz w:val="16"/>
          <w:szCs w:val="16"/>
        </w:rPr>
      </w:pPr>
      <w:r w:rsidRPr="008009E5">
        <w:rPr>
          <w:szCs w:val="24"/>
          <w:vertAlign w:val="superscript"/>
        </w:rPr>
        <w:t>3</w:t>
      </w:r>
      <w:r w:rsidRPr="008009E5">
        <w:rPr>
          <w:sz w:val="16"/>
          <w:szCs w:val="16"/>
        </w:rPr>
        <w:t>Yrkandena 6 och 9 hänvisade till SkU.</w:t>
      </w:r>
    </w:p>
    <w:p w:rsidR="00E84F25" w:rsidRPr="008009E5" w:rsidRDefault="007C6092" w:rsidP="005605ED">
      <w:pPr>
        <w:pStyle w:val="Rubrik1"/>
        <w:pageBreakBefore/>
        <w:spacing w:before="0"/>
      </w:pPr>
      <w:r w:rsidRPr="008009E5">
        <w:t>Motivering</w:t>
      </w:r>
    </w:p>
    <w:p w:rsidR="00622C83" w:rsidRPr="008009E5" w:rsidRDefault="00622C83" w:rsidP="00622C83">
      <w:r w:rsidRPr="008009E5">
        <w:t>Södertälje kommun skiljer sig från nästan alla andra större svenska komm</w:t>
      </w:r>
      <w:r w:rsidRPr="008009E5">
        <w:t>u</w:t>
      </w:r>
      <w:r w:rsidRPr="008009E5">
        <w:t>ner i ett mycket viktigt avseende:</w:t>
      </w:r>
      <w:r w:rsidR="00181D54" w:rsidRPr="008009E5">
        <w:t xml:space="preserve"> </w:t>
      </w:r>
      <w:r w:rsidRPr="008009E5">
        <w:t xml:space="preserve">De största </w:t>
      </w:r>
      <w:r w:rsidR="005605ED" w:rsidRPr="008009E5">
        <w:t>arbetsgivarna –</w:t>
      </w:r>
      <w:r w:rsidRPr="008009E5">
        <w:t xml:space="preserve"> och där</w:t>
      </w:r>
      <w:r w:rsidR="005605ED" w:rsidRPr="008009E5">
        <w:t>med de största arbetsplatserna –</w:t>
      </w:r>
      <w:r w:rsidRPr="008009E5">
        <w:t xml:space="preserve"> utgörs inte av den offentliga sektorn, kommunen och/eller landstinget, alternativ</w:t>
      </w:r>
      <w:r w:rsidR="00181D54" w:rsidRPr="008009E5">
        <w:t>t</w:t>
      </w:r>
      <w:r w:rsidRPr="008009E5">
        <w:t xml:space="preserve"> staten – utan av varu- och tjänsteproducera</w:t>
      </w:r>
      <w:r w:rsidRPr="008009E5">
        <w:t>n</w:t>
      </w:r>
      <w:r w:rsidRPr="008009E5">
        <w:t>de, exporterande, forskande, framtidsinriktade företag.</w:t>
      </w:r>
    </w:p>
    <w:p w:rsidR="00622C83" w:rsidRPr="008009E5" w:rsidRDefault="00622C83" w:rsidP="008852F5">
      <w:pPr>
        <w:pStyle w:val="Normaltindrag"/>
      </w:pPr>
      <w:r w:rsidRPr="008009E5">
        <w:t>Så här ser de femton största företagen/förvaltningarna ut i Södertälje:</w:t>
      </w:r>
    </w:p>
    <w:tbl>
      <w:tblPr>
        <w:tblStyle w:val="Tabellrutnt"/>
        <w:tblW w:w="6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83"/>
        <w:gridCol w:w="1520"/>
        <w:gridCol w:w="475"/>
      </w:tblGrid>
      <w:tr w:rsidR="005605ED" w:rsidRPr="008009E5">
        <w:tc>
          <w:tcPr>
            <w:tcW w:w="4383" w:type="dxa"/>
          </w:tcPr>
          <w:p w:rsidR="005605ED" w:rsidRPr="008009E5" w:rsidRDefault="005605ED" w:rsidP="008852F5">
            <w:pPr>
              <w:spacing w:before="60" w:line="200" w:lineRule="exact"/>
              <w:jc w:val="left"/>
            </w:pPr>
            <w:r w:rsidRPr="008009E5">
              <w:t>Astra Zeneca</w:t>
            </w:r>
          </w:p>
        </w:tc>
        <w:tc>
          <w:tcPr>
            <w:tcW w:w="1995" w:type="dxa"/>
            <w:gridSpan w:val="2"/>
            <w:vAlign w:val="bottom"/>
          </w:tcPr>
          <w:p w:rsidR="005605ED" w:rsidRPr="008009E5" w:rsidRDefault="005605ED" w:rsidP="008852F5">
            <w:pPr>
              <w:spacing w:before="60" w:line="200" w:lineRule="exact"/>
              <w:ind w:left="813" w:hanging="636"/>
              <w:jc w:val="center"/>
            </w:pPr>
            <w:r w:rsidRPr="008009E5">
              <w:t>7 700 a</w:t>
            </w:r>
            <w:r w:rsidRPr="008009E5">
              <w:t>n</w:t>
            </w:r>
            <w:r w:rsidRPr="008009E5">
              <w:t>ställda</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Scania AB</w:t>
            </w:r>
          </w:p>
        </w:tc>
        <w:tc>
          <w:tcPr>
            <w:tcW w:w="1520" w:type="dxa"/>
            <w:vAlign w:val="bottom"/>
          </w:tcPr>
          <w:p w:rsidR="005605ED" w:rsidRPr="008009E5" w:rsidRDefault="005605ED" w:rsidP="008852F5">
            <w:pPr>
              <w:spacing w:before="60" w:line="200" w:lineRule="exact"/>
              <w:ind w:left="462" w:hanging="570"/>
              <w:jc w:val="center"/>
            </w:pPr>
            <w:r w:rsidRPr="008009E5">
              <w:t>6 000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Södertälje kommun (förvaltningen)</w:t>
            </w:r>
          </w:p>
        </w:tc>
        <w:tc>
          <w:tcPr>
            <w:tcW w:w="1520" w:type="dxa"/>
            <w:vAlign w:val="bottom"/>
          </w:tcPr>
          <w:p w:rsidR="005605ED" w:rsidRPr="008009E5" w:rsidRDefault="005605ED" w:rsidP="008852F5">
            <w:pPr>
              <w:spacing w:before="60" w:line="200" w:lineRule="exact"/>
              <w:ind w:left="462" w:hanging="570"/>
              <w:jc w:val="center"/>
            </w:pPr>
            <w:r w:rsidRPr="008009E5">
              <w:t>5 300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Stockholms läns landsting (Södertälje)</w:t>
            </w:r>
          </w:p>
        </w:tc>
        <w:tc>
          <w:tcPr>
            <w:tcW w:w="1520" w:type="dxa"/>
            <w:vAlign w:val="bottom"/>
          </w:tcPr>
          <w:p w:rsidR="005605ED" w:rsidRPr="008009E5" w:rsidRDefault="005605ED" w:rsidP="008852F5">
            <w:pPr>
              <w:spacing w:before="60" w:line="200" w:lineRule="exact"/>
              <w:ind w:left="462" w:hanging="570"/>
              <w:jc w:val="center"/>
            </w:pPr>
            <w:r w:rsidRPr="008009E5">
              <w:t>1 400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Foria AB (SÅAB)</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800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Dynamate AB</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700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SAAB Automobile Powertrain</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570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Scania Infomate</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309</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De Laval Sales AB</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300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Telge Energi AB (kommunens energ</w:t>
            </w:r>
            <w:r w:rsidRPr="008009E5">
              <w:t>i</w:t>
            </w:r>
            <w:r w:rsidRPr="008009E5">
              <w:t>företag)</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300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Scania Parts Logistics</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262</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Cerealia Foods AB</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250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Sv Volkswagen AB</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224</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Fläkt Woods AB</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210</w:t>
            </w:r>
          </w:p>
        </w:tc>
      </w:tr>
      <w:tr w:rsidR="005605ED" w:rsidRPr="008009E5">
        <w:trPr>
          <w:gridAfter w:val="1"/>
          <w:wAfter w:w="475" w:type="dxa"/>
        </w:trPr>
        <w:tc>
          <w:tcPr>
            <w:tcW w:w="4383" w:type="dxa"/>
          </w:tcPr>
          <w:p w:rsidR="005605ED" w:rsidRPr="008009E5" w:rsidRDefault="005605ED" w:rsidP="008852F5">
            <w:pPr>
              <w:spacing w:before="60" w:line="200" w:lineRule="exact"/>
              <w:jc w:val="left"/>
            </w:pPr>
            <w:r w:rsidRPr="008009E5">
              <w:t>AB Telgebostäder (kommunens b</w:t>
            </w:r>
            <w:r w:rsidRPr="008009E5">
              <w:t>o</w:t>
            </w:r>
            <w:r w:rsidRPr="008009E5">
              <w:t>stadsföretag)</w:t>
            </w:r>
          </w:p>
        </w:tc>
        <w:tc>
          <w:tcPr>
            <w:tcW w:w="1520" w:type="dxa"/>
            <w:vAlign w:val="bottom"/>
          </w:tcPr>
          <w:p w:rsidR="005605ED" w:rsidRPr="008009E5" w:rsidRDefault="008852F5" w:rsidP="008852F5">
            <w:pPr>
              <w:spacing w:before="60" w:line="200" w:lineRule="exact"/>
              <w:ind w:left="462" w:hanging="570"/>
              <w:jc w:val="center"/>
            </w:pPr>
            <w:r w:rsidRPr="008009E5">
              <w:t xml:space="preserve">  </w:t>
            </w:r>
            <w:r w:rsidR="005605ED" w:rsidRPr="008009E5">
              <w:t>170</w:t>
            </w:r>
          </w:p>
        </w:tc>
      </w:tr>
    </w:tbl>
    <w:p w:rsidR="00622C83" w:rsidRPr="008009E5" w:rsidRDefault="00622C83" w:rsidP="00622C83">
      <w:r w:rsidRPr="008009E5">
        <w:t>Totalt finns inom Södertälje kommun cirka 4</w:t>
      </w:r>
      <w:r w:rsidR="00181D54" w:rsidRPr="008009E5">
        <w:t xml:space="preserve"> </w:t>
      </w:r>
      <w:r w:rsidRPr="008009E5">
        <w:t>000 företag med anställda. De</w:t>
      </w:r>
      <w:r w:rsidRPr="008009E5">
        <w:t>s</w:t>
      </w:r>
      <w:r w:rsidRPr="008009E5">
        <w:t>sa fö</w:t>
      </w:r>
      <w:r w:rsidR="00181D54" w:rsidRPr="008009E5">
        <w:t xml:space="preserve">retag har tillsammans 35 </w:t>
      </w:r>
      <w:r w:rsidRPr="008009E5">
        <w:t>000 anställda i Södertälje.</w:t>
      </w:r>
    </w:p>
    <w:p w:rsidR="00622C83" w:rsidRPr="008009E5" w:rsidRDefault="00622C83" w:rsidP="002B313E">
      <w:pPr>
        <w:pStyle w:val="Normaltindrag"/>
      </w:pPr>
      <w:r w:rsidRPr="008009E5">
        <w:t xml:space="preserve">Det säger sig </w:t>
      </w:r>
      <w:r w:rsidR="005605ED" w:rsidRPr="008009E5">
        <w:t>självt att en sådan industriell</w:t>
      </w:r>
      <w:r w:rsidR="002B313E" w:rsidRPr="008009E5">
        <w:t xml:space="preserve"> </w:t>
      </w:r>
      <w:r w:rsidR="005605ED" w:rsidRPr="008009E5">
        <w:t>miljö</w:t>
      </w:r>
      <w:r w:rsidRPr="008009E5">
        <w:t xml:space="preserve"> och företagsmiljö måste värnas och utvecklas. </w:t>
      </w:r>
    </w:p>
    <w:p w:rsidR="00622C83" w:rsidRPr="008009E5" w:rsidRDefault="00622C83" w:rsidP="005605ED">
      <w:pPr>
        <w:pStyle w:val="Normaltindrag"/>
      </w:pPr>
      <w:r w:rsidRPr="008009E5">
        <w:t xml:space="preserve">Låt oss inledningsvis kort erinra om Astras betydelse för Sverige, inte minst för att understryka tillväxtens betydelse för välfärdens utbredning. </w:t>
      </w:r>
    </w:p>
    <w:p w:rsidR="00622C83" w:rsidRPr="008009E5" w:rsidRDefault="00622C83" w:rsidP="005605ED">
      <w:pPr>
        <w:pStyle w:val="Normaltindrag"/>
      </w:pPr>
      <w:r w:rsidRPr="008009E5">
        <w:t>Företaget startades 1913 och började 1931 med egen forskningsverksa</w:t>
      </w:r>
      <w:r w:rsidRPr="008009E5">
        <w:t>m</w:t>
      </w:r>
      <w:r w:rsidRPr="008009E5">
        <w:t>het. Sedan 1955 är bolaget noterat på Stockhol</w:t>
      </w:r>
      <w:r w:rsidR="00CF76B0" w:rsidRPr="008009E5">
        <w:t>m</w:t>
      </w:r>
      <w:r w:rsidRPr="008009E5">
        <w:t>sbörsen, sedan 1996 i New York, från 1999 som Astra</w:t>
      </w:r>
      <w:r w:rsidR="005605ED" w:rsidRPr="008009E5">
        <w:t xml:space="preserve"> </w:t>
      </w:r>
      <w:r w:rsidRPr="008009E5">
        <w:t>Zeneca efter samgåendet med USA-företaget Zeneca.</w:t>
      </w:r>
    </w:p>
    <w:p w:rsidR="00622C83" w:rsidRPr="008009E5" w:rsidRDefault="00622C83" w:rsidP="005605ED">
      <w:pPr>
        <w:pStyle w:val="Normaltindrag"/>
      </w:pPr>
      <w:r w:rsidRPr="008009E5">
        <w:t xml:space="preserve">År 1974 startades produktionen vid Gärtunafabriken i Södertälje, </w:t>
      </w:r>
      <w:r w:rsidR="00CF76B0" w:rsidRPr="008009E5">
        <w:t xml:space="preserve">och </w:t>
      </w:r>
      <w:r w:rsidRPr="008009E5">
        <w:t>av de många preparat som utvecklats är magmedicinen Losec det varumärkesmä</w:t>
      </w:r>
      <w:r w:rsidRPr="008009E5">
        <w:t>s</w:t>
      </w:r>
      <w:r w:rsidRPr="008009E5">
        <w:t>sigt mes</w:t>
      </w:r>
      <w:r w:rsidR="00CF76B0" w:rsidRPr="008009E5">
        <w:t xml:space="preserve">t kända. Av företagets i dag 60 </w:t>
      </w:r>
      <w:r w:rsidRPr="008009E5">
        <w:t>000 medarbetare finns 13</w:t>
      </w:r>
      <w:r w:rsidR="00CF76B0" w:rsidRPr="008009E5">
        <w:t xml:space="preserve"> </w:t>
      </w:r>
      <w:r w:rsidRPr="008009E5">
        <w:t>000 i Sver</w:t>
      </w:r>
      <w:r w:rsidRPr="008009E5">
        <w:t>i</w:t>
      </w:r>
      <w:r w:rsidRPr="008009E5">
        <w:t>ge</w:t>
      </w:r>
      <w:r w:rsidR="005605ED" w:rsidRPr="008009E5">
        <w:t>,</w:t>
      </w:r>
      <w:r w:rsidR="002B313E" w:rsidRPr="008009E5">
        <w:t xml:space="preserve"> </w:t>
      </w:r>
      <w:r w:rsidRPr="008009E5">
        <w:t>varav nästan hälften i Södertälje där mycket stora investeringar i forskning och produktion nu genomförs, totalt planeras investeringar omkring 7 milja</w:t>
      </w:r>
      <w:r w:rsidRPr="008009E5">
        <w:t>r</w:t>
      </w:r>
      <w:r w:rsidRPr="008009E5">
        <w:t>der kr</w:t>
      </w:r>
      <w:r w:rsidR="00431C3D" w:rsidRPr="008009E5">
        <w:t>onor</w:t>
      </w:r>
      <w:r w:rsidR="002B313E" w:rsidRPr="008009E5">
        <w:t>,</w:t>
      </w:r>
      <w:r w:rsidRPr="008009E5">
        <w:t xml:space="preserve"> varav redan i dag har satsats mer än 5 miljarder kr</w:t>
      </w:r>
      <w:r w:rsidR="00431C3D" w:rsidRPr="008009E5">
        <w:t>onor</w:t>
      </w:r>
      <w:r w:rsidRPr="008009E5">
        <w:t>.</w:t>
      </w:r>
    </w:p>
    <w:p w:rsidR="00622C83" w:rsidRPr="008009E5" w:rsidRDefault="00622C83" w:rsidP="005605ED">
      <w:pPr>
        <w:pStyle w:val="Normaltindrag"/>
      </w:pPr>
      <w:r w:rsidRPr="008009E5">
        <w:t>Kvalificerad medicinsk forskning förutsätter att substanser, under betry</w:t>
      </w:r>
      <w:r w:rsidRPr="008009E5">
        <w:t>g</w:t>
      </w:r>
      <w:r w:rsidRPr="008009E5">
        <w:t>gande vetenskapliga former, kan testas på djur, under högsta etiska former och kontroll. God djurhållning är en förutsättning för verksamheten och m</w:t>
      </w:r>
      <w:r w:rsidRPr="008009E5">
        <w:t>e</w:t>
      </w:r>
      <w:r w:rsidRPr="008009E5">
        <w:t>dicinföretaget har under 2005 uppvaktat Södertälje kommun i denna fråga, för att försäkra sig om att framtagandet av nya läkemedel inte hindras av beslut som omöjliggör den starkt forskningsintensiva verksamheten i Sverige vilken också, utöver all annan kontroll</w:t>
      </w:r>
      <w:r w:rsidR="000A58EA" w:rsidRPr="008009E5">
        <w:t>erad forskning, kräver att</w:t>
      </w:r>
      <w:r w:rsidRPr="008009E5">
        <w:t xml:space="preserve"> försök kan ske på djur enligt de bestämmelser som riksdag, regering, ansvariga myndighet</w:t>
      </w:r>
      <w:r w:rsidR="005605ED" w:rsidRPr="008009E5">
        <w:t>er</w:t>
      </w:r>
      <w:r w:rsidRPr="008009E5">
        <w:t xml:space="preserve"> och etiska forskningsråd har att verka under.</w:t>
      </w:r>
    </w:p>
    <w:p w:rsidR="00622C83" w:rsidRPr="008009E5" w:rsidRDefault="00622C83" w:rsidP="005605ED">
      <w:pPr>
        <w:pStyle w:val="Normaltindrag"/>
      </w:pPr>
      <w:r w:rsidRPr="008009E5">
        <w:t>Går vi vidare till Scania är också det, med sitt ursprung från 1891 i Vabis (Vagnfabriksaktiebolaget i Söd</w:t>
      </w:r>
      <w:r w:rsidR="005605ED" w:rsidRPr="008009E5">
        <w:t>ertelge) och Scania AB i Malmö –</w:t>
      </w:r>
      <w:r w:rsidRPr="008009E5">
        <w:t xml:space="preserve"> fusionerat och en</w:t>
      </w:r>
      <w:r w:rsidR="005605ED" w:rsidRPr="008009E5">
        <w:t xml:space="preserve"> gång inom Saab/Scania-gruppen –</w:t>
      </w:r>
      <w:r w:rsidRPr="008009E5">
        <w:t xml:space="preserve"> ett av Sveriges allra viktigaste för</w:t>
      </w:r>
      <w:r w:rsidRPr="008009E5">
        <w:t>e</w:t>
      </w:r>
      <w:r w:rsidRPr="008009E5">
        <w:t>tag, med produktion av lastfordon och bussar för hela världsmarknaden.</w:t>
      </w:r>
      <w:r w:rsidR="001B610D" w:rsidRPr="008009E5">
        <w:t xml:space="preserve"> </w:t>
      </w:r>
      <w:r w:rsidRPr="008009E5">
        <w:t>I Sverige finns för närvarande, utöver företagets cirka 20</w:t>
      </w:r>
      <w:r w:rsidR="001B610D" w:rsidRPr="008009E5">
        <w:t xml:space="preserve"> </w:t>
      </w:r>
      <w:r w:rsidRPr="008009E5">
        <w:t>000 återfö</w:t>
      </w:r>
      <w:r w:rsidR="001B610D" w:rsidRPr="008009E5">
        <w:t xml:space="preserve">rsäljare världen runt, cirka 12 000 av företagets 28 </w:t>
      </w:r>
      <w:r w:rsidRPr="008009E5">
        <w:t xml:space="preserve">000 anställda. </w:t>
      </w:r>
    </w:p>
    <w:p w:rsidR="00622C83" w:rsidRPr="008009E5" w:rsidRDefault="001B610D" w:rsidP="008852F5">
      <w:pPr>
        <w:pStyle w:val="Normaltindrag"/>
      </w:pPr>
      <w:r w:rsidRPr="008009E5">
        <w:t xml:space="preserve">De 6 </w:t>
      </w:r>
      <w:r w:rsidR="00622C83" w:rsidRPr="008009E5">
        <w:t>000 anställda i</w:t>
      </w:r>
      <w:r w:rsidR="00622C83" w:rsidRPr="008009E5">
        <w:rPr>
          <w:rStyle w:val="NormaltindragChar"/>
        </w:rPr>
        <w:t xml:space="preserve"> </w:t>
      </w:r>
      <w:r w:rsidR="00622C83" w:rsidRPr="008009E5">
        <w:t xml:space="preserve">Södertälje </w:t>
      </w:r>
      <w:r w:rsidR="005605ED" w:rsidRPr="008009E5">
        <w:t>–</w:t>
      </w:r>
      <w:r w:rsidR="00622C83" w:rsidRPr="008009E5">
        <w:t xml:space="preserve"> halva den svenska arbetsstyrkan </w:t>
      </w:r>
      <w:r w:rsidR="005605ED" w:rsidRPr="008009E5">
        <w:t>–</w:t>
      </w:r>
      <w:r w:rsidR="00622C83" w:rsidRPr="008009E5">
        <w:t xml:space="preserve"> tillve</w:t>
      </w:r>
      <w:r w:rsidR="00622C83" w:rsidRPr="008009E5">
        <w:t>r</w:t>
      </w:r>
      <w:r w:rsidR="00622C83" w:rsidRPr="008009E5">
        <w:t>kar i huvudsak motorer och växellådor, i Falun sker produktion av axlar, i Oskarshamn hytter, i Sibbhult växellådor och retarder och i Luleå rambalkar och bakaxelbryggor. Inom fordonsproduktione</w:t>
      </w:r>
      <w:r w:rsidR="003A2130" w:rsidRPr="008009E5">
        <w:t>n är antalet underleveran</w:t>
      </w:r>
      <w:r w:rsidR="00622C83" w:rsidRPr="008009E5">
        <w:t>törer mycket stort. De finns både i och utom Sverige. Närheten till marknaderna spelar på fordon</w:t>
      </w:r>
      <w:r w:rsidR="00622C83" w:rsidRPr="008009E5">
        <w:t>s</w:t>
      </w:r>
      <w:r w:rsidR="00622C83" w:rsidRPr="008009E5">
        <w:t>området en viktig roll, det är också mot den bakgrunden man skall se hur sammansät</w:t>
      </w:r>
      <w:r w:rsidR="00622C83" w:rsidRPr="008009E5">
        <w:t>t</w:t>
      </w:r>
      <w:r w:rsidR="00622C83" w:rsidRPr="008009E5">
        <w:t>ningsfabriker finns överallt från Polen till Brasilien.</w:t>
      </w:r>
    </w:p>
    <w:p w:rsidR="00622C83" w:rsidRPr="008009E5" w:rsidRDefault="005605ED" w:rsidP="005605ED">
      <w:pPr>
        <w:pStyle w:val="Normaltindrag"/>
      </w:pPr>
      <w:r w:rsidRPr="008009E5">
        <w:t xml:space="preserve">År </w:t>
      </w:r>
      <w:r w:rsidR="00622C83" w:rsidRPr="008009E5">
        <w:t>2004 exporterades bilar och bildelar för 125 miljarder kronor från Sv</w:t>
      </w:r>
      <w:r w:rsidR="00622C83" w:rsidRPr="008009E5">
        <w:t>e</w:t>
      </w:r>
      <w:r w:rsidR="00622C83" w:rsidRPr="008009E5">
        <w:t>rige. Det motsvarar cirka 15 procent av Sveriges totala varuexport. Bilind</w:t>
      </w:r>
      <w:r w:rsidR="00622C83" w:rsidRPr="008009E5">
        <w:t>u</w:t>
      </w:r>
      <w:r w:rsidR="00622C83" w:rsidRPr="008009E5">
        <w:t>strin stod också för 27 procent av industrins totala forsknings- och utvec</w:t>
      </w:r>
      <w:r w:rsidR="00622C83" w:rsidRPr="008009E5">
        <w:t>k</w:t>
      </w:r>
      <w:r w:rsidR="00622C83" w:rsidRPr="008009E5">
        <w:t xml:space="preserve">lingsutgifter under 2003. </w:t>
      </w:r>
    </w:p>
    <w:p w:rsidR="00622C83" w:rsidRPr="008009E5" w:rsidRDefault="00622C83" w:rsidP="005605ED">
      <w:pPr>
        <w:pStyle w:val="Normaltindrag"/>
      </w:pPr>
      <w:r w:rsidRPr="008009E5">
        <w:t>På samma sätt är medicinteknikindustrin en viktig grund för det svenska välståndet. Det skapas jobb och forskning för</w:t>
      </w:r>
      <w:r w:rsidR="005605ED" w:rsidRPr="008009E5">
        <w:t xml:space="preserve"> miljarder och åter miljarder </w:t>
      </w:r>
      <w:r w:rsidRPr="008009E5">
        <w:t>och dessutom attraktiva arbetsplatser.</w:t>
      </w:r>
    </w:p>
    <w:p w:rsidR="00622C83" w:rsidRPr="008009E5" w:rsidRDefault="00622C83" w:rsidP="005605ED">
      <w:pPr>
        <w:pStyle w:val="Normaltindrag"/>
      </w:pPr>
      <w:r w:rsidRPr="008009E5">
        <w:t>Det är i det här perspektivet, och vetskapen om vilken oerhörd betyd</w:t>
      </w:r>
      <w:r w:rsidR="003A2130" w:rsidRPr="008009E5">
        <w:t xml:space="preserve">else medicin-, </w:t>
      </w:r>
      <w:r w:rsidRPr="008009E5">
        <w:t xml:space="preserve">fordonstillverkning och -forskning har för svensk välfärd, som förutsättningarna för industrin skall ses. </w:t>
      </w:r>
    </w:p>
    <w:p w:rsidR="00622C83" w:rsidRPr="008009E5" w:rsidRDefault="00622C83" w:rsidP="005605ED">
      <w:pPr>
        <w:pStyle w:val="Normaltindrag"/>
      </w:pPr>
      <w:r w:rsidRPr="008009E5">
        <w:t>Utan fortsatt tillväxt, grundad på goda forsknings- och produktionsföru</w:t>
      </w:r>
      <w:r w:rsidRPr="008009E5">
        <w:t>t</w:t>
      </w:r>
      <w:r w:rsidRPr="008009E5">
        <w:t>sättningar i bland annat Södertäljeregionen, kommer – i den mån inte främst produktionsresurser av skilda skäl redan flyttats till andra regioner – Sveriges välfärd, redan utsatt för stora påfrestningar av både demografiska och andra strukturella skäl, att påverkas ytterst negativt.</w:t>
      </w:r>
    </w:p>
    <w:p w:rsidR="00622C83" w:rsidRPr="008009E5" w:rsidRDefault="00622C83" w:rsidP="005605ED">
      <w:pPr>
        <w:pStyle w:val="Normaltindrag"/>
      </w:pPr>
      <w:r w:rsidRPr="008009E5">
        <w:t>Därför måste företagens framtida behov av kvalificerade medarbetare, och därmed all service i form av bostäder, skolor, sjukvård och annan infrastru</w:t>
      </w:r>
      <w:r w:rsidRPr="008009E5">
        <w:t>k</w:t>
      </w:r>
      <w:r w:rsidRPr="008009E5">
        <w:t>tur i området, tillgodoses.</w:t>
      </w:r>
    </w:p>
    <w:p w:rsidR="00622C83" w:rsidRPr="008009E5" w:rsidRDefault="00622C83" w:rsidP="005605ED">
      <w:pPr>
        <w:pStyle w:val="Normaltindrag"/>
      </w:pPr>
      <w:r w:rsidRPr="008009E5">
        <w:t>Men det är viktigt att minnas att forskningsintensiva företag behöver en verksamhetsmiljö som stimulerar utbyte av erfarenheter och kunskaper me</w:t>
      </w:r>
      <w:r w:rsidRPr="008009E5">
        <w:t>l</w:t>
      </w:r>
      <w:r w:rsidRPr="008009E5">
        <w:t>lan skilda men ändå till sin akademiska inriktning likartade verksamheter.</w:t>
      </w:r>
    </w:p>
    <w:p w:rsidR="00622C83" w:rsidRPr="008009E5" w:rsidRDefault="00622C83" w:rsidP="005605ED">
      <w:pPr>
        <w:pStyle w:val="Normaltindrag"/>
      </w:pPr>
      <w:r w:rsidRPr="008009E5">
        <w:t xml:space="preserve">I Södertälje syns detta främst på fordonsområdet, där produktion gått hand i hand med marknadsföring och försäljning via in- och utskeppning genom Södertälje hamn, särskilt anpassad till fordonshantering. </w:t>
      </w:r>
    </w:p>
    <w:p w:rsidR="00622C83" w:rsidRPr="008009E5" w:rsidRDefault="00622C83" w:rsidP="005605ED">
      <w:pPr>
        <w:pStyle w:val="Normaltindrag"/>
      </w:pPr>
      <w:r w:rsidRPr="008009E5">
        <w:t>En del fordonssammansättning</w:t>
      </w:r>
      <w:r w:rsidR="00BD4ACA" w:rsidRPr="008009E5">
        <w:t>ar</w:t>
      </w:r>
      <w:r w:rsidRPr="008009E5">
        <w:t xml:space="preserve"> har redan förlagts till andra länder. Det gäller bussar som av kostnadsskäl flyttats till Polen, medan lastbilar av mer uttalade marknadsföringsskäl sedan länge satts samman i Brasilien.</w:t>
      </w:r>
    </w:p>
    <w:p w:rsidR="00622C83" w:rsidRPr="008009E5" w:rsidRDefault="00622C83" w:rsidP="005605ED">
      <w:pPr>
        <w:pStyle w:val="Normaltindrag"/>
      </w:pPr>
      <w:r w:rsidRPr="008009E5">
        <w:t>Det är emellertid viktigt att för framtiden säkra att produktion kan fortsätta i vårt land. Det förutsätter att de personalkostnadsfördelar som finns i andra länder kan vägas mot de konkurrensfördelar på kunskaps-, miljö-, personal-, forsknings- och utvecklingsområdena som vårt land kan erbjuda.</w:t>
      </w:r>
    </w:p>
    <w:p w:rsidR="00622C83" w:rsidRPr="008009E5" w:rsidRDefault="00622C83" w:rsidP="005605ED">
      <w:pPr>
        <w:pStyle w:val="Normaltindrag"/>
      </w:pPr>
      <w:r w:rsidRPr="008009E5">
        <w:t>Södertälje ligger redan väl till kommunikationsmässigt, med ha</w:t>
      </w:r>
      <w:r w:rsidR="00BD4ACA" w:rsidRPr="008009E5">
        <w:t>mn, två E</w:t>
      </w:r>
      <w:r w:rsidR="00C01886" w:rsidRPr="008009E5">
        <w:t> </w:t>
      </w:r>
      <w:r w:rsidR="00BD4ACA" w:rsidRPr="008009E5">
        <w:t>4-vägar genom kommunen och</w:t>
      </w:r>
      <w:r w:rsidRPr="008009E5">
        <w:t xml:space="preserve"> väl fungerade tågtrafik. Det betyder inte att inte ytterligare förbättringar kan göras vad gäller kommunikationer. Ett oro</w:t>
      </w:r>
      <w:r w:rsidRPr="008009E5">
        <w:t>s</w:t>
      </w:r>
      <w:r w:rsidRPr="008009E5">
        <w:t>moment är att SJ:s fjärrtåg i allt större utsträckning passerar Södertälje Syd, belägen på den stora Igelstabron med sin magnifika utsikt över land, stad och vatten, utan att stanna. Det är till men för hela regionen.</w:t>
      </w:r>
    </w:p>
    <w:p w:rsidR="00622C83" w:rsidRPr="008009E5" w:rsidRDefault="00622C83" w:rsidP="005605ED">
      <w:pPr>
        <w:pStyle w:val="Normaltindrag"/>
      </w:pPr>
      <w:r w:rsidRPr="008009E5">
        <w:t>Dessvärre kommer trängselskatten, oavsett</w:t>
      </w:r>
      <w:r w:rsidR="00C01886" w:rsidRPr="008009E5">
        <w:t xml:space="preserve"> vad man i övrigt tycker om den, att </w:t>
      </w:r>
      <w:r w:rsidRPr="008009E5">
        <w:t>b</w:t>
      </w:r>
      <w:r w:rsidR="005605ED" w:rsidRPr="008009E5">
        <w:t>etyda ökade restider Södertälje–</w:t>
      </w:r>
      <w:r w:rsidRPr="008009E5">
        <w:t>Arlanda i rusningstider genom att det kan komma att ta mycket längre tid än i dag att passera Essingeleden. Dessa tidskostnader är, såvitt känt är, ej medtagna i den samm</w:t>
      </w:r>
      <w:r w:rsidR="005605ED" w:rsidRPr="008009E5">
        <w:t>antagna trän</w:t>
      </w:r>
      <w:r w:rsidR="005605ED" w:rsidRPr="008009E5">
        <w:t>g</w:t>
      </w:r>
      <w:r w:rsidR="005605ED" w:rsidRPr="008009E5">
        <w:t>selskattekalkylen –</w:t>
      </w:r>
      <w:r w:rsidRPr="008009E5">
        <w:t xml:space="preserve"> då de ju betalas av enskilda med ofta snäva tidsmargin</w:t>
      </w:r>
      <w:r w:rsidRPr="008009E5">
        <w:t>a</w:t>
      </w:r>
      <w:r w:rsidRPr="008009E5">
        <w:t xml:space="preserve">ler. </w:t>
      </w:r>
    </w:p>
    <w:p w:rsidR="00622C83" w:rsidRPr="008009E5" w:rsidRDefault="00622C83" w:rsidP="005605ED">
      <w:pPr>
        <w:pStyle w:val="Normaltindrag"/>
      </w:pPr>
      <w:r w:rsidRPr="008009E5">
        <w:t>På bostadsområdet är situationen långt mindre gynnsam, detsamma gäller tillgången till högskoleutbildning. Flyttningen av Telge Campus till Södertörn må ha motiverats utifrån universitetsadministrativa utgångspunkter, men sättet som beslutet tillkommit under – ort har ställts mot ort, lokalisering mot lokalisering – har inte gjort att båda orternas komparativa utbildningsfördelar utnyttjats.</w:t>
      </w:r>
    </w:p>
    <w:p w:rsidR="00622C83" w:rsidRPr="008009E5" w:rsidRDefault="00622C83" w:rsidP="005605ED">
      <w:pPr>
        <w:pStyle w:val="Normaltindrag"/>
      </w:pPr>
      <w:r w:rsidRPr="008009E5">
        <w:t>Nu måste emellertid det beslut som träffats få verka under en tid, detta för att säkra att kvaliteten i undervisningen inte blir lidande av administrativa tillkortakommanden och brist på högkvalificerade lärare, något som dessvärre kan ligga i farans riktning.</w:t>
      </w:r>
    </w:p>
    <w:p w:rsidR="00622C83" w:rsidRPr="008009E5" w:rsidRDefault="00622C83" w:rsidP="005605ED">
      <w:pPr>
        <w:pStyle w:val="Normaltindrag"/>
      </w:pPr>
      <w:r w:rsidRPr="008009E5">
        <w:t>Södertälje utmärks i dag av stor etnisk mångfald. Det resulterar förvisso stundom i händelser där etniska motsättningar mellan befolkningsgrupper kommer i förgrunden för den mediala rapporteringen – för kort tid sedan har motsättningar mellan ungdomar från Sverige och andra länder i stadsdelen Ronna varit föremål för stor uppmärksamhet.</w:t>
      </w:r>
      <w:r w:rsidR="00272432" w:rsidRPr="008009E5">
        <w:t xml:space="preserve"> </w:t>
      </w:r>
      <w:r w:rsidRPr="008009E5">
        <w:t>Som helhet är emellertid denna mångfacetterade smältdegel av största vä</w:t>
      </w:r>
      <w:r w:rsidRPr="008009E5">
        <w:t>r</w:t>
      </w:r>
      <w:r w:rsidRPr="008009E5">
        <w:t>de för Södertälje: Här samsas inom regionen en lång rad språk, skilda religioner, kulturer och nationella bakgru</w:t>
      </w:r>
      <w:r w:rsidRPr="008009E5">
        <w:t>n</w:t>
      </w:r>
      <w:r w:rsidRPr="008009E5">
        <w:t>der. De olika värderingar som härstammar från dessa skilda bakgrunder kan, om toleransen och förståelsen får överbry</w:t>
      </w:r>
      <w:r w:rsidRPr="008009E5">
        <w:t>g</w:t>
      </w:r>
      <w:r w:rsidRPr="008009E5">
        <w:t>ga etnisk misstänksamhet och personlig motvilja, bidra till att minoriteter uppfattas som tillgångar, inte som problem.</w:t>
      </w:r>
      <w:r w:rsidR="00C01886" w:rsidRPr="008009E5">
        <w:t xml:space="preserve"> </w:t>
      </w:r>
      <w:r w:rsidRPr="008009E5">
        <w:t>Integrationen i Södertälje går genom accepterande välkomnande mångfald.</w:t>
      </w:r>
    </w:p>
    <w:p w:rsidR="00622C83" w:rsidRPr="008009E5" w:rsidRDefault="00622C83" w:rsidP="005605ED">
      <w:pPr>
        <w:pStyle w:val="Normaltindrag"/>
      </w:pPr>
      <w:r w:rsidRPr="008009E5">
        <w:t>Södertälje med sin medborgarmångfald skulle förmodligen kunna stimul</w:t>
      </w:r>
      <w:r w:rsidRPr="008009E5">
        <w:t>e</w:t>
      </w:r>
      <w:r w:rsidRPr="008009E5">
        <w:t>ra småföretagandet i hög grad om hinder för enskilt företagande kunde min</w:t>
      </w:r>
      <w:r w:rsidRPr="008009E5">
        <w:t>i</w:t>
      </w:r>
      <w:r w:rsidRPr="008009E5">
        <w:t>meras.</w:t>
      </w:r>
    </w:p>
    <w:p w:rsidR="00622C83" w:rsidRPr="008009E5" w:rsidRDefault="00622C83" w:rsidP="005605ED">
      <w:pPr>
        <w:pStyle w:val="Normaltindrag"/>
      </w:pPr>
      <w:r w:rsidRPr="008009E5">
        <w:t>Til</w:t>
      </w:r>
      <w:r w:rsidR="00BD4ACA" w:rsidRPr="008009E5">
        <w:t xml:space="preserve">lkomsten av Nyföretagar-Centrum </w:t>
      </w:r>
      <w:r w:rsidRPr="008009E5">
        <w:t>Södertälje</w:t>
      </w:r>
      <w:r w:rsidR="005605ED" w:rsidRPr="008009E5">
        <w:t>–</w:t>
      </w:r>
      <w:r w:rsidRPr="008009E5">
        <w:t>Nyk</w:t>
      </w:r>
      <w:r w:rsidR="00BD4ACA" w:rsidRPr="008009E5">
        <w:t>varn är</w:t>
      </w:r>
      <w:r w:rsidR="00C01886" w:rsidRPr="008009E5">
        <w:t>,</w:t>
      </w:r>
      <w:r w:rsidR="00BD4ACA" w:rsidRPr="008009E5">
        <w:t xml:space="preserve"> liksom IUC i Mälardalen och</w:t>
      </w:r>
      <w:r w:rsidRPr="008009E5">
        <w:t xml:space="preserve"> Södertälje företagsgrupp, bra exempel på att företagaranda och företagande finns i regionen. Det är ju mera sällan som företag som Astra</w:t>
      </w:r>
      <w:r w:rsidR="005605ED" w:rsidRPr="008009E5">
        <w:t xml:space="preserve"> </w:t>
      </w:r>
      <w:r w:rsidRPr="008009E5">
        <w:t>Zeneca eller Scania uppstår ur ingenting.</w:t>
      </w:r>
    </w:p>
    <w:p w:rsidR="00622C83" w:rsidRPr="008009E5" w:rsidRDefault="00622C83" w:rsidP="005605ED">
      <w:pPr>
        <w:pStyle w:val="Normaltindrag"/>
      </w:pPr>
      <w:r w:rsidRPr="008009E5">
        <w:t>Besluten våren 2005 om att produktionen av bilar flyttas från Trollhättan till tyska Rüssel</w:t>
      </w:r>
      <w:r w:rsidR="005605ED" w:rsidRPr="008009E5">
        <w:t>s</w:t>
      </w:r>
      <w:r w:rsidRPr="008009E5">
        <w:t>heim var</w:t>
      </w:r>
      <w:r w:rsidR="00BD4ACA" w:rsidRPr="008009E5">
        <w:t xml:space="preserve"> </w:t>
      </w:r>
      <w:r w:rsidRPr="008009E5">
        <w:t>en viktig signal till hela den svenska industrin. Vårt land måste ligga i framkanten både vad gäller forskning, utveckling, produ</w:t>
      </w:r>
      <w:r w:rsidRPr="008009E5">
        <w:t>k</w:t>
      </w:r>
      <w:r w:rsidRPr="008009E5">
        <w:t>tion och marknadsföring för att säkerställa att inte viktiga delar av verksa</w:t>
      </w:r>
      <w:r w:rsidRPr="008009E5">
        <w:t>m</w:t>
      </w:r>
      <w:r w:rsidRPr="008009E5">
        <w:t>heten av skilda skäl flyttas till andra länder där förhållandena, ekonomiskt eller av andra orsaker, anses ge bättre företagsekonomiska förutsättningar.</w:t>
      </w:r>
    </w:p>
    <w:p w:rsidR="00622C83" w:rsidRPr="008009E5" w:rsidRDefault="00622C83" w:rsidP="005605ED">
      <w:pPr>
        <w:pStyle w:val="Normaltindrag"/>
      </w:pPr>
      <w:r w:rsidRPr="008009E5">
        <w:t>Därför måste, i Södertälje och annorstädes, företagens framtida behov av kvalificerade medarbetare, och därmed all den service i form av bostäder, skolor, sjukvård och annan infrastruktur i området, tillgodoses.</w:t>
      </w:r>
    </w:p>
    <w:p w:rsidR="00622C83" w:rsidRPr="008009E5" w:rsidRDefault="00622C83" w:rsidP="005605ED">
      <w:pPr>
        <w:pStyle w:val="Normaltindrag"/>
      </w:pPr>
      <w:r w:rsidRPr="008009E5">
        <w:t>Ser vi till befolkningsutvecklingen kan vi konstatera att Södertälje är en av Sveriges största städer, oaktat att Nykvarn vid årsskiftet 1998/99 blev en egen kommun. Södertälje hade 80 735 invånare</w:t>
      </w:r>
      <w:r w:rsidR="005605ED" w:rsidRPr="008009E5">
        <w:t xml:space="preserve"> vid årsskiftet 2003/04</w:t>
      </w:r>
      <w:r w:rsidRPr="008009E5">
        <w:t>.</w:t>
      </w:r>
    </w:p>
    <w:p w:rsidR="00622C83" w:rsidRPr="008009E5" w:rsidRDefault="00622C83" w:rsidP="005605ED">
      <w:pPr>
        <w:pStyle w:val="Normaltindrag"/>
      </w:pPr>
      <w:r w:rsidRPr="008009E5">
        <w:t>Befolkningsprognosen, som förutsätter fortsatt hög industrialisering inom kommunen, under den kommande 10-årsperioden ser ut enligt nedan.</w:t>
      </w:r>
    </w:p>
    <w:tbl>
      <w:tblPr>
        <w:tblStyle w:val="Tabellrutnt"/>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64"/>
        <w:gridCol w:w="3989"/>
      </w:tblGrid>
      <w:tr w:rsidR="005605ED" w:rsidRPr="008009E5">
        <w:trPr>
          <w:jc w:val="right"/>
        </w:trPr>
        <w:tc>
          <w:tcPr>
            <w:tcW w:w="1995" w:type="dxa"/>
          </w:tcPr>
          <w:p w:rsidR="005605ED" w:rsidRPr="008009E5" w:rsidRDefault="005605ED" w:rsidP="00BD4ACA">
            <w:pPr>
              <w:pStyle w:val="Normaltindrag"/>
              <w:ind w:firstLine="0"/>
            </w:pPr>
            <w:r w:rsidRPr="008009E5">
              <w:rPr>
                <w:b/>
              </w:rPr>
              <w:t>År</w:t>
            </w:r>
          </w:p>
        </w:tc>
        <w:tc>
          <w:tcPr>
            <w:tcW w:w="4066" w:type="dxa"/>
          </w:tcPr>
          <w:p w:rsidR="005605ED" w:rsidRPr="008009E5" w:rsidRDefault="005605ED" w:rsidP="00BD4ACA">
            <w:pPr>
              <w:pStyle w:val="Normaltindrag"/>
              <w:ind w:firstLine="0"/>
            </w:pPr>
            <w:r w:rsidRPr="008009E5">
              <w:rPr>
                <w:b/>
              </w:rPr>
              <w:t>Invånare</w:t>
            </w:r>
          </w:p>
        </w:tc>
      </w:tr>
      <w:tr w:rsidR="005605ED" w:rsidRPr="008009E5">
        <w:trPr>
          <w:jc w:val="right"/>
        </w:trPr>
        <w:tc>
          <w:tcPr>
            <w:tcW w:w="1995" w:type="dxa"/>
          </w:tcPr>
          <w:p w:rsidR="005605ED" w:rsidRPr="008009E5" w:rsidRDefault="005605ED" w:rsidP="00BD4ACA">
            <w:pPr>
              <w:pStyle w:val="Normaltindrag"/>
              <w:ind w:firstLine="0"/>
            </w:pPr>
            <w:r w:rsidRPr="008009E5">
              <w:t>2005</w:t>
            </w:r>
          </w:p>
        </w:tc>
        <w:tc>
          <w:tcPr>
            <w:tcW w:w="4066" w:type="dxa"/>
          </w:tcPr>
          <w:p w:rsidR="005605ED" w:rsidRPr="008009E5" w:rsidRDefault="005605ED" w:rsidP="00BD4ACA">
            <w:pPr>
              <w:pStyle w:val="Normaltindrag"/>
              <w:ind w:firstLine="0"/>
            </w:pPr>
            <w:r w:rsidRPr="008009E5">
              <w:t>81 455</w:t>
            </w:r>
          </w:p>
        </w:tc>
      </w:tr>
      <w:tr w:rsidR="005605ED" w:rsidRPr="008009E5">
        <w:trPr>
          <w:jc w:val="right"/>
        </w:trPr>
        <w:tc>
          <w:tcPr>
            <w:tcW w:w="1995" w:type="dxa"/>
          </w:tcPr>
          <w:p w:rsidR="005605ED" w:rsidRPr="008009E5" w:rsidRDefault="005605ED" w:rsidP="00BD4ACA">
            <w:pPr>
              <w:pStyle w:val="Normaltindrag"/>
              <w:ind w:firstLine="0"/>
            </w:pPr>
            <w:r w:rsidRPr="008009E5">
              <w:t>2006</w:t>
            </w:r>
          </w:p>
        </w:tc>
        <w:tc>
          <w:tcPr>
            <w:tcW w:w="4066" w:type="dxa"/>
          </w:tcPr>
          <w:p w:rsidR="005605ED" w:rsidRPr="008009E5" w:rsidRDefault="005605ED" w:rsidP="00BD4ACA">
            <w:pPr>
              <w:pStyle w:val="Normaltindrag"/>
              <w:ind w:firstLine="0"/>
            </w:pPr>
            <w:r w:rsidRPr="008009E5">
              <w:t>82 235</w:t>
            </w:r>
          </w:p>
        </w:tc>
      </w:tr>
      <w:tr w:rsidR="005605ED" w:rsidRPr="008009E5">
        <w:trPr>
          <w:jc w:val="right"/>
        </w:trPr>
        <w:tc>
          <w:tcPr>
            <w:tcW w:w="1995" w:type="dxa"/>
          </w:tcPr>
          <w:p w:rsidR="005605ED" w:rsidRPr="008009E5" w:rsidRDefault="005605ED" w:rsidP="00BD4ACA">
            <w:pPr>
              <w:pStyle w:val="Normaltindrag"/>
              <w:ind w:firstLine="0"/>
            </w:pPr>
            <w:r w:rsidRPr="008009E5">
              <w:t>2007</w:t>
            </w:r>
          </w:p>
        </w:tc>
        <w:tc>
          <w:tcPr>
            <w:tcW w:w="4066" w:type="dxa"/>
          </w:tcPr>
          <w:p w:rsidR="005605ED" w:rsidRPr="008009E5" w:rsidRDefault="00B05736" w:rsidP="00BD4ACA">
            <w:pPr>
              <w:pStyle w:val="Normaltindrag"/>
              <w:ind w:firstLine="0"/>
            </w:pPr>
            <w:r w:rsidRPr="008009E5">
              <w:t>83 075</w:t>
            </w:r>
          </w:p>
        </w:tc>
      </w:tr>
      <w:tr w:rsidR="005605ED" w:rsidRPr="008009E5">
        <w:trPr>
          <w:jc w:val="right"/>
        </w:trPr>
        <w:tc>
          <w:tcPr>
            <w:tcW w:w="1995" w:type="dxa"/>
          </w:tcPr>
          <w:p w:rsidR="005605ED" w:rsidRPr="008009E5" w:rsidRDefault="00B05736" w:rsidP="00BD4ACA">
            <w:pPr>
              <w:pStyle w:val="Normaltindrag"/>
              <w:ind w:firstLine="0"/>
            </w:pPr>
            <w:r w:rsidRPr="008009E5">
              <w:t>2008</w:t>
            </w:r>
          </w:p>
        </w:tc>
        <w:tc>
          <w:tcPr>
            <w:tcW w:w="4066" w:type="dxa"/>
          </w:tcPr>
          <w:p w:rsidR="005605ED" w:rsidRPr="008009E5" w:rsidRDefault="00B05736" w:rsidP="00BD4ACA">
            <w:pPr>
              <w:pStyle w:val="Normaltindrag"/>
              <w:ind w:firstLine="0"/>
            </w:pPr>
            <w:r w:rsidRPr="008009E5">
              <w:t>83 785</w:t>
            </w:r>
          </w:p>
        </w:tc>
      </w:tr>
      <w:tr w:rsidR="005605ED" w:rsidRPr="008009E5">
        <w:trPr>
          <w:jc w:val="right"/>
        </w:trPr>
        <w:tc>
          <w:tcPr>
            <w:tcW w:w="1995" w:type="dxa"/>
          </w:tcPr>
          <w:p w:rsidR="005605ED" w:rsidRPr="008009E5" w:rsidRDefault="00B05736" w:rsidP="00BD4ACA">
            <w:pPr>
              <w:pStyle w:val="Normaltindrag"/>
              <w:ind w:firstLine="0"/>
            </w:pPr>
            <w:r w:rsidRPr="008009E5">
              <w:t>2009</w:t>
            </w:r>
          </w:p>
        </w:tc>
        <w:tc>
          <w:tcPr>
            <w:tcW w:w="4066" w:type="dxa"/>
          </w:tcPr>
          <w:p w:rsidR="005605ED" w:rsidRPr="008009E5" w:rsidRDefault="00B05736" w:rsidP="00BD4ACA">
            <w:pPr>
              <w:pStyle w:val="Normaltindrag"/>
              <w:ind w:firstLine="0"/>
            </w:pPr>
            <w:r w:rsidRPr="008009E5">
              <w:t>84 395</w:t>
            </w:r>
          </w:p>
        </w:tc>
      </w:tr>
      <w:tr w:rsidR="005605ED" w:rsidRPr="008009E5">
        <w:trPr>
          <w:jc w:val="right"/>
        </w:trPr>
        <w:tc>
          <w:tcPr>
            <w:tcW w:w="1995" w:type="dxa"/>
          </w:tcPr>
          <w:p w:rsidR="005605ED" w:rsidRPr="008009E5" w:rsidRDefault="00B05736" w:rsidP="00BD4ACA">
            <w:pPr>
              <w:pStyle w:val="Normaltindrag"/>
              <w:ind w:firstLine="0"/>
            </w:pPr>
            <w:r w:rsidRPr="008009E5">
              <w:t>2010</w:t>
            </w:r>
          </w:p>
        </w:tc>
        <w:tc>
          <w:tcPr>
            <w:tcW w:w="4066" w:type="dxa"/>
          </w:tcPr>
          <w:p w:rsidR="005605ED" w:rsidRPr="008009E5" w:rsidRDefault="00B05736" w:rsidP="00BD4ACA">
            <w:pPr>
              <w:pStyle w:val="Normaltindrag"/>
              <w:ind w:firstLine="0"/>
            </w:pPr>
            <w:r w:rsidRPr="008009E5">
              <w:t>85 035</w:t>
            </w:r>
          </w:p>
        </w:tc>
      </w:tr>
      <w:tr w:rsidR="005605ED" w:rsidRPr="008009E5">
        <w:trPr>
          <w:jc w:val="right"/>
        </w:trPr>
        <w:tc>
          <w:tcPr>
            <w:tcW w:w="1995" w:type="dxa"/>
          </w:tcPr>
          <w:p w:rsidR="005605ED" w:rsidRPr="008009E5" w:rsidRDefault="00B05736" w:rsidP="00BD4ACA">
            <w:pPr>
              <w:pStyle w:val="Normaltindrag"/>
              <w:ind w:firstLine="0"/>
            </w:pPr>
            <w:r w:rsidRPr="008009E5">
              <w:t>2011</w:t>
            </w:r>
          </w:p>
        </w:tc>
        <w:tc>
          <w:tcPr>
            <w:tcW w:w="4066" w:type="dxa"/>
          </w:tcPr>
          <w:p w:rsidR="005605ED" w:rsidRPr="008009E5" w:rsidRDefault="00B05736" w:rsidP="00BD4ACA">
            <w:pPr>
              <w:pStyle w:val="Normaltindrag"/>
              <w:ind w:firstLine="0"/>
            </w:pPr>
            <w:r w:rsidRPr="008009E5">
              <w:t>85 465</w:t>
            </w:r>
          </w:p>
        </w:tc>
      </w:tr>
      <w:tr w:rsidR="005605ED" w:rsidRPr="008009E5">
        <w:trPr>
          <w:jc w:val="right"/>
        </w:trPr>
        <w:tc>
          <w:tcPr>
            <w:tcW w:w="1995" w:type="dxa"/>
          </w:tcPr>
          <w:p w:rsidR="005605ED" w:rsidRPr="008009E5" w:rsidRDefault="00B05736" w:rsidP="00BD4ACA">
            <w:pPr>
              <w:pStyle w:val="Normaltindrag"/>
              <w:ind w:firstLine="0"/>
            </w:pPr>
            <w:r w:rsidRPr="008009E5">
              <w:t>2012</w:t>
            </w:r>
          </w:p>
        </w:tc>
        <w:tc>
          <w:tcPr>
            <w:tcW w:w="4066" w:type="dxa"/>
          </w:tcPr>
          <w:p w:rsidR="005605ED" w:rsidRPr="008009E5" w:rsidRDefault="00B05736" w:rsidP="00BD4ACA">
            <w:pPr>
              <w:pStyle w:val="Normaltindrag"/>
              <w:ind w:firstLine="0"/>
            </w:pPr>
            <w:r w:rsidRPr="008009E5">
              <w:t>85 865</w:t>
            </w:r>
          </w:p>
        </w:tc>
      </w:tr>
      <w:tr w:rsidR="005605ED" w:rsidRPr="008009E5">
        <w:trPr>
          <w:jc w:val="right"/>
        </w:trPr>
        <w:tc>
          <w:tcPr>
            <w:tcW w:w="1995" w:type="dxa"/>
          </w:tcPr>
          <w:p w:rsidR="005605ED" w:rsidRPr="008009E5" w:rsidRDefault="00B05736" w:rsidP="00BD4ACA">
            <w:pPr>
              <w:pStyle w:val="Normaltindrag"/>
              <w:ind w:firstLine="0"/>
            </w:pPr>
            <w:r w:rsidRPr="008009E5">
              <w:t>2013</w:t>
            </w:r>
          </w:p>
        </w:tc>
        <w:tc>
          <w:tcPr>
            <w:tcW w:w="4066" w:type="dxa"/>
          </w:tcPr>
          <w:p w:rsidR="005605ED" w:rsidRPr="008009E5" w:rsidRDefault="00B05736" w:rsidP="00BD4ACA">
            <w:pPr>
              <w:pStyle w:val="Normaltindrag"/>
              <w:ind w:firstLine="0"/>
            </w:pPr>
            <w:r w:rsidRPr="008009E5">
              <w:t>86 255</w:t>
            </w:r>
          </w:p>
        </w:tc>
      </w:tr>
    </w:tbl>
    <w:p w:rsidR="00622C83" w:rsidRPr="008009E5" w:rsidRDefault="00622C83" w:rsidP="00622C83">
      <w:r w:rsidRPr="008009E5">
        <w:t>Tillväxten förutsätter i sin tur att såväl bostadsbyggandet som utbyggnaden av service, kommunal och kommersiell, sker i ordnade och planerade former.</w:t>
      </w:r>
      <w:r w:rsidR="00132612" w:rsidRPr="008009E5">
        <w:t xml:space="preserve"> </w:t>
      </w:r>
      <w:r w:rsidRPr="008009E5">
        <w:t>Södertälje ligger redan väl till kommunikationsmässigt, vilket inte betyder att inte ytterligare förbättringar kan göras både vad</w:t>
      </w:r>
      <w:r w:rsidR="00B05736" w:rsidRPr="008009E5">
        <w:t xml:space="preserve"> gäller</w:t>
      </w:r>
      <w:r w:rsidRPr="008009E5">
        <w:t xml:space="preserve"> kommunikationer till Stockholm och andra orter. På bostadsområdet är situationen långt mindre gynnsam, detsamma gäller tillgången till högskoleutbildning.</w:t>
      </w:r>
    </w:p>
    <w:p w:rsidR="00622C83" w:rsidRPr="008009E5" w:rsidRDefault="00622C83" w:rsidP="00B05736">
      <w:pPr>
        <w:pStyle w:val="Normaltindrag"/>
      </w:pPr>
      <w:r w:rsidRPr="008009E5">
        <w:t>Vi går nu över till att diskutera Södertäljes situation utifrån en del viktiga förutsättningar som i sin tur utgör grunden för kommunens möjligheter att tjäna befolkningen och företagsamheten.</w:t>
      </w:r>
    </w:p>
    <w:p w:rsidR="00622C83" w:rsidRPr="008009E5" w:rsidRDefault="00622C83" w:rsidP="00B05736">
      <w:pPr>
        <w:pStyle w:val="Normaltindrag"/>
      </w:pPr>
      <w:r w:rsidRPr="008009E5">
        <w:t>Södertälje har numera status som en av de regionala kärnorna i Stockholms län. Det är viktigt att ha i minnet när infrastrukturinvesteringar, det land</w:t>
      </w:r>
      <w:r w:rsidRPr="008009E5">
        <w:t>s</w:t>
      </w:r>
      <w:r w:rsidRPr="008009E5">
        <w:t>tingsägda sjukhusets och den statliga högskolans framtid diskuteras, liksom när staden nu ligger i startgroparna för en omfattande förnyelse och utvec</w:t>
      </w:r>
      <w:r w:rsidRPr="008009E5">
        <w:t>k</w:t>
      </w:r>
      <w:r w:rsidRPr="008009E5">
        <w:t>ling av stadskärnan.</w:t>
      </w:r>
      <w:r w:rsidR="00132612" w:rsidRPr="008009E5">
        <w:t xml:space="preserve"> </w:t>
      </w:r>
      <w:r w:rsidRPr="008009E5">
        <w:t xml:space="preserve">Framtidstron </w:t>
      </w:r>
      <w:r w:rsidR="00B05736" w:rsidRPr="008009E5">
        <w:t>är stor i Södertälje –</w:t>
      </w:r>
      <w:r w:rsidRPr="008009E5">
        <w:t xml:space="preserve"> men tål inte omotiv</w:t>
      </w:r>
      <w:r w:rsidRPr="008009E5">
        <w:t>e</w:t>
      </w:r>
      <w:r w:rsidRPr="008009E5">
        <w:t>rade motgångar eller att staten sviker sitt ansvar.</w:t>
      </w:r>
    </w:p>
    <w:p w:rsidR="00622C83" w:rsidRPr="008009E5" w:rsidRDefault="00622C83" w:rsidP="00622C83">
      <w:r w:rsidRPr="008009E5">
        <w:t xml:space="preserve">Södertälje är en veritabel knutpunkt, som tidigare antytts, från </w:t>
      </w:r>
      <w:r w:rsidR="00132612" w:rsidRPr="008009E5">
        <w:t>k</w:t>
      </w:r>
      <w:r w:rsidRPr="008009E5">
        <w:t>ommunik</w:t>
      </w:r>
      <w:r w:rsidRPr="008009E5">
        <w:t>a</w:t>
      </w:r>
      <w:r w:rsidRPr="008009E5">
        <w:t>tionssynvinkel:</w:t>
      </w:r>
    </w:p>
    <w:p w:rsidR="00622C83" w:rsidRPr="008009E5" w:rsidRDefault="00622C83" w:rsidP="008852F5">
      <w:pPr>
        <w:pStyle w:val="PunktlistaTankstreck"/>
        <w:tabs>
          <w:tab w:val="clear" w:pos="360"/>
        </w:tabs>
      </w:pPr>
      <w:r w:rsidRPr="008009E5">
        <w:t>Motorvägarna E</w:t>
      </w:r>
      <w:r w:rsidR="00B05736" w:rsidRPr="008009E5">
        <w:t xml:space="preserve"> </w:t>
      </w:r>
      <w:r w:rsidRPr="008009E5">
        <w:t>4 och E</w:t>
      </w:r>
      <w:r w:rsidR="00B05736" w:rsidRPr="008009E5">
        <w:t xml:space="preserve"> </w:t>
      </w:r>
      <w:r w:rsidRPr="008009E5">
        <w:t>20</w:t>
      </w:r>
    </w:p>
    <w:p w:rsidR="00622C83" w:rsidRPr="008009E5" w:rsidRDefault="00622C83" w:rsidP="008852F5">
      <w:pPr>
        <w:pStyle w:val="PunktlistaTankstreck"/>
        <w:tabs>
          <w:tab w:val="clear" w:pos="360"/>
        </w:tabs>
        <w:spacing w:before="0"/>
      </w:pPr>
      <w:r w:rsidRPr="008009E5">
        <w:t>Länsvägarna 225 och 57</w:t>
      </w:r>
    </w:p>
    <w:p w:rsidR="00622C83" w:rsidRPr="008009E5" w:rsidRDefault="00622C83" w:rsidP="008852F5">
      <w:pPr>
        <w:pStyle w:val="PunktlistaTankstreck"/>
        <w:tabs>
          <w:tab w:val="clear" w:pos="360"/>
        </w:tabs>
        <w:spacing w:before="0"/>
      </w:pPr>
      <w:r w:rsidRPr="008009E5">
        <w:t>Stambanorna</w:t>
      </w:r>
      <w:r w:rsidR="00B05736" w:rsidRPr="008009E5">
        <w:t xml:space="preserve"> Malmö–Stockholm och Göteborg–</w:t>
      </w:r>
      <w:r w:rsidRPr="008009E5">
        <w:t>Stockholm</w:t>
      </w:r>
    </w:p>
    <w:p w:rsidR="00622C83" w:rsidRPr="008009E5" w:rsidRDefault="00622C83" w:rsidP="008852F5">
      <w:pPr>
        <w:pStyle w:val="PunktlistaTankstreck"/>
        <w:tabs>
          <w:tab w:val="clear" w:pos="360"/>
        </w:tabs>
        <w:spacing w:before="0"/>
      </w:pPr>
      <w:r w:rsidRPr="008009E5">
        <w:t xml:space="preserve">Grödingebanan och Svealandsbanan </w:t>
      </w:r>
    </w:p>
    <w:p w:rsidR="00622C83" w:rsidRPr="008009E5" w:rsidRDefault="00622C83" w:rsidP="008852F5">
      <w:pPr>
        <w:pStyle w:val="PunktlistaTankstreck"/>
        <w:tabs>
          <w:tab w:val="clear" w:pos="360"/>
        </w:tabs>
        <w:spacing w:before="0"/>
      </w:pPr>
      <w:r w:rsidRPr="008009E5">
        <w:t>Södertälje kanal, med sin både transp</w:t>
      </w:r>
      <w:r w:rsidR="00132612" w:rsidRPr="008009E5">
        <w:t xml:space="preserve">ort- och miljömotiverade sluss och </w:t>
      </w:r>
      <w:r w:rsidRPr="008009E5">
        <w:t>Södertälje hamn, med sin specialitet motorfordonstransporter.</w:t>
      </w:r>
    </w:p>
    <w:p w:rsidR="00622C83" w:rsidRPr="008009E5" w:rsidRDefault="00622C83" w:rsidP="00622C83">
      <w:r w:rsidRPr="008009E5">
        <w:t>Landets mest trafikerade motorväg E</w:t>
      </w:r>
      <w:r w:rsidR="00B05736" w:rsidRPr="008009E5">
        <w:t xml:space="preserve"> </w:t>
      </w:r>
      <w:r w:rsidRPr="008009E5">
        <w:t>4/E</w:t>
      </w:r>
      <w:r w:rsidR="00B05736" w:rsidRPr="008009E5">
        <w:t xml:space="preserve"> </w:t>
      </w:r>
      <w:r w:rsidRPr="008009E5">
        <w:t>20 mellan Södertälje och Hallunda i Botkyrka kommun söder om Stockholm är bland landets sämsta motorvägar i f</w:t>
      </w:r>
      <w:r w:rsidR="00B05736" w:rsidRPr="008009E5">
        <w:t>örhållande till antalet fordon –</w:t>
      </w:r>
      <w:r w:rsidRPr="008009E5">
        <w:t xml:space="preserve"> och därmed också bland de mest olycksbela</w:t>
      </w:r>
      <w:r w:rsidRPr="008009E5">
        <w:t>s</w:t>
      </w:r>
      <w:r w:rsidRPr="008009E5">
        <w:t>tade. Den i dag slingrande vägen med lömska backar och svackor är i om</w:t>
      </w:r>
      <w:r w:rsidRPr="008009E5">
        <w:t>e</w:t>
      </w:r>
      <w:r w:rsidRPr="008009E5">
        <w:t xml:space="preserve">delbart behov av trafiksäkerhetshöjande åtgärder </w:t>
      </w:r>
      <w:r w:rsidR="001866F9" w:rsidRPr="008009E5">
        <w:t>och utbyggnad till sex kö</w:t>
      </w:r>
      <w:r w:rsidR="001866F9" w:rsidRPr="008009E5">
        <w:t>r</w:t>
      </w:r>
      <w:r w:rsidR="001866F9" w:rsidRPr="008009E5">
        <w:t>fält.</w:t>
      </w:r>
    </w:p>
    <w:p w:rsidR="00622C83" w:rsidRPr="008009E5" w:rsidRDefault="00622C83" w:rsidP="00B05736">
      <w:pPr>
        <w:pStyle w:val="Normaltindrag"/>
      </w:pPr>
      <w:r w:rsidRPr="008009E5">
        <w:t xml:space="preserve">Trafikanterna görs, strax norr om staden, plågsamt medvetna om detta oavsett i vilken riktning man kör: </w:t>
      </w:r>
      <w:r w:rsidR="00B05736" w:rsidRPr="008009E5">
        <w:t>”</w:t>
      </w:r>
      <w:r w:rsidRPr="008009E5">
        <w:t>Varning för köbildning, olycksdrabbat område</w:t>
      </w:r>
      <w:r w:rsidR="00B05736" w:rsidRPr="008009E5">
        <w:t>”</w:t>
      </w:r>
      <w:r w:rsidRPr="008009E5">
        <w:t>, står det att läsa på skyltarna. Farten på motorvägen för inte sällan tanken till en snigels framfart.</w:t>
      </w:r>
    </w:p>
    <w:p w:rsidR="00622C83" w:rsidRPr="008009E5" w:rsidRDefault="00622C83" w:rsidP="00B05736">
      <w:pPr>
        <w:pStyle w:val="Normaltindrag"/>
      </w:pPr>
      <w:r w:rsidRPr="008009E5">
        <w:t>Järnvägen mellan Södertälje centrum och Södertälje hamn torde vara Sv</w:t>
      </w:r>
      <w:r w:rsidRPr="008009E5">
        <w:t>e</w:t>
      </w:r>
      <w:r w:rsidRPr="008009E5">
        <w:t xml:space="preserve">riges mest trafikerade enkelspår. Utbyggnaden till dubbelspår är inte bara angelägen: </w:t>
      </w:r>
      <w:r w:rsidR="00B05736" w:rsidRPr="008009E5">
        <w:t xml:space="preserve">Den </w:t>
      </w:r>
      <w:r w:rsidRPr="008009E5">
        <w:t xml:space="preserve">är ett måste och får inte försenas. </w:t>
      </w:r>
    </w:p>
    <w:p w:rsidR="00622C83" w:rsidRPr="008009E5" w:rsidRDefault="00622C83" w:rsidP="00B05736">
      <w:pPr>
        <w:pStyle w:val="Normaltindrag"/>
      </w:pPr>
      <w:r w:rsidRPr="008009E5">
        <w:t>Det är också viktigt att utbyggnaden av spårkapaciteten längs Svealand</w:t>
      </w:r>
      <w:r w:rsidRPr="008009E5">
        <w:t>s</w:t>
      </w:r>
      <w:r w:rsidRPr="008009E5">
        <w:t>banan håller tidsplanerna, liksom byggandet av den nya järnvägsbron över Södertälje kanal, avsedd att ersätta den nuvarande från tidiga 1920-talet.</w:t>
      </w:r>
    </w:p>
    <w:p w:rsidR="00622C83" w:rsidRPr="008009E5" w:rsidRDefault="00622C83" w:rsidP="00B05736">
      <w:pPr>
        <w:pStyle w:val="Normaltindrag"/>
      </w:pPr>
      <w:r w:rsidRPr="008009E5">
        <w:t>För att möjliggöra större fartyg till hamnarna i Västerås och Köping öve</w:t>
      </w:r>
      <w:r w:rsidRPr="008009E5">
        <w:t>r</w:t>
      </w:r>
      <w:r w:rsidRPr="008009E5">
        <w:t>vägs en utbyggnad av Södertälje kanal där slussen breddas och förlängs. En sådan utbyggnad vore en viktig industripolitisk strukturinvestering som gy</w:t>
      </w:r>
      <w:r w:rsidRPr="008009E5">
        <w:t>n</w:t>
      </w:r>
      <w:r w:rsidRPr="008009E5">
        <w:t>nar hela Mälardalen.</w:t>
      </w:r>
    </w:p>
    <w:p w:rsidR="00622C83" w:rsidRPr="008009E5" w:rsidRDefault="00622C83" w:rsidP="00B05736">
      <w:pPr>
        <w:pStyle w:val="Normaltindrag"/>
      </w:pPr>
      <w:r w:rsidRPr="008009E5">
        <w:t>Om beslut om en sådan breddning skulle få klartecken är det dock nö</w:t>
      </w:r>
      <w:r w:rsidRPr="008009E5">
        <w:t>d</w:t>
      </w:r>
      <w:r w:rsidRPr="008009E5">
        <w:t>vändigt att minimera ingreppen i centrala Södertälje. Här har staten ett ek</w:t>
      </w:r>
      <w:r w:rsidRPr="008009E5">
        <w:t>o</w:t>
      </w:r>
      <w:r w:rsidRPr="008009E5">
        <w:t>nomiskt ansvar eftersom trafiken genom Södertälje kanal i grunden inte kan vara ett kommunalt åtagande då det främst är andra än kommunens skatteb</w:t>
      </w:r>
      <w:r w:rsidRPr="008009E5">
        <w:t>e</w:t>
      </w:r>
      <w:r w:rsidRPr="008009E5">
        <w:t xml:space="preserve">talare som drar nytta av denna kommunikationskanal. </w:t>
      </w:r>
    </w:p>
    <w:p w:rsidR="00622C83" w:rsidRPr="008009E5" w:rsidRDefault="00622C83" w:rsidP="00B05736">
      <w:pPr>
        <w:pStyle w:val="Normaltindrag"/>
      </w:pPr>
      <w:r w:rsidRPr="008009E5">
        <w:t>Därför bör övervägas om inte Sjöfartsverket skall ha det ekonomiska a</w:t>
      </w:r>
      <w:r w:rsidRPr="008009E5">
        <w:t>n</w:t>
      </w:r>
      <w:r w:rsidRPr="008009E5">
        <w:t>svaret för Mälarbron, den bilbro som i dag klyver staden och åstadkommer långa köer när båtar skall passera. I dag står Södertäljes skattebetalare för underhållskostnaderna för denna farled som i grunden betjänar sjöfarten. För 2005 har kostnaderna budgetera</w:t>
      </w:r>
      <w:r w:rsidR="00B05736" w:rsidRPr="008009E5">
        <w:t>t</w:t>
      </w:r>
      <w:r w:rsidRPr="008009E5">
        <w:t>s till 15</w:t>
      </w:r>
      <w:r w:rsidR="00B05736" w:rsidRPr="008009E5">
        <w:t> </w:t>
      </w:r>
      <w:r w:rsidRPr="008009E5">
        <w:t>miljoner kr men blir i verkligheten över 28</w:t>
      </w:r>
      <w:r w:rsidR="00B05736" w:rsidRPr="008009E5">
        <w:t> </w:t>
      </w:r>
      <w:r w:rsidRPr="008009E5">
        <w:t>miljoner kr. Det är kostnader som tränger ut annan service för Söde</w:t>
      </w:r>
      <w:r w:rsidRPr="008009E5">
        <w:t>r</w:t>
      </w:r>
      <w:r w:rsidRPr="008009E5">
        <w:t>täljeborna. Utöver detta måste miljökonsekvenserna beaktas. Bland annat tas Södertäljebornas dricksvatten ur Mälaren.</w:t>
      </w:r>
    </w:p>
    <w:p w:rsidR="00622C83" w:rsidRPr="008009E5" w:rsidRDefault="00622C83" w:rsidP="00B05736">
      <w:pPr>
        <w:pStyle w:val="Normaltindrag"/>
      </w:pPr>
      <w:r w:rsidRPr="008009E5">
        <w:t>Södertälje är den kommun i landet, vid sidan av Stockholm, Göteborg och Malmö, som har tagit emot flest flyktingar och invandrare. Det har berikat kommunen på många olika sätt, men också skapat problem. Ingen tjänar på att blunda för verklighetens problem, dessa måste i stället lösas på sätt som ger enskilda möjligheter att se framtiden an med förhoppningar och höga målsättningar både för den egna familjen och orten.</w:t>
      </w:r>
    </w:p>
    <w:p w:rsidR="00622C83" w:rsidRPr="008009E5" w:rsidRDefault="00622C83" w:rsidP="00B05736">
      <w:pPr>
        <w:pStyle w:val="Normaltindrag"/>
      </w:pPr>
      <w:r w:rsidRPr="008009E5">
        <w:t>Det grundläggande för en framgångsrik integration är att skapa en mångs</w:t>
      </w:r>
      <w:r w:rsidRPr="008009E5">
        <w:t>i</w:t>
      </w:r>
      <w:r w:rsidRPr="008009E5">
        <w:t xml:space="preserve">dig arbetsmarknad. </w:t>
      </w:r>
    </w:p>
    <w:p w:rsidR="00622C83" w:rsidRPr="008009E5" w:rsidRDefault="00622C83" w:rsidP="00B05736">
      <w:pPr>
        <w:pStyle w:val="Normaltindrag"/>
      </w:pPr>
      <w:r w:rsidRPr="008009E5">
        <w:t>Framgångslinjen är och förblir att stimulera till företagande, något som ju många medborgare av utländsk härkomst också framgångsrikt funnit. Att verka för och i bästa fall åstadkomma detta är en av de viktigaste uppgifterna för alla integrationssträvanden. Det innebär att kunskaper, utöver i språk och de vanliga skolfärdigheterna, måste inriktas på drivkrafterna att själv ta a</w:t>
      </w:r>
      <w:r w:rsidRPr="008009E5">
        <w:t>n</w:t>
      </w:r>
      <w:r w:rsidRPr="008009E5">
        <w:t>svar för sin egen och sin familjs försörjning.</w:t>
      </w:r>
      <w:r w:rsidR="00272432" w:rsidRPr="008009E5">
        <w:t xml:space="preserve"> </w:t>
      </w:r>
      <w:r w:rsidRPr="008009E5">
        <w:t xml:space="preserve">Detta har i sin tur både </w:t>
      </w:r>
      <w:r w:rsidR="00B05736" w:rsidRPr="008009E5">
        <w:t>sociala och ekonomiska följder –</w:t>
      </w:r>
      <w:r w:rsidRPr="008009E5">
        <w:t xml:space="preserve"> men allra mest personliga. Att komma ur bidragsb</w:t>
      </w:r>
      <w:r w:rsidRPr="008009E5">
        <w:t>e</w:t>
      </w:r>
      <w:r w:rsidRPr="008009E5">
        <w:t>roende och i stället lyckas med att få ett jobb eller skapa ett företag, resulterar inte bara i ekonomisk frihet utan också en social respekt som är till stor ind</w:t>
      </w:r>
      <w:r w:rsidRPr="008009E5">
        <w:t>i</w:t>
      </w:r>
      <w:r w:rsidRPr="008009E5">
        <w:t>viduell nytta och stolthet men också i</w:t>
      </w:r>
      <w:r w:rsidRPr="008009E5">
        <w:t>n</w:t>
      </w:r>
      <w:r w:rsidRPr="008009E5">
        <w:t xml:space="preserve">spiration och föredöme för närstående och närboende. </w:t>
      </w:r>
    </w:p>
    <w:p w:rsidR="00622C83" w:rsidRPr="008009E5" w:rsidRDefault="00622C83" w:rsidP="00B05736">
      <w:pPr>
        <w:pStyle w:val="Normaltindrag"/>
      </w:pPr>
      <w:r w:rsidRPr="008009E5">
        <w:t>Att lyckas måste, precis som inom sportens eller musikens värld, betraktas som fint. De många skilda kulturer som finns i Södertälje gör det nödvändigt att fästa särskild uppmärksamhet vid kvinnors situation, så att de ges möjli</w:t>
      </w:r>
      <w:r w:rsidRPr="008009E5">
        <w:t>g</w:t>
      </w:r>
      <w:r w:rsidRPr="008009E5">
        <w:t>het att förverkliga sina egna drömmar och inte bli underordnade den patria</w:t>
      </w:r>
      <w:r w:rsidRPr="008009E5">
        <w:t>r</w:t>
      </w:r>
      <w:r w:rsidRPr="008009E5">
        <w:t xml:space="preserve">kala miljö som ofta är förhärskande i deras hemländer. </w:t>
      </w:r>
    </w:p>
    <w:p w:rsidR="00622C83" w:rsidRPr="008009E5" w:rsidRDefault="00622C83" w:rsidP="00B05736">
      <w:pPr>
        <w:pStyle w:val="Normaltindrag"/>
      </w:pPr>
      <w:r w:rsidRPr="008009E5">
        <w:t xml:space="preserve">Kvinnor har samma rättigheter som män, inte bara skyldigheter. Därför måste insatser göras för att stärka underkuvade kvinnors självförtroende och beslutsamhet att själva forma sina liv. </w:t>
      </w:r>
    </w:p>
    <w:p w:rsidR="00622C83" w:rsidRPr="008009E5" w:rsidRDefault="00622C83" w:rsidP="00B05736">
      <w:pPr>
        <w:pStyle w:val="Normaltindrag"/>
      </w:pPr>
      <w:r w:rsidRPr="008009E5">
        <w:t>Södertälje vore ett bra, inte oöverskådligt stort, område att bedriva intensiv verksamhet inriktad på att öka kvinnors frihet, ekonomiskt och kulturellt. Här finns många möjligheter att samarbeta med kyrkor, fritids- och kulturför</w:t>
      </w:r>
      <w:r w:rsidRPr="008009E5">
        <w:t>e</w:t>
      </w:r>
      <w:r w:rsidRPr="008009E5">
        <w:t>ni</w:t>
      </w:r>
      <w:r w:rsidR="009D0FA8" w:rsidRPr="008009E5">
        <w:t>ngar som har just sådana syften</w:t>
      </w:r>
      <w:r w:rsidRPr="008009E5">
        <w:t xml:space="preserve"> att skapa rättvisa åt kvinnor med andra kulturella förutsättningar än de svenska. </w:t>
      </w:r>
    </w:p>
    <w:p w:rsidR="00622C83" w:rsidRPr="008009E5" w:rsidRDefault="00622C83" w:rsidP="00B05736">
      <w:pPr>
        <w:pStyle w:val="Normaltindrag"/>
      </w:pPr>
      <w:r w:rsidRPr="008009E5">
        <w:t>Redan i skolan är det viktigt att jämställdhetens principer inte bara inprä</w:t>
      </w:r>
      <w:r w:rsidRPr="008009E5">
        <w:t>n</w:t>
      </w:r>
      <w:r w:rsidRPr="008009E5">
        <w:t>tas utan också tillämpas mellan unga flickor och pojkar. Ansvaret kan dock aldrig uteslutande tas av kommunen, utan staten måste medverka genom att t.ex. ställa särskilda medel till förfogande för satsningar till förmån för kvi</w:t>
      </w:r>
      <w:r w:rsidRPr="008009E5">
        <w:t>n</w:t>
      </w:r>
      <w:r w:rsidRPr="008009E5">
        <w:t xml:space="preserve">nor som hotas av så kallade hedersrelaterade brott. På så vis kan staten göra det möjligt för angelägna lokala projekt att bli verklighet. </w:t>
      </w:r>
    </w:p>
    <w:p w:rsidR="00622C83" w:rsidRPr="008009E5" w:rsidRDefault="00622C83" w:rsidP="00B05736">
      <w:pPr>
        <w:pStyle w:val="Normaltindrag"/>
      </w:pPr>
      <w:r w:rsidRPr="008009E5">
        <w:t>Viktigare ändå från resurssynpunkt är dock att utjämningssystemet för kommunerna beaktar t.ex. andelen barn och ungdomar med utländsk ba</w:t>
      </w:r>
      <w:r w:rsidRPr="008009E5">
        <w:t>k</w:t>
      </w:r>
      <w:r w:rsidRPr="008009E5">
        <w:t>grund och andra relevanta faktorer som hänger samman med integrationsfr</w:t>
      </w:r>
      <w:r w:rsidRPr="008009E5">
        <w:t>å</w:t>
      </w:r>
      <w:r w:rsidRPr="008009E5">
        <w:t>gor.</w:t>
      </w:r>
    </w:p>
    <w:p w:rsidR="00622C83" w:rsidRPr="008009E5" w:rsidRDefault="00622C83" w:rsidP="00B05736">
      <w:pPr>
        <w:pStyle w:val="Normaltindrag"/>
      </w:pPr>
      <w:r w:rsidRPr="008009E5">
        <w:t>Högskoleutbildningen, som varit en viktig del i skapandet av ökad fra</w:t>
      </w:r>
      <w:r w:rsidRPr="008009E5">
        <w:t>m</w:t>
      </w:r>
      <w:r w:rsidRPr="008009E5">
        <w:t>tidstro, har ofta varit hotad och är åter så i Södertälje.</w:t>
      </w:r>
      <w:r w:rsidR="009D0FA8" w:rsidRPr="008009E5">
        <w:t xml:space="preserve"> </w:t>
      </w:r>
      <w:r w:rsidRPr="008009E5">
        <w:t>Avvecklingen av Ca</w:t>
      </w:r>
      <w:r w:rsidRPr="008009E5">
        <w:t>m</w:t>
      </w:r>
      <w:r w:rsidRPr="008009E5">
        <w:t>pus Telge drabbar inte bara kommunen utan framför allt de studenter som där fann närhet till det livliga och expanderande näringslivet och till företa</w:t>
      </w:r>
      <w:r w:rsidR="009D0FA8" w:rsidRPr="008009E5">
        <w:t>gsa</w:t>
      </w:r>
      <w:r w:rsidR="009D0FA8" w:rsidRPr="008009E5">
        <w:t>m</w:t>
      </w:r>
      <w:r w:rsidR="009D0FA8" w:rsidRPr="008009E5">
        <w:t>heten i Södertäljeregionen.</w:t>
      </w:r>
    </w:p>
    <w:p w:rsidR="00622C83" w:rsidRPr="008009E5" w:rsidRDefault="00622C83" w:rsidP="00B05736">
      <w:pPr>
        <w:pStyle w:val="Normaltindrag"/>
      </w:pPr>
      <w:r w:rsidRPr="008009E5">
        <w:t>Ett alternativ som bör övervägas när flyttningen nu skett är att pröva mö</w:t>
      </w:r>
      <w:r w:rsidRPr="008009E5">
        <w:t>j</w:t>
      </w:r>
      <w:r w:rsidRPr="008009E5">
        <w:t>ligheten att utveckla Tekniska högskolans filial i Södertälje. Den har under senare år utvecklats positivt efter en mindre god start. Syftet måste vara att stimulera ungdomar, inte minst med utländsk bakgrund, att gå vidare till hö</w:t>
      </w:r>
      <w:r w:rsidRPr="008009E5">
        <w:t>g</w:t>
      </w:r>
      <w:r w:rsidRPr="008009E5">
        <w:t>re utbildningar av teknisk art. Senare utkomstmöjligheter i Södertälje måste bedömas som goda och borde därmed utgöra en stimulans för många un</w:t>
      </w:r>
      <w:r w:rsidR="009D0FA8" w:rsidRPr="008009E5">
        <w:t>gd</w:t>
      </w:r>
      <w:r w:rsidR="009D0FA8" w:rsidRPr="008009E5">
        <w:t>o</w:t>
      </w:r>
      <w:r w:rsidR="009D0FA8" w:rsidRPr="008009E5">
        <w:t>mar att söka sådana utbildni</w:t>
      </w:r>
      <w:r w:rsidRPr="008009E5">
        <w:t>n</w:t>
      </w:r>
      <w:r w:rsidR="009D0FA8" w:rsidRPr="008009E5">
        <w:t>g</w:t>
      </w:r>
      <w:r w:rsidRPr="008009E5">
        <w:t>salternativ.</w:t>
      </w:r>
    </w:p>
    <w:p w:rsidR="00622C83" w:rsidRPr="008009E5" w:rsidRDefault="00622C83" w:rsidP="00B05736">
      <w:pPr>
        <w:pStyle w:val="Normaltindrag"/>
      </w:pPr>
      <w:r w:rsidRPr="008009E5">
        <w:t>Mycket konkret innebär det också att forskningssamarbetet med de leda</w:t>
      </w:r>
      <w:r w:rsidRPr="008009E5">
        <w:t>n</w:t>
      </w:r>
      <w:r w:rsidRPr="008009E5">
        <w:t>de världsföretagen i kommunen, Astra Zeneca och Scania, skulle kunna fö</w:t>
      </w:r>
      <w:r w:rsidRPr="008009E5">
        <w:t>r</w:t>
      </w:r>
      <w:r w:rsidRPr="008009E5">
        <w:t xml:space="preserve">bättras. En </w:t>
      </w:r>
      <w:r w:rsidR="00B05736" w:rsidRPr="008009E5">
        <w:t>”</w:t>
      </w:r>
      <w:r w:rsidRPr="008009E5">
        <w:t>teknikpark</w:t>
      </w:r>
      <w:r w:rsidR="00B05736" w:rsidRPr="008009E5">
        <w:t>”</w:t>
      </w:r>
      <w:r w:rsidRPr="008009E5">
        <w:t xml:space="preserve"> i Södertälje är ett möjligt framtidsscenario och får inte avskrivas till men för företagsamhetens behov av kvalificerade medarb</w:t>
      </w:r>
      <w:r w:rsidRPr="008009E5">
        <w:t>e</w:t>
      </w:r>
      <w:r w:rsidRPr="008009E5">
        <w:t>tare med stark förankring i Södertäljeregionen.</w:t>
      </w:r>
    </w:p>
    <w:p w:rsidR="00622C83" w:rsidRPr="008009E5" w:rsidRDefault="00622C83" w:rsidP="00B05736">
      <w:pPr>
        <w:pStyle w:val="Normaltindrag"/>
      </w:pPr>
      <w:r w:rsidRPr="008009E5">
        <w:t>Vi går nu slutligen över till att diskutera industripolitiska förutsättningar och ändringsbehov, detta sett både från ett nationellt och ett mer lokalt pe</w:t>
      </w:r>
      <w:r w:rsidRPr="008009E5">
        <w:t>r</w:t>
      </w:r>
      <w:r w:rsidRPr="008009E5">
        <w:t>spektiv. Det är i Södertäljes fall oerhört betydelsefullt för att klara den inte</w:t>
      </w:r>
      <w:r w:rsidRPr="008009E5">
        <w:t>r</w:t>
      </w:r>
      <w:r w:rsidRPr="008009E5">
        <w:t>nationella konkurrenskraften för stora och små företag.</w:t>
      </w:r>
    </w:p>
    <w:p w:rsidR="00622C83" w:rsidRPr="008009E5" w:rsidRDefault="00622C83" w:rsidP="00B05736">
      <w:pPr>
        <w:pStyle w:val="Normaltindrag"/>
      </w:pPr>
      <w:r w:rsidRPr="008009E5">
        <w:t>Konkreta förslag, mot bakgrund av att under de senaste två åren flera tusen industrijobb lämnat Sverige varje månad trots att industrikonjunkturen varit på uppåtgående, är bland andra:</w:t>
      </w:r>
    </w:p>
    <w:p w:rsidR="00622C83" w:rsidRPr="008009E5" w:rsidRDefault="00622C83" w:rsidP="008852F5">
      <w:r w:rsidRPr="008009E5">
        <w:t>1.</w:t>
      </w:r>
      <w:r w:rsidR="00B05736" w:rsidRPr="008009E5">
        <w:t xml:space="preserve"> Sluta motverka svenskt ägande –</w:t>
      </w:r>
      <w:r w:rsidRPr="008009E5">
        <w:t xml:space="preserve"> avveckling av dubbelbeskattning är en viktig åtgärd.</w:t>
      </w:r>
    </w:p>
    <w:p w:rsidR="00622C83" w:rsidRPr="008009E5" w:rsidRDefault="00622C83" w:rsidP="008852F5">
      <w:pPr>
        <w:spacing w:before="0"/>
      </w:pPr>
      <w:r w:rsidRPr="008009E5">
        <w:t>2. Bryt med den skolpolitik som nedv</w:t>
      </w:r>
      <w:r w:rsidR="00B05736" w:rsidRPr="008009E5">
        <w:t>ärderar gedigna yrkeskunskaper –</w:t>
      </w:r>
      <w:r w:rsidRPr="008009E5">
        <w:t xml:space="preserve"> min</w:t>
      </w:r>
      <w:r w:rsidRPr="008009E5">
        <w:t>d</w:t>
      </w:r>
      <w:r w:rsidRPr="008009E5">
        <w:t>re teoritunga yrkesprogram på gymnasiet är en väg.</w:t>
      </w:r>
    </w:p>
    <w:p w:rsidR="00622C83" w:rsidRPr="008009E5" w:rsidRDefault="00622C83" w:rsidP="008852F5">
      <w:pPr>
        <w:spacing w:before="0"/>
      </w:pPr>
      <w:r w:rsidRPr="008009E5">
        <w:t>3. Satsa på en bra infrastruktur där d</w:t>
      </w:r>
      <w:r w:rsidR="00B05736" w:rsidRPr="008009E5">
        <w:t>et ger störst tillväxteffekter –</w:t>
      </w:r>
      <w:r w:rsidRPr="008009E5">
        <w:t xml:space="preserve"> en rad vä</w:t>
      </w:r>
      <w:r w:rsidRPr="008009E5">
        <w:t>g</w:t>
      </w:r>
      <w:r w:rsidRPr="008009E5">
        <w:t>projekt i Stockholmsområdet är exempelvis viktigare från till</w:t>
      </w:r>
      <w:r w:rsidR="00DB4AB9" w:rsidRPr="008009E5">
        <w:t>växtsynpunkt än</w:t>
      </w:r>
      <w:r w:rsidRPr="008009E5">
        <w:t xml:space="preserve"> byggandet av Norrbotniabanan.</w:t>
      </w:r>
    </w:p>
    <w:p w:rsidR="00622C83" w:rsidRPr="008009E5" w:rsidRDefault="00B05736" w:rsidP="008852F5">
      <w:pPr>
        <w:spacing w:before="0"/>
      </w:pPr>
      <w:r w:rsidRPr="008009E5">
        <w:t>4. Storsatsa på forskning –</w:t>
      </w:r>
      <w:r w:rsidR="00622C83" w:rsidRPr="008009E5">
        <w:t xml:space="preserve"> när staten, som nu, drar ner på grundforskningen uppfattar de forskningsintensiva företagen signalen och placerar forskningsr</w:t>
      </w:r>
      <w:r w:rsidR="00622C83" w:rsidRPr="008009E5">
        <w:t>e</w:t>
      </w:r>
      <w:r w:rsidR="00622C83" w:rsidRPr="008009E5">
        <w:t>surser i andra länder.</w:t>
      </w:r>
    </w:p>
    <w:p w:rsidR="00622C83" w:rsidRPr="008009E5" w:rsidRDefault="00B05736" w:rsidP="008852F5">
      <w:pPr>
        <w:spacing w:before="0"/>
      </w:pPr>
      <w:r w:rsidRPr="008009E5">
        <w:t>5. Sluta avveckla kärnkraften –</w:t>
      </w:r>
      <w:r w:rsidR="00622C83" w:rsidRPr="008009E5">
        <w:t xml:space="preserve"> även om elmarknaden delvis är internationell inser nu fler och fler länder att det är viktigt att ha en pålitlig nationell energ</w:t>
      </w:r>
      <w:r w:rsidR="00622C83" w:rsidRPr="008009E5">
        <w:t>i</w:t>
      </w:r>
      <w:r w:rsidR="00622C83" w:rsidRPr="008009E5">
        <w:t>produktion.</w:t>
      </w:r>
    </w:p>
    <w:p w:rsidR="00622C83" w:rsidRPr="008009E5" w:rsidRDefault="00622C83" w:rsidP="008852F5">
      <w:pPr>
        <w:spacing w:before="0"/>
      </w:pPr>
      <w:r w:rsidRPr="008009E5">
        <w:t xml:space="preserve">6. </w:t>
      </w:r>
      <w:r w:rsidR="00B05736" w:rsidRPr="008009E5">
        <w:t>Sluta höja skatterna på bilism –</w:t>
      </w:r>
      <w:r w:rsidRPr="008009E5">
        <w:t xml:space="preserve"> det är provocerande när bilföretag kämpar för sin överlevnad att försämra hemmamarknaden på det sätt som nu sker genom flera olika skattehöjningar.</w:t>
      </w:r>
    </w:p>
    <w:p w:rsidR="00622C83" w:rsidRPr="008009E5" w:rsidRDefault="00622C83" w:rsidP="008852F5">
      <w:pPr>
        <w:spacing w:before="0"/>
      </w:pPr>
      <w:r w:rsidRPr="008009E5">
        <w:t>7. Främja återväxten genom ett bra småföretagsklimat.</w:t>
      </w:r>
    </w:p>
    <w:p w:rsidR="00622C83" w:rsidRPr="008009E5" w:rsidRDefault="00622C83" w:rsidP="00622C83">
      <w:r w:rsidRPr="008009E5">
        <w:t>Vår tid, 2005, präglas för svensk industri av nya faktorer.</w:t>
      </w:r>
      <w:r w:rsidR="00DB4AB9" w:rsidRPr="008009E5">
        <w:t xml:space="preserve"> </w:t>
      </w:r>
      <w:r w:rsidRPr="008009E5">
        <w:t xml:space="preserve">En sådan är EU:s utvidgning den 1 maj 2004. Länder i Öst- </w:t>
      </w:r>
      <w:r w:rsidR="00B05736" w:rsidRPr="008009E5">
        <w:t>och Centraleuropa har genom EU-</w:t>
      </w:r>
      <w:r w:rsidRPr="008009E5">
        <w:t>medlemskapet blivit attraktiva för lok</w:t>
      </w:r>
      <w:r w:rsidR="00DB4AB9" w:rsidRPr="008009E5">
        <w:t>aliseringar för varuproduktion.</w:t>
      </w:r>
    </w:p>
    <w:p w:rsidR="00622C83" w:rsidRPr="008009E5" w:rsidRDefault="00622C83" w:rsidP="00B05736">
      <w:pPr>
        <w:pStyle w:val="Normaltindrag"/>
      </w:pPr>
      <w:r w:rsidRPr="008009E5">
        <w:t>En annan gäller utvecklingen i södra och östra Asien. Det gäller främst I</w:t>
      </w:r>
      <w:r w:rsidRPr="008009E5">
        <w:t>n</w:t>
      </w:r>
      <w:r w:rsidRPr="008009E5">
        <w:t xml:space="preserve">dien och Kina där kvalitetsnivån i fabriksproduktion och på vissa datatjänster höjts på ett sätt som kraftigt ökat möjligheterna att förlägga produktion av varor och vissa tjänster till länder i den delen av världen. </w:t>
      </w:r>
    </w:p>
    <w:p w:rsidR="00622C83" w:rsidRPr="008009E5" w:rsidRDefault="00622C83" w:rsidP="00B05736">
      <w:pPr>
        <w:pStyle w:val="Normaltindrag"/>
      </w:pPr>
      <w:r w:rsidRPr="008009E5">
        <w:t>I farans riktning ligger därför utflyttning av företag eller delar av produ</w:t>
      </w:r>
      <w:r w:rsidRPr="008009E5">
        <w:t>k</w:t>
      </w:r>
      <w:r w:rsidRPr="008009E5">
        <w:t>tionen. Det finns inget annat motmedel än att bli skickligare i Sverige på att tillverka och att höja kunskapsinnehållet i erbjudna varor och tjänster.</w:t>
      </w:r>
    </w:p>
    <w:p w:rsidR="00622C83" w:rsidRPr="008009E5" w:rsidRDefault="00622C83" w:rsidP="00B05736">
      <w:pPr>
        <w:pStyle w:val="Normaltindrag"/>
      </w:pPr>
      <w:r w:rsidRPr="008009E5">
        <w:t>År 2005 har omkring 25 procent av alla svenska industrianställda en u</w:t>
      </w:r>
      <w:r w:rsidRPr="008009E5">
        <w:t>t</w:t>
      </w:r>
      <w:r w:rsidRPr="008009E5">
        <w:t>ländsk arbetsgivare. Det är en mycket kraftig ökning jämfört med början av 1990-talet. År 1990 hade 7 procent av Sveriges största företag huvudkontoret utomlands. I dag är samma siffra nära 40 procent. Det ökar riskerna för att dagens svenska jobb flyttar ur landet – samtidigt som det finns andra motve</w:t>
      </w:r>
      <w:r w:rsidRPr="008009E5">
        <w:t>r</w:t>
      </w:r>
      <w:r w:rsidRPr="008009E5">
        <w:t>kande fördelar, främst anpassningen till impulser från andra länders verkli</w:t>
      </w:r>
      <w:r w:rsidRPr="008009E5">
        <w:t>g</w:t>
      </w:r>
      <w:r w:rsidRPr="008009E5">
        <w:t>het.</w:t>
      </w:r>
    </w:p>
    <w:p w:rsidR="00622C83" w:rsidRPr="008009E5" w:rsidRDefault="00622C83" w:rsidP="00B05736">
      <w:pPr>
        <w:pStyle w:val="Normaltindrag"/>
      </w:pPr>
      <w:r w:rsidRPr="008009E5">
        <w:t>Men hur mycket företagsledarna än talar om rationalitet och strikta ek</w:t>
      </w:r>
      <w:r w:rsidRPr="008009E5">
        <w:t>o</w:t>
      </w:r>
      <w:r w:rsidRPr="008009E5">
        <w:t>nomiska bedömningar, säger erfarenheten att det är lättare att dra en ver</w:t>
      </w:r>
      <w:r w:rsidRPr="008009E5">
        <w:t>k</w:t>
      </w:r>
      <w:r w:rsidRPr="008009E5">
        <w:t xml:space="preserve">samhet långt borta än nära. </w:t>
      </w:r>
    </w:p>
    <w:p w:rsidR="00622C83" w:rsidRPr="008009E5" w:rsidRDefault="00622C83" w:rsidP="00B05736">
      <w:pPr>
        <w:pStyle w:val="Normaltindrag"/>
      </w:pPr>
      <w:r w:rsidRPr="008009E5">
        <w:t xml:space="preserve">Utflyttningen, nedläggningen och uppköpen av svenska företag fortsätter. Mellan 2001 och 2003 köptes 372 företag upp av utländska köpare. Denna utveckling hotar att fortsätta. Att äga företag i Sverige uppskattas inte, mer än genom höga kapitalskatter, av den svenska regeringen. </w:t>
      </w:r>
    </w:p>
    <w:p w:rsidR="00622C83" w:rsidRPr="008009E5" w:rsidRDefault="00622C83" w:rsidP="00B05736">
      <w:pPr>
        <w:pStyle w:val="Normaltindrag"/>
      </w:pPr>
      <w:r w:rsidRPr="008009E5">
        <w:t>För att bevara fler jobb i svenska företag i vårt land måste ägande och för</w:t>
      </w:r>
      <w:r w:rsidRPr="008009E5">
        <w:t>e</w:t>
      </w:r>
      <w:r w:rsidRPr="008009E5">
        <w:t>tag uppskattas, inte straffbeskattas.</w:t>
      </w:r>
      <w:r w:rsidR="001C6038" w:rsidRPr="008009E5">
        <w:t xml:space="preserve"> </w:t>
      </w:r>
      <w:r w:rsidRPr="008009E5">
        <w:t>Ty sanningen är att Sverige har en unikt hård beskattning av ägande. Om EU:s nivå på den totala beskattningen av aktieägandet sätts till 100 är nivån för Sverige 270, således mer än dubbelt så mycket. Av särskild betydelse i detta sammanhang är dubbelbeskattningen eftersom den ofta direkt gynnar utländskt ägande på bekostnad av svenskt. Det är en obegriplig syn på vikten av ägandet.</w:t>
      </w:r>
    </w:p>
    <w:p w:rsidR="00622C83" w:rsidRPr="008009E5" w:rsidRDefault="00622C83" w:rsidP="00B05736">
      <w:pPr>
        <w:pStyle w:val="Normaltindrag"/>
      </w:pPr>
      <w:r w:rsidRPr="008009E5">
        <w:t>De nya EU-länderna kommer också att bidra till en press nedåt på skatt</w:t>
      </w:r>
      <w:r w:rsidRPr="008009E5">
        <w:t>e</w:t>
      </w:r>
      <w:r w:rsidRPr="008009E5">
        <w:t xml:space="preserve">trycket. De svenska skatterna är således en starkt bidragande orsak till att det utländska ägandet av de större företagen har ökat kraftigt. I slutet av 1980-talet var det utländska ägandet på Stockholmsbörsen 7 procent, tio år senare nästan 40 procent. </w:t>
      </w:r>
    </w:p>
    <w:p w:rsidR="00622C83" w:rsidRPr="008009E5" w:rsidRDefault="00622C83" w:rsidP="00B05736">
      <w:pPr>
        <w:pStyle w:val="Normaltindrag"/>
      </w:pPr>
      <w:r w:rsidRPr="008009E5">
        <w:t>Transportindustrin, där bilindustrin ingår, satsar årligen mångmiljardb</w:t>
      </w:r>
      <w:r w:rsidRPr="008009E5">
        <w:t>e</w:t>
      </w:r>
      <w:r w:rsidRPr="008009E5">
        <w:t>lopp på forskning och utveckling. Därtill kan läggas den forskning som sker på högskolor och universitet kring bilindustrin. Forskningen måste också ge resultat både genom att dess resultat leder till att de stora företagen utvecklas och att små företag kan verka i forskningsintensiva miljöer. I dag kan brista</w:t>
      </w:r>
      <w:r w:rsidRPr="008009E5">
        <w:t>n</w:t>
      </w:r>
      <w:r w:rsidRPr="008009E5">
        <w:t>de tillgång till såddkapital leda till att många idéer från forskningen inte fö</w:t>
      </w:r>
      <w:r w:rsidRPr="008009E5">
        <w:t>r</w:t>
      </w:r>
      <w:r w:rsidRPr="008009E5">
        <w:t xml:space="preserve">verkligas. </w:t>
      </w:r>
    </w:p>
    <w:p w:rsidR="00622C83" w:rsidRPr="008009E5" w:rsidRDefault="00622C83" w:rsidP="008852F5">
      <w:pPr>
        <w:pStyle w:val="Normaltindrag"/>
      </w:pPr>
      <w:r w:rsidRPr="008009E5">
        <w:t>Det finns anledning att nämna de industriföretag, ofta små men starkt sp</w:t>
      </w:r>
      <w:r w:rsidRPr="008009E5">
        <w:t>e</w:t>
      </w:r>
      <w:r w:rsidRPr="008009E5">
        <w:t>cialiserade, som huvudsakligen arbetar som underleverantörer till andra för</w:t>
      </w:r>
      <w:r w:rsidRPr="008009E5">
        <w:t>e</w:t>
      </w:r>
      <w:r w:rsidRPr="008009E5">
        <w:t>tag. Ett exempel med återbäring i Södertälje är fordonsindustrins 14 000 a</w:t>
      </w:r>
      <w:r w:rsidRPr="008009E5">
        <w:t>n</w:t>
      </w:r>
      <w:r w:rsidRPr="008009E5">
        <w:t>ställda i Sverige:</w:t>
      </w:r>
      <w:r w:rsidR="008852F5" w:rsidRPr="008009E5">
        <w:t xml:space="preserve"> </w:t>
      </w:r>
      <w:r w:rsidRPr="008009E5">
        <w:t>I dag arbetar i biltillverkningsind</w:t>
      </w:r>
      <w:r w:rsidR="00B05736" w:rsidRPr="008009E5">
        <w:t>ustrin ungefär 65 000 a</w:t>
      </w:r>
      <w:r w:rsidR="00B05736" w:rsidRPr="008009E5">
        <w:t>n</w:t>
      </w:r>
      <w:r w:rsidR="00B05736" w:rsidRPr="008009E5">
        <w:t>ställa –</w:t>
      </w:r>
      <w:r w:rsidR="008852F5" w:rsidRPr="008009E5">
        <w:t xml:space="preserve"> men 75 </w:t>
      </w:r>
      <w:r w:rsidRPr="008009E5">
        <w:t>000 hos deras underleverantörer! Dessa små eller medelstora företag b</w:t>
      </w:r>
      <w:r w:rsidRPr="008009E5">
        <w:t>e</w:t>
      </w:r>
      <w:r w:rsidRPr="008009E5">
        <w:t xml:space="preserve">höver de bästa förutsättningar för att kunna klara konkurrensen och växa. </w:t>
      </w:r>
    </w:p>
    <w:p w:rsidR="00622C83" w:rsidRPr="008009E5" w:rsidRDefault="00622C83" w:rsidP="00B05736">
      <w:pPr>
        <w:pStyle w:val="Normaltindrag"/>
      </w:pPr>
      <w:r w:rsidRPr="008009E5">
        <w:t>I dag är det svårt att vara företagare. Det borde, av välfärdsskäl, bli mycket lättare. Vi kan inte leva på bidrag eller avdrag, bara på pådrag.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5736" w:rsidRPr="008009E5">
        <w:tblPrEx>
          <w:tblCellMar>
            <w:top w:w="0" w:type="dxa"/>
            <w:bottom w:w="0" w:type="dxa"/>
          </w:tblCellMar>
        </w:tblPrEx>
        <w:trPr>
          <w:cantSplit/>
        </w:trPr>
        <w:tc>
          <w:tcPr>
            <w:tcW w:w="3046" w:type="dxa"/>
          </w:tcPr>
          <w:p w:rsidR="00B05736" w:rsidRPr="008009E5" w:rsidRDefault="00B05736" w:rsidP="00B05736">
            <w:pPr>
              <w:pStyle w:val="UnderskriftDatum"/>
              <w:spacing w:before="240"/>
            </w:pPr>
            <w:r w:rsidRPr="008009E5">
              <w:t>Stockholm den 30 september 2005</w:t>
            </w:r>
          </w:p>
        </w:tc>
        <w:tc>
          <w:tcPr>
            <w:tcW w:w="3047" w:type="dxa"/>
          </w:tcPr>
          <w:p w:rsidR="00B05736" w:rsidRPr="008009E5" w:rsidRDefault="00B05736" w:rsidP="00B05736">
            <w:pPr>
              <w:pStyle w:val="Underskrifter"/>
              <w:spacing w:before="240"/>
            </w:pPr>
          </w:p>
        </w:tc>
      </w:tr>
      <w:tr w:rsidR="00B05736" w:rsidRPr="008009E5">
        <w:tblPrEx>
          <w:tblCellMar>
            <w:top w:w="0" w:type="dxa"/>
            <w:bottom w:w="0" w:type="dxa"/>
          </w:tblCellMar>
        </w:tblPrEx>
        <w:trPr>
          <w:cantSplit/>
        </w:trPr>
        <w:tc>
          <w:tcPr>
            <w:tcW w:w="3046" w:type="dxa"/>
          </w:tcPr>
          <w:p w:rsidR="00B05736" w:rsidRPr="008009E5" w:rsidRDefault="00B05736" w:rsidP="00B05736">
            <w:pPr>
              <w:pStyle w:val="Underskrifter"/>
            </w:pPr>
            <w:r w:rsidRPr="008009E5">
              <w:t>Gunnar Andrén (fp)</w:t>
            </w:r>
          </w:p>
        </w:tc>
        <w:tc>
          <w:tcPr>
            <w:tcW w:w="3047" w:type="dxa"/>
          </w:tcPr>
          <w:p w:rsidR="00B05736" w:rsidRPr="008009E5" w:rsidRDefault="00B05736" w:rsidP="00B05736">
            <w:pPr>
              <w:pStyle w:val="Underskrifter"/>
            </w:pPr>
          </w:p>
        </w:tc>
      </w:tr>
      <w:tr w:rsidR="00B05736" w:rsidRPr="008009E5">
        <w:tblPrEx>
          <w:tblCellMar>
            <w:top w:w="0" w:type="dxa"/>
            <w:bottom w:w="0" w:type="dxa"/>
          </w:tblCellMar>
        </w:tblPrEx>
        <w:trPr>
          <w:cantSplit/>
        </w:trPr>
        <w:tc>
          <w:tcPr>
            <w:tcW w:w="3046" w:type="dxa"/>
          </w:tcPr>
          <w:p w:rsidR="00B05736" w:rsidRPr="008009E5" w:rsidRDefault="00B05736" w:rsidP="00B05736">
            <w:pPr>
              <w:pStyle w:val="Underskrifter"/>
            </w:pPr>
            <w:r w:rsidRPr="008009E5">
              <w:t>Karin Pilsäter (fp)</w:t>
            </w:r>
          </w:p>
        </w:tc>
        <w:tc>
          <w:tcPr>
            <w:tcW w:w="3047" w:type="dxa"/>
          </w:tcPr>
          <w:p w:rsidR="00B05736" w:rsidRPr="008009E5" w:rsidRDefault="00B05736" w:rsidP="00B05736">
            <w:pPr>
              <w:pStyle w:val="Underskrifter"/>
            </w:pPr>
            <w:r w:rsidRPr="008009E5">
              <w:t>Carl B Hamilton (fp)</w:t>
            </w:r>
          </w:p>
        </w:tc>
      </w:tr>
      <w:tr w:rsidR="00B05736" w:rsidRPr="008009E5">
        <w:tblPrEx>
          <w:tblCellMar>
            <w:top w:w="0" w:type="dxa"/>
            <w:bottom w:w="0" w:type="dxa"/>
          </w:tblCellMar>
        </w:tblPrEx>
        <w:trPr>
          <w:cantSplit/>
        </w:trPr>
        <w:tc>
          <w:tcPr>
            <w:tcW w:w="3046" w:type="dxa"/>
          </w:tcPr>
          <w:p w:rsidR="00B05736" w:rsidRPr="008009E5" w:rsidRDefault="00B05736" w:rsidP="00B05736">
            <w:pPr>
              <w:pStyle w:val="Underskrifter"/>
            </w:pPr>
            <w:r w:rsidRPr="008009E5">
              <w:t>Helena Bargholtz (fp)</w:t>
            </w:r>
          </w:p>
        </w:tc>
        <w:tc>
          <w:tcPr>
            <w:tcW w:w="3047" w:type="dxa"/>
          </w:tcPr>
          <w:p w:rsidR="00B05736" w:rsidRPr="008009E5" w:rsidRDefault="00B05736" w:rsidP="00B05736">
            <w:pPr>
              <w:pStyle w:val="Underskrifter"/>
            </w:pPr>
            <w:r w:rsidRPr="008009E5">
              <w:t>Mia Franzén (fp)</w:t>
            </w:r>
          </w:p>
        </w:tc>
      </w:tr>
      <w:tr w:rsidR="00B05736" w:rsidRPr="008009E5">
        <w:tblPrEx>
          <w:tblCellMar>
            <w:top w:w="0" w:type="dxa"/>
            <w:bottom w:w="0" w:type="dxa"/>
          </w:tblCellMar>
        </w:tblPrEx>
        <w:trPr>
          <w:cantSplit/>
        </w:trPr>
        <w:tc>
          <w:tcPr>
            <w:tcW w:w="3046" w:type="dxa"/>
          </w:tcPr>
          <w:p w:rsidR="00B05736" w:rsidRPr="008009E5" w:rsidRDefault="00B05736" w:rsidP="00B05736">
            <w:pPr>
              <w:pStyle w:val="Underskrifter"/>
            </w:pPr>
            <w:r w:rsidRPr="008009E5">
              <w:t>Martin Andreasson (fp)</w:t>
            </w:r>
          </w:p>
        </w:tc>
        <w:tc>
          <w:tcPr>
            <w:tcW w:w="3047" w:type="dxa"/>
          </w:tcPr>
          <w:p w:rsidR="00B05736" w:rsidRPr="008009E5" w:rsidRDefault="00B05736" w:rsidP="00B05736">
            <w:pPr>
              <w:pStyle w:val="Underskrifter"/>
            </w:pPr>
            <w:r w:rsidRPr="008009E5">
              <w:t>Nina Lundström (fp)</w:t>
            </w:r>
          </w:p>
        </w:tc>
      </w:tr>
    </w:tbl>
    <w:p w:rsidR="00622C83" w:rsidRPr="008009E5" w:rsidRDefault="00622C83" w:rsidP="00B05736">
      <w:pPr>
        <w:pStyle w:val="Normaltindrag"/>
      </w:pPr>
    </w:p>
    <w:sectPr w:rsidR="00622C83" w:rsidRPr="008009E5" w:rsidSect="00B057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6C86" w:rsidRPr="008009E5" w:rsidRDefault="00BD6C86">
      <w:r w:rsidRPr="008009E5">
        <w:separator/>
      </w:r>
    </w:p>
  </w:endnote>
  <w:endnote w:type="continuationSeparator" w:id="0">
    <w:p w:rsidR="00BD6C86" w:rsidRPr="008009E5" w:rsidRDefault="00BD6C86">
      <w:r w:rsidRPr="00800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56" w:rsidRPr="008009E5" w:rsidRDefault="008009E5" w:rsidP="00B05736">
    <w:pPr>
      <w:pStyle w:val="Sidfot"/>
    </w:pPr>
    <w:r w:rsidRPr="008009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894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56" w:rsidRDefault="004E5256">
                          <w:pPr>
                            <w:pStyle w:val="NormalS5sidnrV"/>
                          </w:pPr>
                          <w:r>
                            <w:fldChar w:fldCharType="begin"/>
                          </w:r>
                          <w:r>
                            <w:instrText xml:space="preserve"> PAGE *\charformat</w:instrText>
                          </w:r>
                          <w:r>
                            <w:fldChar w:fldCharType="separate"/>
                          </w:r>
                          <w:r w:rsidR="00DA08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256" w:rsidRDefault="004E5256">
                    <w:pPr>
                      <w:pStyle w:val="NormalS5sidnrV"/>
                    </w:pPr>
                    <w:r>
                      <w:fldChar w:fldCharType="begin"/>
                    </w:r>
                    <w:r>
                      <w:instrText xml:space="preserve"> PAGE *\charformat</w:instrText>
                    </w:r>
                    <w:r>
                      <w:fldChar w:fldCharType="separate"/>
                    </w:r>
                    <w:r w:rsidR="00DA08C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56" w:rsidRPr="008009E5" w:rsidRDefault="008009E5" w:rsidP="00B05736">
    <w:pPr>
      <w:pStyle w:val="Sidfot"/>
    </w:pPr>
    <w:r w:rsidRPr="008009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989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56" w:rsidRDefault="004E5256">
                          <w:pPr>
                            <w:pStyle w:val="NormalS5sidnrH"/>
                            <w:ind w:right="0"/>
                          </w:pPr>
                          <w:r>
                            <w:fldChar w:fldCharType="begin"/>
                          </w:r>
                          <w:r>
                            <w:instrText xml:space="preserve"> PAGE *\charformat</w:instrText>
                          </w:r>
                          <w:r>
                            <w:fldChar w:fldCharType="separate"/>
                          </w:r>
                          <w:r w:rsidR="00DA08C9">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256" w:rsidRDefault="004E5256">
                    <w:pPr>
                      <w:pStyle w:val="NormalS5sidnrH"/>
                      <w:ind w:right="0"/>
                    </w:pPr>
                    <w:r>
                      <w:fldChar w:fldCharType="begin"/>
                    </w:r>
                    <w:r>
                      <w:instrText xml:space="preserve"> PAGE *\charformat</w:instrText>
                    </w:r>
                    <w:r>
                      <w:fldChar w:fldCharType="separate"/>
                    </w:r>
                    <w:r w:rsidR="00DA08C9">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56" w:rsidRPr="008009E5" w:rsidRDefault="008009E5" w:rsidP="00B05736">
    <w:pPr>
      <w:pStyle w:val="Sidfot"/>
    </w:pPr>
    <w:r w:rsidRPr="008009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503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56" w:rsidRDefault="004E5256">
                          <w:pPr>
                            <w:pStyle w:val="NormalS5sidnrH"/>
                            <w:ind w:right="0"/>
                          </w:pPr>
                          <w:r>
                            <w:fldChar w:fldCharType="begin"/>
                          </w:r>
                          <w:r>
                            <w:instrText xml:space="preserve"> PAGE *\charformat</w:instrText>
                          </w:r>
                          <w:r>
                            <w:fldChar w:fldCharType="separate"/>
                          </w:r>
                          <w:r w:rsidR="00DA08C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256" w:rsidRDefault="004E5256">
                    <w:pPr>
                      <w:pStyle w:val="NormalS5sidnrH"/>
                      <w:ind w:right="0"/>
                    </w:pPr>
                    <w:r>
                      <w:fldChar w:fldCharType="begin"/>
                    </w:r>
                    <w:r>
                      <w:instrText xml:space="preserve"> PAGE *\charformat</w:instrText>
                    </w:r>
                    <w:r>
                      <w:fldChar w:fldCharType="separate"/>
                    </w:r>
                    <w:r w:rsidR="00DA08C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6C86" w:rsidRPr="008009E5" w:rsidRDefault="00BD6C86">
      <w:r w:rsidRPr="008009E5">
        <w:separator/>
      </w:r>
    </w:p>
  </w:footnote>
  <w:footnote w:type="continuationSeparator" w:id="0">
    <w:p w:rsidR="00BD6C86" w:rsidRPr="008009E5" w:rsidRDefault="00BD6C86">
      <w:r w:rsidRPr="00800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56" w:rsidRPr="008009E5" w:rsidRDefault="008009E5" w:rsidP="00B05736">
    <w:pPr>
      <w:pStyle w:val="Sidhuvud"/>
    </w:pPr>
    <w:r w:rsidRPr="008009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8430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56" w:rsidRDefault="004E52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256" w:rsidRDefault="004E52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56" w:rsidRPr="008009E5" w:rsidRDefault="008009E5" w:rsidP="00B05736">
    <w:pPr>
      <w:pStyle w:val="Sidhuvud"/>
    </w:pPr>
    <w:r w:rsidRPr="008009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241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256" w:rsidRDefault="004E52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256" w:rsidRDefault="004E52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256" w:rsidRPr="008009E5" w:rsidRDefault="004E5256">
    <w:pPr>
      <w:pStyle w:val="FSHNormal"/>
      <w:tabs>
        <w:tab w:val="right" w:pos="5840"/>
      </w:tabs>
    </w:pPr>
    <w:r w:rsidRPr="008009E5">
      <w:br/>
    </w:r>
    <w:r w:rsidRPr="008009E5">
      <w:fldChar w:fldCharType="begin" w:fldLock="1"/>
    </w:r>
    <w:r w:rsidRPr="008009E5">
      <w:instrText xml:space="preserve"> DOCPROPERTY</w:instrText>
    </w:r>
    <w:r w:rsidRPr="008009E5">
      <w:rPr>
        <w:sz w:val="18"/>
      </w:rPr>
      <w:instrText xml:space="preserve"> "YearUser" *\charformat </w:instrText>
    </w:r>
    <w:r w:rsidRPr="008009E5">
      <w:fldChar w:fldCharType="separate"/>
    </w:r>
    <w:r w:rsidRPr="008009E5">
      <w:t>2005/06</w:t>
    </w:r>
    <w:r w:rsidRPr="008009E5">
      <w:fldChar w:fldCharType="end"/>
    </w:r>
    <w:r w:rsidRPr="008009E5">
      <w:t xml:space="preserve"> </w:t>
    </w:r>
    <w:r w:rsidRPr="008009E5">
      <w:tab/>
      <w:t xml:space="preserve">mnr: </w:t>
    </w:r>
    <w:r w:rsidRPr="008009E5">
      <w:fldChar w:fldCharType="begin" w:fldLock="1"/>
    </w:r>
    <w:r w:rsidRPr="008009E5">
      <w:instrText xml:space="preserve"> DOCPROPERTY</w:instrText>
    </w:r>
    <w:r w:rsidRPr="008009E5">
      <w:rPr>
        <w:sz w:val="18"/>
      </w:rPr>
      <w:instrText xml:space="preserve"> "Motionsnummer" *\charformat </w:instrText>
    </w:r>
    <w:r w:rsidRPr="008009E5">
      <w:fldChar w:fldCharType="separate"/>
    </w:r>
    <w:r w:rsidRPr="008009E5">
      <w:t>N305</w:t>
    </w:r>
    <w:r w:rsidRPr="008009E5">
      <w:fldChar w:fldCharType="end"/>
    </w:r>
    <w:r w:rsidRPr="008009E5">
      <w:br/>
    </w:r>
    <w:r w:rsidRPr="008009E5">
      <w:fldChar w:fldCharType="begin" w:fldLock="1"/>
    </w:r>
    <w:r w:rsidRPr="008009E5">
      <w:instrText xml:space="preserve"> DOCPROPERTY</w:instrText>
    </w:r>
    <w:r w:rsidRPr="008009E5">
      <w:rPr>
        <w:sz w:val="18"/>
      </w:rPr>
      <w:instrText xml:space="preserve"> "Samling" *\charformat </w:instrText>
    </w:r>
    <w:r w:rsidRPr="008009E5">
      <w:fldChar w:fldCharType="end"/>
    </w:r>
    <w:r w:rsidRPr="008009E5">
      <w:tab/>
      <w:t xml:space="preserve">pnr: </w:t>
    </w:r>
    <w:r w:rsidRPr="008009E5">
      <w:fldChar w:fldCharType="begin" w:fldLock="1"/>
    </w:r>
    <w:r w:rsidRPr="008009E5">
      <w:instrText xml:space="preserve"> DOCPROPERTY</w:instrText>
    </w:r>
    <w:r w:rsidRPr="008009E5">
      <w:rPr>
        <w:sz w:val="18"/>
      </w:rPr>
      <w:instrText xml:space="preserve"> "Partinummer" *\charformat </w:instrText>
    </w:r>
    <w:r w:rsidRPr="008009E5">
      <w:fldChar w:fldCharType="separate"/>
    </w:r>
    <w:r w:rsidRPr="008009E5">
      <w:t>fp414</w:t>
    </w:r>
    <w:r w:rsidRPr="008009E5">
      <w:fldChar w:fldCharType="end"/>
    </w:r>
  </w:p>
  <w:p w:rsidR="004E5256" w:rsidRPr="008009E5" w:rsidRDefault="004E5256">
    <w:pPr>
      <w:pStyle w:val="FSHRub1"/>
    </w:pPr>
    <w:r w:rsidRPr="008009E5">
      <w:t>Motion till riksdagen</w:t>
    </w:r>
    <w:r w:rsidRPr="008009E5">
      <w:br/>
    </w:r>
    <w:r w:rsidRPr="008009E5">
      <w:fldChar w:fldCharType="begin" w:fldLock="1"/>
    </w:r>
    <w:r w:rsidRPr="008009E5">
      <w:instrText xml:space="preserve"> DOCPROPERTY "YearUser" *\charformat </w:instrText>
    </w:r>
    <w:r w:rsidRPr="008009E5">
      <w:fldChar w:fldCharType="separate"/>
    </w:r>
    <w:r w:rsidRPr="008009E5">
      <w:t>2005/06</w:t>
    </w:r>
    <w:r w:rsidRPr="008009E5">
      <w:fldChar w:fldCharType="end"/>
    </w:r>
    <w:r w:rsidRPr="008009E5">
      <w:t>:</w:t>
    </w:r>
    <w:r w:rsidRPr="008009E5">
      <w:fldChar w:fldCharType="begin" w:fldLock="1"/>
    </w:r>
    <w:r w:rsidRPr="008009E5">
      <w:instrText xml:space="preserve"> DOCPROPERTY "Motionsnummer" *\charformat </w:instrText>
    </w:r>
    <w:r w:rsidRPr="008009E5">
      <w:fldChar w:fldCharType="separate"/>
    </w:r>
    <w:r w:rsidRPr="008009E5">
      <w:t>N305</w:t>
    </w:r>
    <w:r w:rsidRPr="008009E5">
      <w:fldChar w:fldCharType="end"/>
    </w:r>
  </w:p>
  <w:p w:rsidR="004E5256" w:rsidRPr="008009E5" w:rsidRDefault="004E5256">
    <w:pPr>
      <w:pStyle w:val="FSHNormalS5"/>
    </w:pPr>
    <w:r w:rsidRPr="008009E5">
      <w:fldChar w:fldCharType="begin" w:fldLock="1"/>
    </w:r>
    <w:r w:rsidRPr="008009E5">
      <w:instrText xml:space="preserve"> DOCPROPERTY "MotionarText" *\charformat </w:instrText>
    </w:r>
    <w:r w:rsidRPr="008009E5">
      <w:fldChar w:fldCharType="separate"/>
    </w:r>
    <w:r w:rsidRPr="008009E5">
      <w:t>av Gunnar Andrén m.fl. (fp)</w:t>
    </w:r>
    <w:r w:rsidRPr="008009E5">
      <w:fldChar w:fldCharType="end"/>
    </w:r>
    <w:r w:rsidRPr="008009E5">
      <w:br/>
    </w:r>
    <w:r w:rsidRPr="008009E5">
      <w:fldChar w:fldCharType="begin" w:fldLock="1"/>
    </w:r>
    <w:r w:rsidRPr="008009E5">
      <w:instrText xml:space="preserve"> DOCPROPERTY "SvarFrasKort" *\charformat </w:instrText>
    </w:r>
    <w:r w:rsidRPr="008009E5">
      <w:fldChar w:fldCharType="end"/>
    </w:r>
  </w:p>
  <w:p w:rsidR="004E5256" w:rsidRPr="008009E5" w:rsidRDefault="004E5256">
    <w:pPr>
      <w:pStyle w:val="FSHTitel"/>
    </w:pPr>
    <w:r w:rsidRPr="008009E5">
      <w:fldChar w:fldCharType="begin" w:fldLock="1"/>
    </w:r>
    <w:r w:rsidRPr="008009E5">
      <w:instrText xml:space="preserve"> DOCPROPERTY</w:instrText>
    </w:r>
    <w:r w:rsidRPr="008009E5">
      <w:rPr>
        <w:sz w:val="18"/>
      </w:rPr>
      <w:instrText xml:space="preserve"> "RubrikSvar" *\charformat </w:instrText>
    </w:r>
    <w:r w:rsidRPr="008009E5">
      <w:fldChar w:fldCharType="separate"/>
    </w:r>
    <w:r w:rsidRPr="008009E5">
      <w:t>Södertälje som centrum för forskningstillväxt och industriell utveckling</w:t>
    </w:r>
    <w:r w:rsidRPr="008009E5">
      <w:fldChar w:fldCharType="end"/>
    </w:r>
  </w:p>
  <w:p w:rsidR="004E5256" w:rsidRPr="008009E5" w:rsidRDefault="004E5256" w:rsidP="00B05736">
    <w:pPr>
      <w:pStyle w:val="Normal00"/>
      <w:rPr>
        <w:i/>
      </w:rPr>
    </w:pPr>
    <w:r w:rsidRPr="008009E5">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A287516"/>
    <w:lvl w:ilvl="0" w:tplc="7958B8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032277">
    <w:abstractNumId w:val="13"/>
  </w:num>
  <w:num w:numId="2" w16cid:durableId="755247028">
    <w:abstractNumId w:val="10"/>
  </w:num>
  <w:num w:numId="3" w16cid:durableId="1838157034">
    <w:abstractNumId w:val="11"/>
  </w:num>
  <w:num w:numId="4" w16cid:durableId="667368592">
    <w:abstractNumId w:val="12"/>
  </w:num>
  <w:num w:numId="5" w16cid:durableId="341394963">
    <w:abstractNumId w:val="8"/>
  </w:num>
  <w:num w:numId="6" w16cid:durableId="72364801">
    <w:abstractNumId w:val="3"/>
  </w:num>
  <w:num w:numId="7" w16cid:durableId="2024624649">
    <w:abstractNumId w:val="2"/>
  </w:num>
  <w:num w:numId="8" w16cid:durableId="1486388489">
    <w:abstractNumId w:val="1"/>
  </w:num>
  <w:num w:numId="9" w16cid:durableId="386149777">
    <w:abstractNumId w:val="0"/>
  </w:num>
  <w:num w:numId="10" w16cid:durableId="1144158419">
    <w:abstractNumId w:val="9"/>
  </w:num>
  <w:num w:numId="11" w16cid:durableId="1985621363">
    <w:abstractNumId w:val="7"/>
  </w:num>
  <w:num w:numId="12" w16cid:durableId="1410037388">
    <w:abstractNumId w:val="6"/>
  </w:num>
  <w:num w:numId="13" w16cid:durableId="558593837">
    <w:abstractNumId w:val="5"/>
  </w:num>
  <w:num w:numId="14" w16cid:durableId="1452474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DB6F84"/>
    <w:rsid w:val="00064BC3"/>
    <w:rsid w:val="00066775"/>
    <w:rsid w:val="00072FB9"/>
    <w:rsid w:val="00073BF9"/>
    <w:rsid w:val="000A58EA"/>
    <w:rsid w:val="00100531"/>
    <w:rsid w:val="00132612"/>
    <w:rsid w:val="001643AD"/>
    <w:rsid w:val="00181D54"/>
    <w:rsid w:val="001866F9"/>
    <w:rsid w:val="001B610D"/>
    <w:rsid w:val="001B690F"/>
    <w:rsid w:val="001C6038"/>
    <w:rsid w:val="00201DFB"/>
    <w:rsid w:val="00204A63"/>
    <w:rsid w:val="00212FF1"/>
    <w:rsid w:val="00230193"/>
    <w:rsid w:val="0025068A"/>
    <w:rsid w:val="00272432"/>
    <w:rsid w:val="002818D3"/>
    <w:rsid w:val="002A66E7"/>
    <w:rsid w:val="002B313E"/>
    <w:rsid w:val="002D11A8"/>
    <w:rsid w:val="003A2130"/>
    <w:rsid w:val="00431C3D"/>
    <w:rsid w:val="00445271"/>
    <w:rsid w:val="004A0504"/>
    <w:rsid w:val="004E38D9"/>
    <w:rsid w:val="004E5256"/>
    <w:rsid w:val="005605ED"/>
    <w:rsid w:val="0059663D"/>
    <w:rsid w:val="00622C83"/>
    <w:rsid w:val="00634A2A"/>
    <w:rsid w:val="006930A6"/>
    <w:rsid w:val="006A7429"/>
    <w:rsid w:val="006D16C8"/>
    <w:rsid w:val="00740D6D"/>
    <w:rsid w:val="00794149"/>
    <w:rsid w:val="007B67A7"/>
    <w:rsid w:val="007C6092"/>
    <w:rsid w:val="008009E5"/>
    <w:rsid w:val="008852F5"/>
    <w:rsid w:val="00936291"/>
    <w:rsid w:val="009D0FA8"/>
    <w:rsid w:val="00A053C6"/>
    <w:rsid w:val="00AE1FA1"/>
    <w:rsid w:val="00B05736"/>
    <w:rsid w:val="00B13BF0"/>
    <w:rsid w:val="00BD3F83"/>
    <w:rsid w:val="00BD4ACA"/>
    <w:rsid w:val="00BD6C86"/>
    <w:rsid w:val="00C01886"/>
    <w:rsid w:val="00C1285C"/>
    <w:rsid w:val="00C27B7D"/>
    <w:rsid w:val="00CA1F7A"/>
    <w:rsid w:val="00CF76B0"/>
    <w:rsid w:val="00D1174F"/>
    <w:rsid w:val="00D66941"/>
    <w:rsid w:val="00D76D09"/>
    <w:rsid w:val="00DA08C9"/>
    <w:rsid w:val="00DB4AB9"/>
    <w:rsid w:val="00DB6F84"/>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673031-6A6E-4E0B-9E6D-55C45B61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605ED"/>
    <w:pPr>
      <w:spacing w:after="250"/>
    </w:pPr>
  </w:style>
  <w:style w:type="paragraph" w:customStyle="1" w:styleId="Hemstlatt">
    <w:name w:val="Hemstl_att"/>
    <w:aliases w:val="HemstPunkt,HemstPunktFlera,HemställansPunkt,Förslagstext"/>
    <w:basedOn w:val="Normal"/>
    <w:next w:val="Normal"/>
    <w:rsid w:val="00B05736"/>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5605ED"/>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B69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3514</Words>
  <Characters>20841</Characters>
  <Application>Microsoft Office Word</Application>
  <DocSecurity>4</DocSecurity>
  <Lines>463</Lines>
  <Paragraphs>173</Paragraphs>
  <ScaleCrop>false</ScaleCrop>
  <HeadingPairs>
    <vt:vector size="2" baseType="variant">
      <vt:variant>
        <vt:lpstr>Rubrik</vt:lpstr>
      </vt:variant>
      <vt:variant>
        <vt:i4>1</vt:i4>
      </vt:variant>
    </vt:vector>
  </HeadingPairs>
  <TitlesOfParts>
    <vt:vector size="1" baseType="lpstr">
      <vt:lpstr>N305</vt:lpstr>
    </vt:vector>
  </TitlesOfParts>
  <Company>Riksdagen</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N305</dc:title>
  <dc:subject>N305</dc:subject>
  <dc:creator>Riksdagen</dc:creator>
  <cp:keywords>Riksdagen</cp:keywords>
  <dc:description/>
  <cp:lastModifiedBy>Lars Brink</cp:lastModifiedBy>
  <cp:revision>2</cp:revision>
  <cp:lastPrinted>2006-01-20T08:45:00Z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Södertälje som centrum för forskningstillväxt och industriell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Södertälje som centrum för forskningstillväxt och industriell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Gunnar Andrén m.fl. (fp)</vt:lpwstr>
  </property>
  <property fmtid="{D5CDD505-2E9C-101B-9397-08002B2CF9AE}" pid="26" name="MotionarLista">
    <vt:lpwstr>Andrén, Gunnar (fp)\Pilsäter, Karin (fp)\Hamilton, Carl B (fp)\Bargholtz, Helena (fp)\Franzén, Mia (fp)\Andreasson, Martin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Karin Pilsäter (fp), Carl B Hamilton (fp), Helena Bargholtz (fp), Mia Franzén (fp), Martin Andreasson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41</vt:lpwstr>
  </property>
  <property fmtid="{D5CDD505-2E9C-101B-9397-08002B2CF9AE}" pid="35" name="Samling">
    <vt:lpwstr/>
  </property>
  <property fmtid="{D5CDD505-2E9C-101B-9397-08002B2CF9AE}" pid="36" name="SamlingPrint">
    <vt:lpwstr/>
  </property>
  <property fmtid="{D5CDD505-2E9C-101B-9397-08002B2CF9AE}" pid="37" name="Motionsnummer">
    <vt:lpwstr>N305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terese.karras@riksdagen.se</vt:lpwstr>
  </property>
  <property fmtid="{D5CDD505-2E9C-101B-9397-08002B2CF9AE}" pid="45" name="ReservUID">
    <vt:lpwstr>birgitta lundblad</vt:lpwstr>
  </property>
  <property fmtid="{D5CDD505-2E9C-101B-9397-08002B2CF9AE}" pid="46" name="MotionID">
    <vt:lpwstr>20052006000001020112000004140069</vt:lpwstr>
  </property>
  <property fmtid="{D5CDD505-2E9C-101B-9397-08002B2CF9AE}" pid="47" name="datum">
    <vt:lpwstr>050930</vt:lpwstr>
  </property>
  <property fmtid="{D5CDD505-2E9C-101B-9397-08002B2CF9AE}" pid="48" name="avsändar-e-post">
    <vt:lpwstr>terese.karras@riksdagen.se</vt:lpwstr>
  </property>
  <property fmtid="{D5CDD505-2E9C-101B-9397-08002B2CF9AE}" pid="49" name="id">
    <vt:lpwstr>20052006000001020112000004140069</vt:lpwstr>
  </property>
  <property fmtid="{D5CDD505-2E9C-101B-9397-08002B2CF9AE}" pid="50" name="nummer">
    <vt:lpwstr>305</vt:lpwstr>
  </property>
  <property fmtid="{D5CDD505-2E9C-101B-9397-08002B2CF9AE}" pid="51" name="utskottsbeteckning">
    <vt:lpwstr>N</vt:lpwstr>
  </property>
  <property fmtid="{D5CDD505-2E9C-101B-9397-08002B2CF9AE}" pid="52" name="GlobalUID">
    <vt:lpwstr>nej</vt:lpwstr>
  </property>
  <property fmtid="{D5CDD505-2E9C-101B-9397-08002B2CF9AE}" pid="53" name="Överföringar">
    <vt:i4>0</vt:i4>
  </property>
</Properties>
</file>