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304" w:rsidRPr="00DF6C71" w:rsidRDefault="00D12304">
      <w:pPr>
        <w:pStyle w:val="Hemstlrubrik"/>
      </w:pPr>
      <w:r w:rsidRPr="00DF6C71">
        <w:t>Förslag till riksdagsbeslut</w:t>
      </w:r>
    </w:p>
    <w:p w:rsidR="00D12304" w:rsidRPr="00DF6C71" w:rsidRDefault="00D12304">
      <w:pPr>
        <w:pStyle w:val="Hemstlatt"/>
        <w:numPr>
          <w:ilvl w:val="0"/>
          <w:numId w:val="1"/>
        </w:numPr>
      </w:pPr>
      <w:r w:rsidRPr="00DF6C71">
        <w:t>Riksdagen tillkännager för regeringen som sin mening vad som anförs i motionen om att reglerna för uttag av kväveo</w:t>
      </w:r>
      <w:r w:rsidRPr="00DF6C71">
        <w:t>x</w:t>
      </w:r>
      <w:r w:rsidRPr="00DF6C71">
        <w:t>idavgift bör anpassas så att det medger uppfyllelse av miljöm</w:t>
      </w:r>
      <w:r w:rsidRPr="00DF6C71">
        <w:t>å</w:t>
      </w:r>
      <w:r w:rsidRPr="00DF6C71">
        <w:t>len.</w:t>
      </w:r>
    </w:p>
    <w:p w:rsidR="00D12304" w:rsidRPr="00DF6C71" w:rsidRDefault="00D12304">
      <w:pPr>
        <w:pStyle w:val="Hemstlatt"/>
        <w:numPr>
          <w:ilvl w:val="0"/>
          <w:numId w:val="1"/>
        </w:numPr>
      </w:pPr>
      <w:r w:rsidRPr="00DF6C71">
        <w:t>Riksdagen tillkännager för regeringen som sin mening vad som anförs i motionen om att endast energi som faktiskt används ska kunna ligga till grund för beräkning av kväveoxidavgiften.</w:t>
      </w:r>
    </w:p>
    <w:p w:rsidR="00D12304" w:rsidRPr="00DF6C71" w:rsidRDefault="00D12304">
      <w:pPr>
        <w:pStyle w:val="Hemstlatt"/>
        <w:numPr>
          <w:ilvl w:val="0"/>
          <w:numId w:val="1"/>
        </w:numPr>
      </w:pPr>
      <w:r w:rsidRPr="00DF6C71">
        <w:t>Riksdagen tillkännager för regeringen som sin mening vad som anförs i motionen om att Naturvårdsverket bör ges befogenhet att förelägga verksamhetsutövare att presentera korrekta mätningar samt u</w:t>
      </w:r>
      <w:r w:rsidRPr="00DF6C71">
        <w:t>t</w:t>
      </w:r>
      <w:r w:rsidRPr="00DF6C71">
        <w:t>färda föreskrifter om mätmetoder.</w:t>
      </w:r>
    </w:p>
    <w:p w:rsidR="00D12304" w:rsidRPr="00DF6C71" w:rsidRDefault="00D12304">
      <w:pPr>
        <w:pStyle w:val="Rubrik1"/>
      </w:pPr>
      <w:r w:rsidRPr="00DF6C71">
        <w:t>Inledning</w:t>
      </w:r>
    </w:p>
    <w:p w:rsidR="00D12304" w:rsidRPr="00DF6C71" w:rsidRDefault="00D12304">
      <w:r w:rsidRPr="00DF6C71">
        <w:t>Kväveoxidavgiften infördes 1992 som en innovativ, måleffektiv och kos</w:t>
      </w:r>
      <w:r w:rsidRPr="00DF6C71">
        <w:t>t</w:t>
      </w:r>
      <w:r w:rsidRPr="00DF6C71">
        <w:t>nadseffektiv åtgärd för att minska utsläppen av kväveoxider. Syftet var i fö</w:t>
      </w:r>
      <w:r w:rsidRPr="00DF6C71">
        <w:t>r</w:t>
      </w:r>
      <w:r w:rsidRPr="00DF6C71">
        <w:t>sta hand att minska problemen med försurning. Utsläpp av kväveoxider i luften bidrar också till över</w:t>
      </w:r>
      <w:r w:rsidRPr="00DF6C71">
        <w:softHyphen/>
        <w:t>gödningen genom att öka näringsbelastningen av såväl land- som vattenmiljöer. Det kan också bidra till folkhälsoproblem både direkt och indirekt genom bildning av skadligt marknära ozon. Minskning av utsläpp av kväveoxider är alltså avgörande för att begränsa försurning och övergödning samt för folkhälsan.</w:t>
      </w:r>
    </w:p>
    <w:p w:rsidR="00D12304" w:rsidRPr="00DF6C71" w:rsidRDefault="00D12304">
      <w:pPr>
        <w:pStyle w:val="Normaltindrag"/>
      </w:pPr>
      <w:r w:rsidRPr="00DF6C71">
        <w:t>Ett viktigt resultat av E</w:t>
      </w:r>
      <w:r w:rsidRPr="00DF6C71">
        <w:t>U:s strategier mot försurning respektive marknära ozon var EU-direktivet om nationella utsläppstak (2001/81/EG), det s.k. ta</w:t>
      </w:r>
      <w:r w:rsidRPr="00DF6C71">
        <w:t>k</w:t>
      </w:r>
      <w:r w:rsidRPr="00DF6C71">
        <w:t xml:space="preserve">direktivet. Direktivet innehåller mål för bl.a. hur mycket kväveoxider som varje land får släppa ut. Målåret är 2010. Sveriges mål sattes till ett utsläpp på högst 148 000 ton 2010. Det är i dagsläget oklart om Sverige kommer att </w:t>
      </w:r>
      <w:r w:rsidRPr="00DF6C71">
        <w:lastRenderedPageBreak/>
        <w:t>klara målet. Naturvårdsverket bedömer att det krävs ytterligare åtgärder för att nå målet.</w:t>
      </w:r>
    </w:p>
    <w:p w:rsidR="00D12304" w:rsidRPr="00DF6C71" w:rsidRDefault="00D12304">
      <w:pPr>
        <w:pStyle w:val="Normaltindrag"/>
      </w:pPr>
      <w:r w:rsidRPr="00DF6C71">
        <w:t>Naturvårdsverket föreslog i en rapport 2005 en breddning och höjni</w:t>
      </w:r>
      <w:r w:rsidRPr="00DF6C71">
        <w:t>ng av NOx-avgiften, som då var 40 kr/kg NOx. Rapporten redovisade konsekve</w:t>
      </w:r>
      <w:r w:rsidRPr="00DF6C71">
        <w:t>n</w:t>
      </w:r>
      <w:r w:rsidRPr="00DF6C71">
        <w:t>serna av en höjning till 50 respektive 60 kr/kg, och en breddning till industr</w:t>
      </w:r>
      <w:r w:rsidRPr="00DF6C71">
        <w:t>i</w:t>
      </w:r>
      <w:r w:rsidRPr="00DF6C71">
        <w:t>ella processer.</w:t>
      </w:r>
    </w:p>
    <w:p w:rsidR="00D12304" w:rsidRPr="00DF6C71" w:rsidRDefault="00D12304">
      <w:pPr>
        <w:pStyle w:val="Normaltindrag"/>
      </w:pPr>
      <w:r w:rsidRPr="00DF6C71">
        <w:t>Naturvårdsverket har också i en rapport från 2006 föreslagit en rad åtgä</w:t>
      </w:r>
      <w:r w:rsidRPr="00DF6C71">
        <w:t>r</w:t>
      </w:r>
      <w:r w:rsidRPr="00DF6C71">
        <w:t>der för att ytterligare minska utsläppen. En åtgärd var att höja och bredda kväveoxidavgiften. Andra åtgärder tar framför allt sikte på transportsektorn. Flertalet av dessa har länge diskuterats, men dras i långbänk av den nuvara</w:t>
      </w:r>
      <w:r w:rsidRPr="00DF6C71">
        <w:t>n</w:t>
      </w:r>
      <w:r w:rsidRPr="00DF6C71">
        <w:t>de regeringen.</w:t>
      </w:r>
    </w:p>
    <w:p w:rsidR="00D12304" w:rsidRPr="00DF6C71" w:rsidRDefault="00D12304">
      <w:pPr>
        <w:pStyle w:val="Normaltindrag"/>
      </w:pPr>
      <w:r w:rsidRPr="00DF6C71">
        <w:t>Miljömålsrådet har i rapporten från den fördjupade utvärderingen Milj</w:t>
      </w:r>
      <w:r w:rsidRPr="00DF6C71">
        <w:t>ö</w:t>
      </w:r>
      <w:r w:rsidRPr="00DF6C71">
        <w:t>målen – nu är det bråttom skrivit:</w:t>
      </w:r>
    </w:p>
    <w:p w:rsidR="00D12304" w:rsidRPr="00DF6C71" w:rsidRDefault="00D12304">
      <w:pPr>
        <w:pStyle w:val="Citat"/>
      </w:pPr>
      <w:r w:rsidRPr="00DF6C71">
        <w:t>För att nå takdirektivets mål för kväveoxidutsläppen 2010 krävs snabba utsläppsminskningar. Ett avgiftssystem ger en kostnadseffektiv förde</w:t>
      </w:r>
      <w:r w:rsidRPr="00DF6C71">
        <w:t>l</w:t>
      </w:r>
      <w:r w:rsidRPr="00DF6C71">
        <w:t>ning av åtgärderna, alltså kan ett effektivt styrmedel nyttjas ännu mera genom att utöka avgiftskollektivet. De externa kostnaderna är högre än avgiftens nivå, även med den redan genomförda höjningen. För minskade kväveoxidutsläpp från stationära källor föreslås: Breddning och uppde</w:t>
      </w:r>
      <w:r w:rsidRPr="00DF6C71">
        <w:t>l</w:t>
      </w:r>
      <w:r w:rsidRPr="00DF6C71">
        <w:t>ning av avgiftskollektivet samt en höjning av NOx-avgiften till 60 kr/kg för stationära källor, utöver vad som föreslogs i budgeten 2007.</w:t>
      </w:r>
    </w:p>
    <w:p w:rsidR="00D12304" w:rsidRPr="00DF6C71" w:rsidRDefault="00D12304">
      <w:r w:rsidRPr="00DF6C71">
        <w:t>Regeringen föreslog i budgetpropositionen för 2008 en höjning till 50 kr/kg med utvärderi</w:t>
      </w:r>
      <w:r w:rsidRPr="00DF6C71">
        <w:t>ng efter två år. Utvärderingen sker således först efter målåret. Denna ambitions</w:t>
      </w:r>
      <w:r w:rsidRPr="00DF6C71">
        <w:softHyphen/>
        <w:t>nivå är alldeles för låg och takten är för långsam. Den risk</w:t>
      </w:r>
      <w:r w:rsidRPr="00DF6C71">
        <w:t>e</w:t>
      </w:r>
      <w:r w:rsidRPr="00DF6C71">
        <w:t>rar att leda till att vi inte klarar vårt åtagande enligt takdirektivet.</w:t>
      </w:r>
    </w:p>
    <w:p w:rsidR="00D12304" w:rsidRPr="00DF6C71" w:rsidRDefault="00D12304">
      <w:pPr>
        <w:pStyle w:val="Rubrik1"/>
      </w:pPr>
      <w:r w:rsidRPr="00DF6C71">
        <w:t>Regelförenkling får inte äventyra måluppfyllelsen</w:t>
      </w:r>
    </w:p>
    <w:p w:rsidR="00D12304" w:rsidRPr="00DF6C71" w:rsidRDefault="00D12304">
      <w:r w:rsidRPr="00DF6C71">
        <w:t>Det är symtomatiskt för regeringens miljöpolitik att man i ett sådant läge bara lägger fram en proposition om regelförenkling om kväveoxidavgiften. Milj</w:t>
      </w:r>
      <w:r w:rsidRPr="00DF6C71">
        <w:t>ö</w:t>
      </w:r>
      <w:r w:rsidRPr="00DF6C71">
        <w:t>partiet anser att det är viktigt med regelförenklingar och stöder en ökad kos</w:t>
      </w:r>
      <w:r w:rsidRPr="00DF6C71">
        <w:t>t</w:t>
      </w:r>
      <w:r w:rsidRPr="00DF6C71">
        <w:t>nadseffektivitet. Men dessa värden får inte uppnås på bekostnad av måleffe</w:t>
      </w:r>
      <w:r w:rsidRPr="00DF6C71">
        <w:t>k</w:t>
      </w:r>
      <w:r w:rsidRPr="00DF6C71">
        <w:t>tiviteten. Genom att regeringen prioriterar en proposition om regelfö</w:t>
      </w:r>
      <w:r w:rsidRPr="00DF6C71">
        <w:t>r</w:t>
      </w:r>
      <w:r w:rsidRPr="00DF6C71">
        <w:t>enkling före förslag om verkningsfulla åtgärder för att nå miljömålen och bindande EU-åtagande, är risken stor att varken miljömål eller takdirektiv kommer att kunna uppnås.</w:t>
      </w:r>
    </w:p>
    <w:p w:rsidR="00D12304" w:rsidRPr="00DF6C71" w:rsidRDefault="00D12304">
      <w:pPr>
        <w:pStyle w:val="Normaltindrag"/>
      </w:pPr>
      <w:r w:rsidRPr="00DF6C71">
        <w:t>Takdirektivet är en central del av försurningsstrategin, som i sin tur var r</w:t>
      </w:r>
      <w:r w:rsidRPr="00DF6C71">
        <w:t>e</w:t>
      </w:r>
      <w:r w:rsidRPr="00DF6C71">
        <w:t>sultatet av en aktiv svensk insats i EU. Det är viktigt att vi kan vårda det r</w:t>
      </w:r>
      <w:r w:rsidRPr="00DF6C71">
        <w:t>e</w:t>
      </w:r>
      <w:r w:rsidRPr="00DF6C71">
        <w:t>sultatet och fortsätta att driva på för minskad miljöbelastning. Åtgärder i andra länder är nödvändiga för att klara våra miljömål för försurning och övergödning och för att undvika ohälsosam stadsluft. Sverige är en nettoi</w:t>
      </w:r>
      <w:r w:rsidRPr="00DF6C71">
        <w:t>m</w:t>
      </w:r>
      <w:r w:rsidRPr="00DF6C71">
        <w:t xml:space="preserve">portör av kväveoxider från andra länder. Nu är risken stor att flera länder inte klarar sina åtaganden enligt takdirektivet. Dessutom är ett nytt direktiv under förberedelse. Om Sverige inte klarar sitt eget </w:t>
      </w:r>
      <w:r w:rsidRPr="00DF6C71">
        <w:t>åtagande är det ett stort bakslag för processen och ett dåligt föredöme. Om vi däremot klarar vårt åtagande med marginal har det en viktig signaleffekt både gentemot kommissionen och mot andra länder inför den fortsatta hanteringen av såväl det nya som det gamla takdirektivet.</w:t>
      </w:r>
    </w:p>
    <w:p w:rsidR="00D12304" w:rsidRPr="00DF6C71" w:rsidRDefault="00D12304">
      <w:pPr>
        <w:pStyle w:val="Normaltindrag"/>
      </w:pPr>
      <w:r w:rsidRPr="00DF6C71">
        <w:t>NOx-avgiften var på 40 kr/kg när den infördes 1992. I praktiken har den reala avgiften minskat sedan dess, trots höjningen i år. Naturskyddsförenin</w:t>
      </w:r>
      <w:r w:rsidRPr="00DF6C71">
        <w:t>g</w:t>
      </w:r>
      <w:r w:rsidRPr="00DF6C71">
        <w:t>en har föreslagit att NOx-avgiften indexregleras enligt den nivå den hade när den infördes. Omräknat till 2005 års prisnivå skulle det ge en avgift på ca 64 kr/kg. Det behövs alltså en rejäl höjning nu bara för att uppnå den u</w:t>
      </w:r>
      <w:r w:rsidRPr="00DF6C71">
        <w:t>r</w:t>
      </w:r>
      <w:r w:rsidRPr="00DF6C71">
        <w:t>sprungliga nivån justerad för inflation, och en årlig justering i fortsättningen.</w:t>
      </w:r>
    </w:p>
    <w:p w:rsidR="00D12304" w:rsidRPr="00DF6C71" w:rsidRDefault="00D12304">
      <w:pPr>
        <w:pStyle w:val="Normaltindrag"/>
      </w:pPr>
      <w:r w:rsidRPr="00DF6C71">
        <w:t>Miljöpartiet instämmer i att avgiftsnivån inte får urholkas över tiden. Men vid fast</w:t>
      </w:r>
      <w:r w:rsidRPr="00DF6C71">
        <w:softHyphen/>
        <w:t>ställandet av avgiften anser vi att det är ännu viktigare att ta hänsyn till måluppfyllelsen och samhällets värdering av skadorna från utsläppen.</w:t>
      </w:r>
    </w:p>
    <w:p w:rsidR="00D12304" w:rsidRPr="00DF6C71" w:rsidRDefault="00D12304">
      <w:pPr>
        <w:pStyle w:val="Normaltindrag"/>
      </w:pPr>
      <w:r w:rsidRPr="00DF6C71">
        <w:t>Redan de kostnader som kan relateras till hälsoeffekterna som orsakas av NOx-utsläppen har uppskattats av SIKA vara 62 kr/kg vid 2001 års prisnivå. Därtill kommer negativa effekter av försurning och övergödning.</w:t>
      </w:r>
    </w:p>
    <w:p w:rsidR="00D12304" w:rsidRPr="00DF6C71" w:rsidRDefault="00D12304">
      <w:pPr>
        <w:pStyle w:val="Normaltindrag"/>
      </w:pPr>
      <w:r w:rsidRPr="00DF6C71">
        <w:t>Måluppfyllelsen beror inte bara av NOx-avgiften, utan också av andra å</w:t>
      </w:r>
      <w:r w:rsidRPr="00DF6C71">
        <w:t>t</w:t>
      </w:r>
      <w:r w:rsidRPr="00DF6C71">
        <w:t>gärder framför allt inom transportområdet. Ju mer man gör inom transporten, desto mindre behöver NOx-avgiften vara för att klara målen. Eftersom åtgä</w:t>
      </w:r>
      <w:r w:rsidRPr="00DF6C71">
        <w:t>r</w:t>
      </w:r>
      <w:r w:rsidRPr="00DF6C71">
        <w:t>der inom transport</w:t>
      </w:r>
      <w:r w:rsidRPr="00DF6C71">
        <w:softHyphen/>
        <w:t>området förhalats blir det helt nödvändigt att använda NOx-avgiften.</w:t>
      </w:r>
    </w:p>
    <w:p w:rsidR="00D12304" w:rsidRPr="00DF6C71" w:rsidRDefault="00D12304">
      <w:pPr>
        <w:pStyle w:val="Normaltindrag"/>
      </w:pPr>
      <w:r w:rsidRPr="00DF6C71">
        <w:t>Naturvårdsverket har i rapporter såväl 2004, 2005 som 2006 behandlat fr</w:t>
      </w:r>
      <w:r w:rsidRPr="00DF6C71">
        <w:t>å</w:t>
      </w:r>
      <w:r w:rsidRPr="00DF6C71">
        <w:t>gan om en breddning av NOx-avgiftssystemet till att omfatta även industriella processer. Naturvårdsverket visar att en breddning till att omfatta industriella processer (med undantag för fyra industrier)vid en höjning av NOx-avgiften till 60 kr kan ge ett betydande bidrag till måluppfyllelsen. En sådan breddning av systemet bör göras för att bidra till att klara Sveriges bindande åtagande till 2010 enligt takdirektivet.</w:t>
      </w:r>
    </w:p>
    <w:p w:rsidR="00D12304" w:rsidRPr="00DF6C71" w:rsidRDefault="00D12304">
      <w:pPr>
        <w:pStyle w:val="Normaltindrag"/>
      </w:pPr>
      <w:r w:rsidRPr="00DF6C71">
        <w:t>Riksdagen bör uttala som sin mening att regelförenklingen inte bör prior</w:t>
      </w:r>
      <w:r w:rsidRPr="00DF6C71">
        <w:t>i</w:t>
      </w:r>
      <w:r w:rsidRPr="00DF6C71">
        <w:t>teras på bekostnad av måluppfyllelsen. Därför bör avgiften justeras på så sätt som behövs för att klara målen och bättre avspegla samhälleliga kostnader för utsläppen.</w:t>
      </w:r>
    </w:p>
    <w:p w:rsidR="00D12304" w:rsidRPr="00DF6C71" w:rsidRDefault="00D12304">
      <w:pPr>
        <w:pStyle w:val="Rubrik1"/>
      </w:pPr>
      <w:r w:rsidRPr="00DF6C71">
        <w:t>Nyttiggjord energi</w:t>
      </w:r>
    </w:p>
    <w:p w:rsidR="00D12304" w:rsidRPr="00DF6C71" w:rsidRDefault="00D12304">
      <w:r w:rsidRPr="00DF6C71">
        <w:t>Regeringen föreslår att kravet på att mäta ”nyttiggjord energi” tas bort i lagen (1990:613) om miljöavgift på utsläpp av kväveoxider vid energiproduktion. Begreppet ”nyttiggjord energi” har två funktioner i kväveavgiftssystemet. Dels ligger det till grund för vilka anläggningar som ska ingå i systemet. E</w:t>
      </w:r>
      <w:r w:rsidRPr="00DF6C71">
        <w:t>n</w:t>
      </w:r>
      <w:r w:rsidRPr="00DF6C71">
        <w:t>ligt 3 § finns en gräns vid 25 GW. Dels ligger det till grund för hur mycket av avgiften som återförs till respektive anläggning enligt 15 §.</w:t>
      </w:r>
    </w:p>
    <w:p w:rsidR="00D12304" w:rsidRPr="00DF6C71" w:rsidRDefault="00D12304">
      <w:pPr>
        <w:pStyle w:val="Normaltindrag"/>
      </w:pPr>
      <w:r w:rsidRPr="00DF6C71">
        <w:t>Miljöpartiet tillstyrker förslaget om att mängd nyttiggjord energi inte ska behöva mätas för att fastställa vilka anläggningar som skall ingå i systemet, om så inte är nödvändigt. Detta är en välkommen regelförenkling.</w:t>
      </w:r>
    </w:p>
    <w:p w:rsidR="00D12304" w:rsidRPr="00DF6C71" w:rsidRDefault="00D12304">
      <w:pPr>
        <w:pStyle w:val="Normaltindrag"/>
      </w:pPr>
      <w:r w:rsidRPr="00DF6C71">
        <w:t>Däremot kommer mängden nyttiggjord energi att behöva mätas också i fortsättningen för att kunna beräkna återförande av avgiftsmedel (som i detta sammanhang kallas för ”tillgodoförande”). Alternativet är att uppskatta den nyttiggjorde energin utifrån beräkning av tillförd energi och verkningsgrad för produktionsenheten. Detta skulle ge orimliga effekter genom att energisl</w:t>
      </w:r>
      <w:r w:rsidRPr="00DF6C71">
        <w:t>ö</w:t>
      </w:r>
      <w:r w:rsidRPr="00DF6C71">
        <w:t>seri gynnas. Det väcker också frågan om definitionen av ”nyttiggjord energi”.</w:t>
      </w:r>
    </w:p>
    <w:p w:rsidR="00D12304" w:rsidRPr="00DF6C71" w:rsidRDefault="00D12304">
      <w:pPr>
        <w:pStyle w:val="Normaltindrag"/>
      </w:pPr>
      <w:r w:rsidRPr="00DF6C71">
        <w:t>Under remissbehandlingen av Naturvårdsverkets förslag från 2005 fra</w:t>
      </w:r>
      <w:r w:rsidRPr="00DF6C71">
        <w:t>m</w:t>
      </w:r>
      <w:r w:rsidRPr="00DF6C71">
        <w:t>gick att dåvarande Svenska Renhållningsverksföreningen ansåg att ”nytti</w:t>
      </w:r>
      <w:r w:rsidRPr="00DF6C71">
        <w:t>g</w:t>
      </w:r>
      <w:r w:rsidRPr="00DF6C71">
        <w:t>gjord energi” skulle kunna tolkas som ”den energi som görs tillgänglig för nyttiggörande utanför anläggningen”, oavsett hur användaren väljer att a</w:t>
      </w:r>
      <w:r w:rsidRPr="00DF6C71">
        <w:t>n</w:t>
      </w:r>
      <w:r w:rsidRPr="00DF6C71">
        <w:t>vända energin.</w:t>
      </w:r>
    </w:p>
    <w:p w:rsidR="00D12304" w:rsidRPr="00DF6C71" w:rsidRDefault="00D12304">
      <w:pPr>
        <w:pStyle w:val="Normaltindrag"/>
      </w:pPr>
      <w:r w:rsidRPr="00DF6C71">
        <w:t>Denna tolkning motsägs av proposition 1989/90:141 där det finns en fö</w:t>
      </w:r>
      <w:r w:rsidRPr="00DF6C71">
        <w:t>r</w:t>
      </w:r>
      <w:r w:rsidRPr="00DF6C71">
        <w:t>fattnings</w:t>
      </w:r>
      <w:r w:rsidRPr="00DF6C71">
        <w:softHyphen/>
        <w:t>kommentar till 3 §. Där står bl.a.</w:t>
      </w:r>
    </w:p>
    <w:p w:rsidR="00D12304" w:rsidRPr="00DF6C71" w:rsidRDefault="00D12304">
      <w:pPr>
        <w:pStyle w:val="Citat"/>
      </w:pPr>
      <w:r w:rsidRPr="00DF6C71">
        <w:t>Som framgår av 1 § kan energiproduktion avse både elkraft och elvärme. Energi som utnyttjas internt inom anläggningen skall medräknas. Dä</w:t>
      </w:r>
      <w:r w:rsidRPr="00DF6C71">
        <w:t>r</w:t>
      </w:r>
      <w:r w:rsidRPr="00DF6C71">
        <w:t>emot skall energi som inte har nyttiggjorts utan t.ex. har kylts bort inte ingå.</w:t>
      </w:r>
    </w:p>
    <w:p w:rsidR="00D12304" w:rsidRPr="00DF6C71" w:rsidRDefault="00D12304">
      <w:r w:rsidRPr="00DF6C71">
        <w:t>Det kan vara rimligt att samma förhållande bör gälla för hur mängden nytti</w:t>
      </w:r>
      <w:r w:rsidRPr="00DF6C71">
        <w:t>g</w:t>
      </w:r>
      <w:r w:rsidRPr="00DF6C71">
        <w:t>gjord energi enligt 15 § ska beräknas. Men i förordningen (1991:339) om miljöavgift på utsläpp av kväveoxider vid energiproduktion framgår av 3 och 4 §§ att tillgodoföringen till de avgiftsskyldiga ska utgå ifrån ”den sökandes energiproduktion under redovisnings</w:t>
      </w:r>
      <w:r w:rsidRPr="00DF6C71">
        <w:softHyphen/>
        <w:t>perioden”. Detta ger visst stöd för Re</w:t>
      </w:r>
      <w:r w:rsidRPr="00DF6C71">
        <w:t>n</w:t>
      </w:r>
      <w:r w:rsidRPr="00DF6C71">
        <w:t>hållningsverksföreningens tolkning. Såsom förordningen är skriven får a</w:t>
      </w:r>
      <w:r w:rsidRPr="00DF6C71">
        <w:t>n</w:t>
      </w:r>
      <w:r w:rsidRPr="00DF6C71">
        <w:t>läggningen återföring baserad på mängd energi som produceras, oavsett om den används eller inte.</w:t>
      </w:r>
    </w:p>
    <w:p w:rsidR="00D12304" w:rsidRPr="00DF6C71" w:rsidRDefault="00D12304">
      <w:pPr>
        <w:pStyle w:val="Normaltindrag"/>
      </w:pPr>
      <w:r w:rsidRPr="00DF6C71">
        <w:t>Miljöpartiet anser att detta är orimligt</w:t>
      </w:r>
      <w:r w:rsidRPr="00DF6C71">
        <w:t>. Energiproducenter ska inte kunna få återföring av kväveoxidavgiften för t.ex. värme som dumpas i havet. Ett s</w:t>
      </w:r>
      <w:r w:rsidRPr="00DF6C71">
        <w:t>å</w:t>
      </w:r>
      <w:r w:rsidRPr="00DF6C71">
        <w:t>dant slöseri borde strida mot miljöbalkens resurshushållningsprincip i de allmänna hänsynsreglerna. Men så kommer av allt att döma att ske i stor u</w:t>
      </w:r>
      <w:r w:rsidRPr="00DF6C71">
        <w:t>t</w:t>
      </w:r>
      <w:r w:rsidRPr="00DF6C71">
        <w:t>sträckning vid det planerade fossilgaseldade Öresundsverket i Malmö som kommer att släppa ut mycket av den producerade värmen i Öresund eftersom efterfrågan på fjärrvärme i regionen är mättad. Riksdagen bör tillkännage för regeringen som sin mening att</w:t>
      </w:r>
      <w:r w:rsidRPr="00DF6C71">
        <w:t xml:space="preserve"> endast energi som faktiskt används ska kunna ligga till grund för tillgodoföringen av kväveoxidavgiften. Detta bör klargöras i förordning och föreskrift.</w:t>
      </w:r>
    </w:p>
    <w:p w:rsidR="00D12304" w:rsidRPr="00DF6C71" w:rsidRDefault="00D12304">
      <w:pPr>
        <w:pStyle w:val="Rubrik1"/>
      </w:pPr>
      <w:r w:rsidRPr="00DF6C71">
        <w:t>Föreläggande och föreskrifter</w:t>
      </w:r>
    </w:p>
    <w:p w:rsidR="00D12304" w:rsidRPr="00DF6C71" w:rsidRDefault="00D12304">
      <w:r w:rsidRPr="00DF6C71">
        <w:t>Naturvårdsverket föreslog att verket skulle få befogenhet att vid vite kunna förelägga verksamhetsutövare att presentera korrekt utförda mätningar och få föreskriftsrätt beträffande metod för mätning av nyttiggjord energi.</w:t>
      </w:r>
    </w:p>
    <w:p w:rsidR="00D12304" w:rsidRPr="00DF6C71" w:rsidRDefault="00D12304">
      <w:pPr>
        <w:pStyle w:val="Normaltindrag"/>
      </w:pPr>
      <w:r w:rsidRPr="00DF6C71">
        <w:t>Vid remissbehandlingen ansåg Miljööverdomstolen att förslaget att ge ut föreskrifter med krav på hur bestämning av nyttiggjord energi ska ske är av särskild vikt. Också SWEDAC var positiv. Regeringen har avfärdat förslaget utan motivering.</w:t>
      </w:r>
    </w:p>
    <w:p w:rsidR="00D12304" w:rsidRPr="00DF6C71" w:rsidRDefault="00D12304">
      <w:pPr>
        <w:pStyle w:val="Normaltindrag"/>
      </w:pPr>
      <w:r w:rsidRPr="00DF6C71">
        <w:t>Normalt ska verksamhetsutövare inte behöva utföra särskilda mätningar i fortsättningen. Det brukar gå att bedöma på annat sätt om man överskrider gränsen för att ingå i systemet. Mängden nyttiggjord energi bör för energipr</w:t>
      </w:r>
      <w:r w:rsidRPr="00DF6C71">
        <w:t>o</w:t>
      </w:r>
      <w:r w:rsidRPr="00DF6C71">
        <w:t>ducenter kunna beräknas utifrån mängd försåld energi. Men om det uppstår meningsskiljaktigheter eller tvist kan det behövas ordentliga mätningar, som bevisunderlag. Därför är Miljööverdomstolens synpunkter av särskild bet</w:t>
      </w:r>
      <w:r w:rsidRPr="00DF6C71">
        <w:t>y</w:t>
      </w:r>
      <w:r w:rsidRPr="00DF6C71">
        <w:t>delse.</w:t>
      </w:r>
    </w:p>
    <w:p w:rsidR="00D12304" w:rsidRPr="00DF6C71" w:rsidRDefault="00D12304">
      <w:pPr>
        <w:pStyle w:val="Normaltindrag"/>
      </w:pPr>
      <w:r w:rsidRPr="00DF6C71">
        <w:t>Miljöpartiet anser att Naturvårdsverkets förslag om föreläggande och för</w:t>
      </w:r>
      <w:r w:rsidRPr="00DF6C71">
        <w:t>e</w:t>
      </w:r>
      <w:r w:rsidRPr="00DF6C71">
        <w:t>skrift bör tillstyrkas.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C71">
        <w:trPr>
          <w:cantSplit/>
        </w:trPr>
        <w:tc>
          <w:tcPr>
            <w:tcW w:w="3046" w:type="dxa"/>
          </w:tcPr>
          <w:p w:rsidR="00D12304" w:rsidRPr="00DF6C71" w:rsidRDefault="00D12304">
            <w:pPr>
              <w:pStyle w:val="UnderskriftDatum"/>
              <w:spacing w:before="240"/>
            </w:pPr>
            <w:r w:rsidRPr="00DF6C71">
              <w:t>Stockholm den 5 juni 2008</w:t>
            </w:r>
          </w:p>
        </w:tc>
        <w:tc>
          <w:tcPr>
            <w:tcW w:w="3047" w:type="dxa"/>
          </w:tcPr>
          <w:p w:rsidR="00D12304" w:rsidRPr="00DF6C71" w:rsidRDefault="00D12304">
            <w:pPr>
              <w:pStyle w:val="Underskrifter"/>
              <w:spacing w:before="240"/>
            </w:pPr>
          </w:p>
        </w:tc>
      </w:tr>
      <w:tr w:rsidR="00000000" w:rsidRPr="00DF6C71">
        <w:trPr>
          <w:cantSplit/>
        </w:trPr>
        <w:tc>
          <w:tcPr>
            <w:tcW w:w="3046" w:type="dxa"/>
          </w:tcPr>
          <w:p w:rsidR="00D12304" w:rsidRPr="00DF6C71" w:rsidRDefault="00D12304">
            <w:pPr>
              <w:pStyle w:val="Underskrifter"/>
            </w:pPr>
            <w:r w:rsidRPr="00DF6C71">
              <w:t>Per Bolund (mp)</w:t>
            </w:r>
          </w:p>
        </w:tc>
        <w:tc>
          <w:tcPr>
            <w:tcW w:w="3046" w:type="dxa"/>
          </w:tcPr>
          <w:p w:rsidR="00D12304" w:rsidRPr="00DF6C71" w:rsidRDefault="00D12304">
            <w:pPr>
              <w:pStyle w:val="Underskrifter"/>
            </w:pPr>
          </w:p>
        </w:tc>
      </w:tr>
    </w:tbl>
    <w:p w:rsidR="00D12304" w:rsidRPr="00DF6C71" w:rsidRDefault="00D12304">
      <w:pPr>
        <w:pStyle w:val="Normaltindrag"/>
      </w:pPr>
    </w:p>
    <w:sectPr w:rsidR="00D12304" w:rsidRPr="00DF6C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304" w:rsidRPr="00DF6C71" w:rsidRDefault="00D12304">
      <w:r w:rsidRPr="00DF6C71">
        <w:separator/>
      </w:r>
    </w:p>
  </w:endnote>
  <w:endnote w:type="continuationSeparator" w:id="0">
    <w:p w:rsidR="00D12304" w:rsidRPr="00DF6C71" w:rsidRDefault="00D12304">
      <w:r w:rsidRPr="00DF6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04" w:rsidRPr="00DF6C71" w:rsidRDefault="00DF6C71">
    <w:pPr>
      <w:pStyle w:val="Sidfot"/>
    </w:pPr>
    <w:r w:rsidRPr="00DF6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970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04" w:rsidRDefault="00D123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304" w:rsidRDefault="00D123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04" w:rsidRPr="00DF6C71" w:rsidRDefault="00DF6C71">
    <w:pPr>
      <w:pStyle w:val="Sidfot"/>
    </w:pPr>
    <w:r w:rsidRPr="00DF6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92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04" w:rsidRDefault="00D1230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304" w:rsidRDefault="00D1230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04" w:rsidRPr="00DF6C71" w:rsidRDefault="00DF6C71">
    <w:pPr>
      <w:pStyle w:val="Sidfot"/>
    </w:pPr>
    <w:r w:rsidRPr="00DF6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135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04" w:rsidRDefault="00D123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304" w:rsidRDefault="00D123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304" w:rsidRPr="00DF6C71" w:rsidRDefault="00D12304">
      <w:r w:rsidRPr="00DF6C71">
        <w:separator/>
      </w:r>
    </w:p>
  </w:footnote>
  <w:footnote w:type="continuationSeparator" w:id="0">
    <w:p w:rsidR="00D12304" w:rsidRPr="00DF6C71" w:rsidRDefault="00D12304">
      <w:r w:rsidRPr="00DF6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04" w:rsidRPr="00DF6C71" w:rsidRDefault="00DF6C71">
    <w:pPr>
      <w:pStyle w:val="Sidhuvud"/>
    </w:pPr>
    <w:r w:rsidRPr="00DF6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526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04" w:rsidRDefault="00D123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304" w:rsidRDefault="00D123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04" w:rsidRPr="00DF6C71" w:rsidRDefault="00DF6C71">
    <w:pPr>
      <w:pStyle w:val="Sidhuvud"/>
    </w:pPr>
    <w:r w:rsidRPr="00DF6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94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04" w:rsidRDefault="00D123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304" w:rsidRDefault="00D123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04" w:rsidRPr="00DF6C71" w:rsidRDefault="00D12304">
    <w:pPr>
      <w:pStyle w:val="FSHNormal"/>
      <w:tabs>
        <w:tab w:val="right" w:pos="5840"/>
      </w:tabs>
    </w:pPr>
    <w:r w:rsidRPr="00DF6C71">
      <w:br/>
    </w:r>
    <w:r w:rsidRPr="00DF6C71">
      <w:fldChar w:fldCharType="begin" w:fldLock="1"/>
    </w:r>
    <w:r w:rsidRPr="00DF6C71">
      <w:instrText xml:space="preserve"> DOCPROPERTY</w:instrText>
    </w:r>
    <w:r w:rsidRPr="00DF6C71">
      <w:rPr>
        <w:sz w:val="18"/>
      </w:rPr>
      <w:instrText xml:space="preserve"> "YearUser" *\charformat </w:instrText>
    </w:r>
    <w:r w:rsidRPr="00DF6C71">
      <w:fldChar w:fldCharType="separate"/>
    </w:r>
    <w:r w:rsidRPr="00DF6C71">
      <w:t>2007/08</w:t>
    </w:r>
    <w:r w:rsidRPr="00DF6C71">
      <w:fldChar w:fldCharType="end"/>
    </w:r>
    <w:r w:rsidRPr="00DF6C71">
      <w:t xml:space="preserve"> </w:t>
    </w:r>
    <w:r w:rsidRPr="00DF6C71">
      <w:tab/>
      <w:t xml:space="preserve">mnr: </w:t>
    </w:r>
    <w:r w:rsidRPr="00DF6C71">
      <w:fldChar w:fldCharType="begin" w:fldLock="1"/>
    </w:r>
    <w:r w:rsidRPr="00DF6C71">
      <w:instrText xml:space="preserve"> DOCPROPERTY</w:instrText>
    </w:r>
    <w:r w:rsidRPr="00DF6C71">
      <w:rPr>
        <w:sz w:val="18"/>
      </w:rPr>
      <w:instrText xml:space="preserve"> "Motionsnummer" *\charformat </w:instrText>
    </w:r>
    <w:r w:rsidRPr="00DF6C71">
      <w:fldChar w:fldCharType="separate"/>
    </w:r>
    <w:r w:rsidRPr="00DF6C71">
      <w:t>MJ16</w:t>
    </w:r>
    <w:r w:rsidRPr="00DF6C71">
      <w:fldChar w:fldCharType="end"/>
    </w:r>
    <w:r w:rsidRPr="00DF6C71">
      <w:br/>
    </w:r>
    <w:r w:rsidRPr="00DF6C71">
      <w:fldChar w:fldCharType="begin" w:fldLock="1"/>
    </w:r>
    <w:r w:rsidRPr="00DF6C71">
      <w:instrText xml:space="preserve"> DOCPROPERTY</w:instrText>
    </w:r>
    <w:r w:rsidRPr="00DF6C71">
      <w:rPr>
        <w:sz w:val="18"/>
      </w:rPr>
      <w:instrText xml:space="preserve"> "Samling" *\charformat </w:instrText>
    </w:r>
    <w:r w:rsidRPr="00DF6C71">
      <w:fldChar w:fldCharType="end"/>
    </w:r>
    <w:r w:rsidRPr="00DF6C71">
      <w:tab/>
      <w:t xml:space="preserve">pnr: </w:t>
    </w:r>
    <w:r w:rsidRPr="00DF6C71">
      <w:fldChar w:fldCharType="begin" w:fldLock="1"/>
    </w:r>
    <w:r w:rsidRPr="00DF6C71">
      <w:instrText xml:space="preserve"> DOCPROPERTY</w:instrText>
    </w:r>
    <w:r w:rsidRPr="00DF6C71">
      <w:rPr>
        <w:sz w:val="18"/>
      </w:rPr>
      <w:instrText xml:space="preserve"> "Partinummer" *\charformat </w:instrText>
    </w:r>
    <w:r w:rsidRPr="00DF6C71">
      <w:fldChar w:fldCharType="separate"/>
    </w:r>
    <w:r w:rsidRPr="00DF6C71">
      <w:t>mp61</w:t>
    </w:r>
    <w:r w:rsidRPr="00DF6C71">
      <w:fldChar w:fldCharType="end"/>
    </w:r>
  </w:p>
  <w:p w:rsidR="00D12304" w:rsidRPr="00DF6C71" w:rsidRDefault="00D12304">
    <w:pPr>
      <w:pStyle w:val="FSHRub1"/>
    </w:pPr>
    <w:r w:rsidRPr="00DF6C71">
      <w:t>Motion till riksdagen</w:t>
    </w:r>
    <w:r w:rsidRPr="00DF6C71">
      <w:br/>
    </w:r>
    <w:r w:rsidRPr="00DF6C71">
      <w:fldChar w:fldCharType="begin" w:fldLock="1"/>
    </w:r>
    <w:r w:rsidRPr="00DF6C71">
      <w:instrText xml:space="preserve"> DOCPROPERTY "YearUser" *\charformat </w:instrText>
    </w:r>
    <w:r w:rsidRPr="00DF6C71">
      <w:fldChar w:fldCharType="separate"/>
    </w:r>
    <w:r w:rsidRPr="00DF6C71">
      <w:t>2007/08</w:t>
    </w:r>
    <w:r w:rsidRPr="00DF6C71">
      <w:fldChar w:fldCharType="end"/>
    </w:r>
    <w:r w:rsidRPr="00DF6C71">
      <w:t>:</w:t>
    </w:r>
    <w:r w:rsidRPr="00DF6C71">
      <w:fldChar w:fldCharType="begin" w:fldLock="1"/>
    </w:r>
    <w:r w:rsidRPr="00DF6C71">
      <w:instrText xml:space="preserve"> DOCPROPERTY "Motionsnummer" *\charformat </w:instrText>
    </w:r>
    <w:r w:rsidRPr="00DF6C71">
      <w:fldChar w:fldCharType="separate"/>
    </w:r>
    <w:r w:rsidRPr="00DF6C71">
      <w:t>MJ16</w:t>
    </w:r>
    <w:r w:rsidRPr="00DF6C71">
      <w:fldChar w:fldCharType="end"/>
    </w:r>
  </w:p>
  <w:p w:rsidR="00D12304" w:rsidRPr="00DF6C71" w:rsidRDefault="00D12304">
    <w:pPr>
      <w:pStyle w:val="FSHNormalS5"/>
    </w:pPr>
    <w:r w:rsidRPr="00DF6C71">
      <w:fldChar w:fldCharType="begin" w:fldLock="1"/>
    </w:r>
    <w:r w:rsidRPr="00DF6C71">
      <w:instrText xml:space="preserve"> DOCPROPERTY "MotionarText" *\charformat </w:instrText>
    </w:r>
    <w:r w:rsidRPr="00DF6C71">
      <w:fldChar w:fldCharType="separate"/>
    </w:r>
    <w:r w:rsidRPr="00DF6C71">
      <w:t>av Per Bolund (mp)</w:t>
    </w:r>
    <w:r w:rsidRPr="00DF6C71">
      <w:fldChar w:fldCharType="end"/>
    </w:r>
    <w:r w:rsidRPr="00DF6C71">
      <w:br/>
    </w:r>
    <w:r w:rsidRPr="00DF6C71">
      <w:fldChar w:fldCharType="begin" w:fldLock="1"/>
    </w:r>
    <w:r w:rsidRPr="00DF6C71">
      <w:instrText xml:space="preserve"> DOCPROPERTY "SvarFrasKort" *\charformat </w:instrText>
    </w:r>
    <w:r w:rsidRPr="00DF6C71">
      <w:fldChar w:fldCharType="separate"/>
    </w:r>
    <w:r w:rsidRPr="00DF6C71">
      <w:t>med anledning av prop. 2007/08:153</w:t>
    </w:r>
    <w:r w:rsidRPr="00DF6C71">
      <w:fldChar w:fldCharType="end"/>
    </w:r>
  </w:p>
  <w:p w:rsidR="00D12304" w:rsidRPr="00DF6C71" w:rsidRDefault="00D12304">
    <w:pPr>
      <w:pStyle w:val="FSHTitel"/>
    </w:pPr>
    <w:r w:rsidRPr="00DF6C71">
      <w:fldChar w:fldCharType="begin" w:fldLock="1"/>
    </w:r>
    <w:r w:rsidRPr="00DF6C71">
      <w:instrText xml:space="preserve"> DOCPROPERTY</w:instrText>
    </w:r>
    <w:r w:rsidRPr="00DF6C71">
      <w:rPr>
        <w:sz w:val="18"/>
      </w:rPr>
      <w:instrText xml:space="preserve"> "RubrikSvar" *\charformat </w:instrText>
    </w:r>
    <w:r w:rsidRPr="00DF6C71">
      <w:fldChar w:fldCharType="separate"/>
    </w:r>
    <w:r w:rsidRPr="00DF6C71">
      <w:t>Enklare regler om kväveoxidavgiften</w:t>
    </w:r>
    <w:r w:rsidRPr="00DF6C71">
      <w:fldChar w:fldCharType="end"/>
    </w:r>
  </w:p>
  <w:p w:rsidR="00D12304" w:rsidRPr="00DF6C71" w:rsidRDefault="00D12304">
    <w:pPr>
      <w:pStyle w:val="Normal00"/>
    </w:pPr>
  </w:p>
  <w:p w:rsidR="00D12304" w:rsidRPr="00DF6C71" w:rsidRDefault="00D123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6C74ED"/>
    <w:multiLevelType w:val="hybridMultilevel"/>
    <w:tmpl w:val="AC8AD0F4"/>
    <w:lvl w:ilvl="0" w:tplc="544A1E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8282176">
    <w:abstractNumId w:val="8"/>
  </w:num>
  <w:num w:numId="2" w16cid:durableId="1729643888">
    <w:abstractNumId w:val="9"/>
  </w:num>
  <w:num w:numId="3" w16cid:durableId="287400850">
    <w:abstractNumId w:val="8"/>
  </w:num>
  <w:num w:numId="4" w16cid:durableId="884026334">
    <w:abstractNumId w:val="9"/>
  </w:num>
  <w:num w:numId="5" w16cid:durableId="470250590">
    <w:abstractNumId w:val="14"/>
  </w:num>
  <w:num w:numId="6" w16cid:durableId="160630118">
    <w:abstractNumId w:val="10"/>
  </w:num>
  <w:num w:numId="7" w16cid:durableId="1451239761">
    <w:abstractNumId w:val="11"/>
  </w:num>
  <w:num w:numId="8" w16cid:durableId="874931453">
    <w:abstractNumId w:val="13"/>
  </w:num>
  <w:num w:numId="9" w16cid:durableId="210120349">
    <w:abstractNumId w:val="8"/>
  </w:num>
  <w:num w:numId="10" w16cid:durableId="154228021">
    <w:abstractNumId w:val="3"/>
  </w:num>
  <w:num w:numId="11" w16cid:durableId="284848469">
    <w:abstractNumId w:val="2"/>
  </w:num>
  <w:num w:numId="12" w16cid:durableId="191305862">
    <w:abstractNumId w:val="1"/>
  </w:num>
  <w:num w:numId="13" w16cid:durableId="1890341807">
    <w:abstractNumId w:val="0"/>
  </w:num>
  <w:num w:numId="14" w16cid:durableId="543375159">
    <w:abstractNumId w:val="9"/>
  </w:num>
  <w:num w:numId="15" w16cid:durableId="1613586516">
    <w:abstractNumId w:val="7"/>
  </w:num>
  <w:num w:numId="16" w16cid:durableId="1405839079">
    <w:abstractNumId w:val="6"/>
  </w:num>
  <w:num w:numId="17" w16cid:durableId="181624806">
    <w:abstractNumId w:val="5"/>
  </w:num>
  <w:num w:numId="18" w16cid:durableId="1108617263">
    <w:abstractNumId w:val="4"/>
  </w:num>
  <w:num w:numId="19" w16cid:durableId="1425297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05"/>
    <w:docVar w:name="PersonGUIDs" w:val="{7CC9A58C-3141-48A3-86B8-8EA19B911E01}"/>
  </w:docVars>
  <w:rsids>
    <w:rsidRoot w:val="00D32E79"/>
    <w:rsid w:val="00D12304"/>
    <w:rsid w:val="00D32E79"/>
    <w:rsid w:val="00DF6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2AE600-22A3-4E55-A61C-B4FC0F61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1535</Words>
  <Characters>9180</Characters>
  <Application>Microsoft Office Word</Application>
  <DocSecurity>4</DocSecurity>
  <Lines>166</Lines>
  <Paragraphs>43</Paragraphs>
  <ScaleCrop>false</ScaleCrop>
  <HeadingPairs>
    <vt:vector size="2" baseType="variant">
      <vt:variant>
        <vt:lpstr>Rubrik</vt:lpstr>
      </vt:variant>
      <vt:variant>
        <vt:i4>1</vt:i4>
      </vt:variant>
    </vt:vector>
  </HeadingPairs>
  <TitlesOfParts>
    <vt:vector size="1" baseType="lpstr">
      <vt:lpstr>mp061</vt:lpstr>
    </vt:vector>
  </TitlesOfParts>
  <Company>Riksdagen</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mp061</dc:title>
  <dc:subject>mp061</dc:subject>
  <dc:creator>Riksdagen</dc:creator>
  <cp:keywords>Riksdagen</cp:keywords>
  <dc:description>TKG-ktrl, MSMQ4mb, PersReg-Distribution mm</dc:description>
  <cp:lastModifiedBy>Lars Brink</cp:lastModifiedBy>
  <cp:revision>2</cp:revision>
  <cp:lastPrinted>2008-06-10T12:51:00Z</cp:lastPrinted>
  <dcterms:created xsi:type="dcterms:W3CDTF">2025-12-17T06:43:00Z</dcterms:created>
  <dcterms:modified xsi:type="dcterms:W3CDTF">2025-12-17T06:43:00Z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mot2000_492_2008-06-05</vt:lpwstr>
  </property>
  <property fmtid="{D5CDD505-2E9C-101B-9397-08002B2CF9AE}" pid="3" name="version">
    <vt:lpwstr>mot2000_492_2008-06-05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2007/08:153 Enklare regler om kväveoxidavgiften</vt:lpwstr>
  </property>
  <property fmtid="{D5CDD505-2E9C-101B-9397-08002B2CF9AE}" pid="11" name="SvarFrasKort">
    <vt:lpwstr>med anledning av prop. 2007/08:153</vt:lpwstr>
  </property>
  <property fmtid="{D5CDD505-2E9C-101B-9397-08002B2CF9AE}" pid="12" name="Svar">
    <vt:lpwstr>Proposition</vt:lpwstr>
  </property>
  <property fmtid="{D5CDD505-2E9C-101B-9397-08002B2CF9AE}" pid="13" name="SvarNr">
    <vt:lpwstr>2007/08:153</vt:lpwstr>
  </property>
  <property fmtid="{D5CDD505-2E9C-101B-9397-08002B2CF9AE}" pid="14" name="RubrikSvar">
    <vt:lpwstr>Enklare regler om kväveoxidavgiften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juni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20072008000001090112000000610069</vt:lpwstr>
  </property>
  <property fmtid="{D5CDD505-2E9C-101B-9397-08002B2CF9AE}" pid="47" name="datum">
    <vt:lpwstr>080605</vt:lpwstr>
  </property>
  <property fmtid="{D5CDD505-2E9C-101B-9397-08002B2CF9AE}" pid="48" name="avsändar-e-post">
    <vt:lpwstr>magnus.lindgren@riksdagen.se</vt:lpwstr>
  </property>
  <property fmtid="{D5CDD505-2E9C-101B-9397-08002B2CF9AE}" pid="49" name="id">
    <vt:lpwstr>20072008000001090112000000610069</vt:lpwstr>
  </property>
  <property fmtid="{D5CDD505-2E9C-101B-9397-08002B2CF9AE}" pid="50" name="nummer">
    <vt:lpwstr>16</vt:lpwstr>
  </property>
  <property fmtid="{D5CDD505-2E9C-101B-9397-08002B2CF9AE}" pid="51" name="utskottsbeteckning">
    <vt:lpwstr>MJ</vt:lpwstr>
  </property>
  <property fmtid="{D5CDD505-2E9C-101B-9397-08002B2CF9AE}" pid="52" name="GlobalUID">
    <vt:lpwstr>{BC69351B-4F13-49AE-92A9-ECC4D8A386CE}</vt:lpwstr>
  </property>
  <property fmtid="{D5CDD505-2E9C-101B-9397-08002B2CF9AE}" pid="53" name="Överföringar">
    <vt:i4>0</vt:i4>
  </property>
  <property fmtid="{D5CDD505-2E9C-101B-9397-08002B2CF9AE}" pid="54" name="Checksum">
    <vt:lpwstr>*0004476226629*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080610 14:51:24.844</vt:lpwstr>
  </property>
  <property fmtid="{D5CDD505-2E9C-101B-9397-08002B2CF9AE}" pid="58" name="urixGuid">
    <vt:lpwstr>{B10A4231-D9B6-4109-AD6F-A7BBCC245784}</vt:lpwstr>
  </property>
</Properties>
</file>