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C647C4" w:rsidRDefault="008E5453" w:rsidP="008E5453">
      <w:pPr>
        <w:pStyle w:val="Hemstlrubrik"/>
      </w:pPr>
      <w:r w:rsidRPr="00C647C4">
        <w:t>Förslag till riksdagsbeslut</w:t>
      </w:r>
    </w:p>
    <w:p w:rsidR="008E5453" w:rsidRPr="00C647C4" w:rsidRDefault="008E5453" w:rsidP="008E5453">
      <w:pPr>
        <w:pStyle w:val="Hemstlatt"/>
      </w:pPr>
      <w:r w:rsidRPr="00C647C4">
        <w:t>Riksdagen tillkännager för regeringen som sin mening vad i motionen anförs om att EES-medborgares familjemedlemmar som själva inte är EES-medborgare även i fortsättningen bör kunna använda identitetskort i stället för pass vid inresa i landet.</w:t>
      </w:r>
    </w:p>
    <w:p w:rsidR="008E5453" w:rsidRPr="00C647C4" w:rsidRDefault="008E5453" w:rsidP="008E5453">
      <w:pPr>
        <w:pStyle w:val="Hemstlatt"/>
      </w:pPr>
      <w:r w:rsidRPr="00C647C4">
        <w:t xml:space="preserve">Riksdagen tillkännager för regeringen som sin mening vad i motionen anförs om rätt till domstolsprövning enligt artikel 31 i direktiv 2004/38/EG av </w:t>
      </w:r>
      <w:r w:rsidR="002409E1" w:rsidRPr="00C647C4">
        <w:t>beslutets laglighet och de faktum om</w:t>
      </w:r>
      <w:r w:rsidRPr="00C647C4">
        <w:t xml:space="preserve"> och omständigheter som legat till grund för beslutet.</w:t>
      </w:r>
    </w:p>
    <w:p w:rsidR="008E5453" w:rsidRPr="00C647C4" w:rsidRDefault="008E5453" w:rsidP="008E5453">
      <w:pPr>
        <w:pStyle w:val="Hemstlatt"/>
      </w:pPr>
      <w:r w:rsidRPr="00C647C4">
        <w:t>Riksdagen tillkännager för regeringen som sin mening vad i motionen anförs om att ett särskilt registreringsförfarande för EES-medborgare inte bör införas.</w:t>
      </w:r>
    </w:p>
    <w:p w:rsidR="008E5453" w:rsidRPr="00C647C4" w:rsidRDefault="008E5453" w:rsidP="008E5453">
      <w:pPr>
        <w:pStyle w:val="Hemstlatt"/>
      </w:pPr>
      <w:r w:rsidRPr="00C647C4">
        <w:t>Riksdagen tillkännager för regeringen</w:t>
      </w:r>
      <w:r w:rsidR="00294594" w:rsidRPr="00C647C4">
        <w:t xml:space="preserve"> som sin mening</w:t>
      </w:r>
      <w:r w:rsidRPr="00C647C4">
        <w:t xml:space="preserve"> vad i motionen anförs om att en författningsreglerad sanktionsmöjlighet bör införas för fall då sexmånadersfr</w:t>
      </w:r>
      <w:r w:rsidR="00294594" w:rsidRPr="00C647C4">
        <w:t>isten i artikel 7.2 i direktiv</w:t>
      </w:r>
      <w:r w:rsidRPr="00C647C4">
        <w:t xml:space="preserve"> 2003/109/EG inte iak</w:t>
      </w:r>
      <w:r w:rsidRPr="00C647C4">
        <w:t>t</w:t>
      </w:r>
      <w:r w:rsidRPr="00C647C4">
        <w:t>tagits.</w:t>
      </w:r>
    </w:p>
    <w:p w:rsidR="008E5453" w:rsidRPr="00C647C4" w:rsidRDefault="008E5453" w:rsidP="008E5453">
      <w:pPr>
        <w:pStyle w:val="Hemstlatt"/>
      </w:pPr>
      <w:r w:rsidRPr="00C647C4">
        <w:t xml:space="preserve">Riksdagen tillkännager för regeringen </w:t>
      </w:r>
      <w:r w:rsidR="00294594" w:rsidRPr="00C647C4">
        <w:t xml:space="preserve">som sin mening </w:t>
      </w:r>
      <w:r w:rsidRPr="00C647C4">
        <w:t>vad i motionen anförs om</w:t>
      </w:r>
      <w:r w:rsidR="00294594" w:rsidRPr="00C647C4">
        <w:t xml:space="preserve"> att</w:t>
      </w:r>
      <w:r w:rsidRPr="00C647C4">
        <w:t xml:space="preserve"> rätt till rättslig prövning </w:t>
      </w:r>
      <w:r w:rsidR="00294594" w:rsidRPr="00C647C4">
        <w:t>enligt artikel 20.2 i direktiv</w:t>
      </w:r>
      <w:r w:rsidRPr="00C647C4">
        <w:t xml:space="preserve"> 2003/109/EG även skall omfatta säkerhetsärenden.</w:t>
      </w:r>
    </w:p>
    <w:p w:rsidR="008E5453" w:rsidRPr="00C647C4" w:rsidRDefault="008E5453" w:rsidP="00922E43">
      <w:pPr>
        <w:pStyle w:val="Rubrik1"/>
      </w:pPr>
      <w:r w:rsidRPr="00C647C4">
        <w:t>Bakgrund</w:t>
      </w:r>
    </w:p>
    <w:p w:rsidR="008E5453" w:rsidRPr="00C647C4" w:rsidRDefault="008E5453" w:rsidP="00922E43">
      <w:r w:rsidRPr="00C647C4">
        <w:t>Propositionen föreslår lagändringar för att i svensk</w:t>
      </w:r>
      <w:r w:rsidR="002409E1" w:rsidRPr="00C647C4">
        <w:t xml:space="preserve"> rätt genomföra två EG-direktiv:</w:t>
      </w:r>
      <w:r w:rsidRPr="00C647C4">
        <w:t xml:space="preserve"> direktiv 2004/38/EG om unionsmedborgares och deras familjeme</w:t>
      </w:r>
      <w:r w:rsidRPr="00C647C4">
        <w:t>d</w:t>
      </w:r>
      <w:r w:rsidRPr="00C647C4">
        <w:t>lemmars rätt att fritt röra sig och uppehålla sig inom medlemsstaternas territ</w:t>
      </w:r>
      <w:r w:rsidRPr="00C647C4">
        <w:t>o</w:t>
      </w:r>
      <w:r w:rsidRPr="00C647C4">
        <w:lastRenderedPageBreak/>
        <w:t>rier och direktiv 2003/109/EG om varaktigt bosatta tredjelandsmedborgares ställning.</w:t>
      </w:r>
    </w:p>
    <w:p w:rsidR="008E5453" w:rsidRPr="00C647C4" w:rsidRDefault="008E5453" w:rsidP="00922E43">
      <w:pPr>
        <w:pStyle w:val="Rubrik1"/>
      </w:pPr>
      <w:r w:rsidRPr="00C647C4">
        <w:t>Motivering</w:t>
      </w:r>
    </w:p>
    <w:p w:rsidR="008E5453" w:rsidRPr="00C647C4" w:rsidRDefault="008E5453" w:rsidP="00922E43">
      <w:r w:rsidRPr="00C647C4">
        <w:t>Det finns ingen anledning att nu avskaffa den möjlighet som medges i utlä</w:t>
      </w:r>
      <w:r w:rsidRPr="00C647C4">
        <w:t>n</w:t>
      </w:r>
      <w:r w:rsidRPr="00C647C4">
        <w:t>ningsförordningen för vissa anhöriga till medborgare i EES-stater att använda identitetskort i stället för pass vid inresa i landet. Vad s</w:t>
      </w:r>
      <w:r w:rsidR="002409E1" w:rsidRPr="00C647C4">
        <w:t>om behövs i efterd</w:t>
      </w:r>
      <w:r w:rsidR="002409E1" w:rsidRPr="00C647C4">
        <w:t>y</w:t>
      </w:r>
      <w:r w:rsidR="002409E1" w:rsidRPr="00C647C4">
        <w:t>ningarna av</w:t>
      </w:r>
      <w:r w:rsidRPr="00C647C4">
        <w:t xml:space="preserve"> publiceringen av Mohammedkarikatyrerna är inte nya åtgärder för att ytterligare förstärka tredjelandsmedborgares känslor av utanförskap och di</w:t>
      </w:r>
      <w:r w:rsidR="002409E1" w:rsidRPr="00C647C4">
        <w:t>skriminering. Sett i</w:t>
      </w:r>
      <w:r w:rsidRPr="00C647C4">
        <w:t xml:space="preserve"> det ljuset är regeringens förslag direkt olämpligt</w:t>
      </w:r>
      <w:r w:rsidR="002409E1" w:rsidRPr="00C647C4">
        <w:t>,</w:t>
      </w:r>
      <w:r w:rsidRPr="00C647C4">
        <w:t xml:space="preserve"> och förslaget bör ej genomföras. Detta bör riksdagen ge regeringen till känna.</w:t>
      </w:r>
    </w:p>
    <w:p w:rsidR="008E5453" w:rsidRPr="00C647C4" w:rsidRDefault="008E5453" w:rsidP="00922E43">
      <w:pPr>
        <w:pStyle w:val="Normaltindrag"/>
      </w:pPr>
      <w:r w:rsidRPr="00C647C4">
        <w:t>I artikel 31, direktiv 2004/38/EG</w:t>
      </w:r>
      <w:r w:rsidR="002409E1" w:rsidRPr="00C647C4">
        <w:t>,</w:t>
      </w:r>
      <w:r w:rsidRPr="00C647C4">
        <w:t xml:space="preserve"> anges att berörda personer skall ha til</w:t>
      </w:r>
      <w:r w:rsidRPr="00C647C4">
        <w:t>l</w:t>
      </w:r>
      <w:r w:rsidRPr="00C647C4">
        <w:t>gång till domstolsprövning för att överklaga beslut mot dem av hänsyn till allmän ordning, säkerhet eller hälsa. Säkerhetsärenden skall, efter överkl</w:t>
      </w:r>
      <w:r w:rsidRPr="00C647C4">
        <w:t>a</w:t>
      </w:r>
      <w:r w:rsidRPr="00C647C4">
        <w:t xml:space="preserve">gande, prövas av regeringen, vilken inte är en domstol. Att </w:t>
      </w:r>
      <w:r w:rsidR="002409E1" w:rsidRPr="00C647C4">
        <w:t>Migrationsöve</w:t>
      </w:r>
      <w:r w:rsidR="002409E1" w:rsidRPr="00C647C4">
        <w:t>r</w:t>
      </w:r>
      <w:r w:rsidR="002409E1" w:rsidRPr="00C647C4">
        <w:t xml:space="preserve">domstolen </w:t>
      </w:r>
      <w:r w:rsidRPr="00C647C4">
        <w:t>normalt skall hålla en förhandling och avge ett yttrande i ärendet förändrar inte saken. Den ordning som föreslås i propositionen strider mot direktivet och bör inte genomföras. Överklagande bör i stället ske till migr</w:t>
      </w:r>
      <w:r w:rsidRPr="00C647C4">
        <w:t>a</w:t>
      </w:r>
      <w:r w:rsidRPr="00C647C4">
        <w:t xml:space="preserve">tionsdomstol och </w:t>
      </w:r>
      <w:r w:rsidR="002409E1" w:rsidRPr="00C647C4">
        <w:t>Migrationsöverdomstolen</w:t>
      </w:r>
      <w:r w:rsidRPr="00C647C4">
        <w:t>. Detta bör riksdagen ge regerin</w:t>
      </w:r>
      <w:r w:rsidRPr="00C647C4">
        <w:t>g</w:t>
      </w:r>
      <w:r w:rsidRPr="00C647C4">
        <w:t>en till känna.</w:t>
      </w:r>
    </w:p>
    <w:p w:rsidR="008E5453" w:rsidRPr="00C647C4" w:rsidRDefault="008E5453" w:rsidP="00922E43">
      <w:pPr>
        <w:pStyle w:val="Normaltindrag"/>
      </w:pPr>
      <w:r w:rsidRPr="00C647C4">
        <w:t>Vi anser – i likhet med Diskrimineringsombudsmannen och Integration</w:t>
      </w:r>
      <w:r w:rsidRPr="00C647C4">
        <w:t>s</w:t>
      </w:r>
      <w:r w:rsidRPr="00C647C4">
        <w:t xml:space="preserve">verket </w:t>
      </w:r>
      <w:r w:rsidR="00B71842" w:rsidRPr="00C647C4">
        <w:t xml:space="preserve">– </w:t>
      </w:r>
      <w:r w:rsidRPr="00C647C4">
        <w:t>att det inte bör införas någon särskild registrering beträffande EES-medborgare. Reglerna om folkbokföring är tillräckliga. Förslaget om registr</w:t>
      </w:r>
      <w:r w:rsidRPr="00C647C4">
        <w:t>e</w:t>
      </w:r>
      <w:r w:rsidRPr="00C647C4">
        <w:t>ring är ytterligare ett uttryck för det storebrors</w:t>
      </w:r>
      <w:r w:rsidR="00B71842" w:rsidRPr="00C647C4">
        <w:t xml:space="preserve">- </w:t>
      </w:r>
      <w:r w:rsidRPr="00C647C4">
        <w:t>och övervakningssamhälle som regeringen förefaller fast besluten att i rask takt genomföra. Förslaget bör inte genomföras. Detta bör riksdagen ge regeringen till känna.</w:t>
      </w:r>
    </w:p>
    <w:p w:rsidR="008E5453" w:rsidRPr="00C647C4" w:rsidRDefault="008E5453" w:rsidP="005D6469">
      <w:pPr>
        <w:pStyle w:val="Normaltindrag"/>
      </w:pPr>
      <w:r w:rsidRPr="00C647C4">
        <w:t>I artikel 7.2</w:t>
      </w:r>
      <w:r w:rsidR="00D8757E" w:rsidRPr="00C647C4">
        <w:t xml:space="preserve"> </w:t>
      </w:r>
      <w:r w:rsidR="002409E1" w:rsidRPr="00C647C4">
        <w:t>i direktiv</w:t>
      </w:r>
      <w:r w:rsidRPr="00C647C4">
        <w:t xml:space="preserve"> 2003/109/EG anges att följderna av att ett beslut inte fattas inom tidsfristen skall regleras i den nationella lagstiftningen. Det är uppenbart att JO</w:t>
      </w:r>
      <w:r w:rsidR="00CD0A42" w:rsidRPr="00C647C4">
        <w:t>:</w:t>
      </w:r>
      <w:r w:rsidRPr="00C647C4">
        <w:t>s och JK</w:t>
      </w:r>
      <w:r w:rsidR="00CD0A42" w:rsidRPr="00C647C4">
        <w:t>:</w:t>
      </w:r>
      <w:r w:rsidRPr="00C647C4">
        <w:t>s allmänna tillsyn över den offentliga verksamheten</w:t>
      </w:r>
      <w:r w:rsidR="002409E1" w:rsidRPr="00C647C4">
        <w:t xml:space="preserve"> inte</w:t>
      </w:r>
      <w:r w:rsidRPr="00C647C4">
        <w:t xml:space="preserve"> uppfyller direktivets krav i denna del. En författningsreglerad sanktion</w:t>
      </w:r>
      <w:r w:rsidRPr="00C647C4">
        <w:t>s</w:t>
      </w:r>
      <w:r w:rsidRPr="00C647C4">
        <w:t>möjlighet bör införas för fall då sexmånadersfristen i artikel 7.2 inte iaktt</w:t>
      </w:r>
      <w:r w:rsidRPr="00C647C4">
        <w:t>a</w:t>
      </w:r>
      <w:r w:rsidRPr="00C647C4">
        <w:t>gits. Detta bör riksdagen ge regeringen till känna.</w:t>
      </w:r>
    </w:p>
    <w:p w:rsidR="008E5453" w:rsidRPr="00C647C4" w:rsidRDefault="008E5453" w:rsidP="008719C2">
      <w:pPr>
        <w:pStyle w:val="Normaltindrag"/>
      </w:pPr>
      <w:r w:rsidRPr="00C647C4">
        <w:t>Artikel 20.2 i direktiv 2003/109/EG lyder: ”Om ansökan om uppehållstil</w:t>
      </w:r>
      <w:r w:rsidRPr="00C647C4">
        <w:t>l</w:t>
      </w:r>
      <w:r w:rsidRPr="00C647C4">
        <w:t>stånd avslås eller om uppehållstillståndet återkallas eller inte förnyas, skall den berörda personen ha rätt att ansöka om rättslig prövning i den berörda medlemsstaten.” Detta måste innebära att också säkerhetsärenden får öve</w:t>
      </w:r>
      <w:r w:rsidRPr="00C647C4">
        <w:t>r</w:t>
      </w:r>
      <w:r w:rsidRPr="00C647C4">
        <w:t>klagas till migrationsdomstol.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09E1" w:rsidRPr="00C647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9E1" w:rsidRPr="00C647C4" w:rsidRDefault="002409E1" w:rsidP="002409E1">
            <w:pPr>
              <w:pStyle w:val="UnderskriftDatum"/>
              <w:spacing w:before="240"/>
            </w:pPr>
            <w:r w:rsidRPr="00C647C4">
              <w:t>Stockholm den 22 februari 2006</w:t>
            </w:r>
          </w:p>
        </w:tc>
        <w:tc>
          <w:tcPr>
            <w:tcW w:w="3047" w:type="dxa"/>
          </w:tcPr>
          <w:p w:rsidR="002409E1" w:rsidRPr="00C647C4" w:rsidRDefault="002409E1" w:rsidP="002409E1">
            <w:pPr>
              <w:pStyle w:val="Underskrifter"/>
              <w:spacing w:before="240"/>
            </w:pPr>
          </w:p>
        </w:tc>
      </w:tr>
      <w:tr w:rsidR="002409E1" w:rsidRPr="00C647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9E1" w:rsidRPr="00C647C4" w:rsidRDefault="002409E1" w:rsidP="002409E1">
            <w:pPr>
              <w:pStyle w:val="Underskrifter"/>
            </w:pPr>
            <w:r w:rsidRPr="00C647C4">
              <w:t>Ulla Hoffmann (v)</w:t>
            </w:r>
          </w:p>
        </w:tc>
        <w:tc>
          <w:tcPr>
            <w:tcW w:w="3047" w:type="dxa"/>
          </w:tcPr>
          <w:p w:rsidR="002409E1" w:rsidRPr="00C647C4" w:rsidRDefault="002409E1" w:rsidP="002409E1">
            <w:pPr>
              <w:pStyle w:val="Underskrifter"/>
            </w:pPr>
            <w:r w:rsidRPr="00C647C4">
              <w:t>Kalle Larsson (v)</w:t>
            </w:r>
          </w:p>
        </w:tc>
      </w:tr>
    </w:tbl>
    <w:p w:rsidR="008E5453" w:rsidRPr="00C647C4" w:rsidRDefault="008E5453" w:rsidP="002409E1">
      <w:pPr>
        <w:pStyle w:val="Normaltindrag"/>
      </w:pPr>
    </w:p>
    <w:sectPr w:rsidR="008E5453" w:rsidRPr="00C647C4" w:rsidSect="00240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C6D" w:rsidRPr="00C647C4" w:rsidRDefault="00332C6D">
      <w:r w:rsidRPr="00C647C4">
        <w:separator/>
      </w:r>
    </w:p>
  </w:endnote>
  <w:endnote w:type="continuationSeparator" w:id="0">
    <w:p w:rsidR="00332C6D" w:rsidRPr="00C647C4" w:rsidRDefault="00332C6D">
      <w:r w:rsidRPr="00C647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C89" w:rsidRPr="00C647C4" w:rsidRDefault="00C647C4" w:rsidP="002409E1">
    <w:pPr>
      <w:pStyle w:val="Sidfot"/>
    </w:pPr>
    <w:r w:rsidRPr="00C647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01192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9E1" w:rsidRDefault="002409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9E1" w:rsidRDefault="002409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C89" w:rsidRPr="00C647C4" w:rsidRDefault="00C647C4" w:rsidP="002409E1">
    <w:pPr>
      <w:pStyle w:val="Sidfot"/>
    </w:pPr>
    <w:r w:rsidRPr="00C647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718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9E1" w:rsidRDefault="002409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9E1" w:rsidRDefault="002409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C89" w:rsidRPr="00C647C4" w:rsidRDefault="00C647C4" w:rsidP="002409E1">
    <w:pPr>
      <w:pStyle w:val="Sidfot"/>
    </w:pPr>
    <w:r w:rsidRPr="00C647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722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9E1" w:rsidRDefault="002409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9E1" w:rsidRDefault="002409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C6D" w:rsidRPr="00C647C4" w:rsidRDefault="00332C6D">
      <w:r w:rsidRPr="00C647C4">
        <w:separator/>
      </w:r>
    </w:p>
  </w:footnote>
  <w:footnote w:type="continuationSeparator" w:id="0">
    <w:p w:rsidR="00332C6D" w:rsidRPr="00C647C4" w:rsidRDefault="00332C6D">
      <w:r w:rsidRPr="00C647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C89" w:rsidRPr="00C647C4" w:rsidRDefault="00C647C4" w:rsidP="002409E1">
    <w:pPr>
      <w:pStyle w:val="Sidhuvud"/>
    </w:pPr>
    <w:r w:rsidRPr="00C647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8013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9E1" w:rsidRDefault="002409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9E1" w:rsidRDefault="002409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C89" w:rsidRPr="00C647C4" w:rsidRDefault="00C647C4" w:rsidP="002409E1">
    <w:pPr>
      <w:pStyle w:val="Sidhuvud"/>
    </w:pPr>
    <w:r w:rsidRPr="00C647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95193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9E1" w:rsidRDefault="002409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9E1" w:rsidRDefault="002409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9E1" w:rsidRPr="00C647C4" w:rsidRDefault="002409E1">
    <w:pPr>
      <w:pStyle w:val="FSHNormal"/>
      <w:tabs>
        <w:tab w:val="right" w:pos="5840"/>
      </w:tabs>
    </w:pPr>
    <w:r w:rsidRPr="00C647C4">
      <w:br/>
    </w:r>
    <w:r w:rsidRPr="00C647C4">
      <w:fldChar w:fldCharType="begin" w:fldLock="1"/>
    </w:r>
    <w:r w:rsidRPr="00C647C4">
      <w:instrText xml:space="preserve"> DOCPROPERTY</w:instrText>
    </w:r>
    <w:r w:rsidRPr="00C647C4">
      <w:rPr>
        <w:sz w:val="18"/>
      </w:rPr>
      <w:instrText xml:space="preserve"> "YearUser" *\charformat </w:instrText>
    </w:r>
    <w:r w:rsidRPr="00C647C4">
      <w:fldChar w:fldCharType="separate"/>
    </w:r>
    <w:r w:rsidRPr="00C647C4">
      <w:t>2005/06</w:t>
    </w:r>
    <w:r w:rsidRPr="00C647C4">
      <w:fldChar w:fldCharType="end"/>
    </w:r>
    <w:r w:rsidRPr="00C647C4">
      <w:t xml:space="preserve"> </w:t>
    </w:r>
    <w:r w:rsidRPr="00C647C4">
      <w:tab/>
      <w:t xml:space="preserve">mnr: </w:t>
    </w:r>
    <w:r w:rsidRPr="00C647C4">
      <w:fldChar w:fldCharType="begin" w:fldLock="1"/>
    </w:r>
    <w:r w:rsidRPr="00C647C4">
      <w:instrText xml:space="preserve"> DOCPROPERTY</w:instrText>
    </w:r>
    <w:r w:rsidRPr="00C647C4">
      <w:rPr>
        <w:sz w:val="18"/>
      </w:rPr>
      <w:instrText xml:space="preserve"> "Motionsnummer" *\charformat </w:instrText>
    </w:r>
    <w:r w:rsidRPr="00C647C4">
      <w:fldChar w:fldCharType="separate"/>
    </w:r>
    <w:r w:rsidRPr="00C647C4">
      <w:t>Sf18</w:t>
    </w:r>
    <w:r w:rsidRPr="00C647C4">
      <w:fldChar w:fldCharType="end"/>
    </w:r>
    <w:r w:rsidRPr="00C647C4">
      <w:br/>
    </w:r>
    <w:r w:rsidRPr="00C647C4">
      <w:fldChar w:fldCharType="begin" w:fldLock="1"/>
    </w:r>
    <w:r w:rsidRPr="00C647C4">
      <w:instrText xml:space="preserve"> DOCPROPERTY</w:instrText>
    </w:r>
    <w:r w:rsidRPr="00C647C4">
      <w:rPr>
        <w:sz w:val="18"/>
      </w:rPr>
      <w:instrText xml:space="preserve"> "Samling" *\charformat </w:instrText>
    </w:r>
    <w:r w:rsidRPr="00C647C4">
      <w:fldChar w:fldCharType="end"/>
    </w:r>
    <w:r w:rsidRPr="00C647C4">
      <w:tab/>
      <w:t xml:space="preserve">pnr: </w:t>
    </w:r>
    <w:r w:rsidRPr="00C647C4">
      <w:fldChar w:fldCharType="begin" w:fldLock="1"/>
    </w:r>
    <w:r w:rsidRPr="00C647C4">
      <w:instrText xml:space="preserve"> DOCPROPERTY</w:instrText>
    </w:r>
    <w:r w:rsidRPr="00C647C4">
      <w:rPr>
        <w:sz w:val="18"/>
      </w:rPr>
      <w:instrText xml:space="preserve"> "Partinummer" *\charformat </w:instrText>
    </w:r>
    <w:r w:rsidRPr="00C647C4">
      <w:fldChar w:fldCharType="separate"/>
    </w:r>
    <w:r w:rsidRPr="00C647C4">
      <w:t>v012</w:t>
    </w:r>
    <w:r w:rsidRPr="00C647C4">
      <w:fldChar w:fldCharType="end"/>
    </w:r>
  </w:p>
  <w:p w:rsidR="002409E1" w:rsidRPr="00C647C4" w:rsidRDefault="002409E1">
    <w:pPr>
      <w:pStyle w:val="FSHRub1"/>
    </w:pPr>
    <w:r w:rsidRPr="00C647C4">
      <w:t>Motion till riksdagen</w:t>
    </w:r>
    <w:r w:rsidRPr="00C647C4">
      <w:br/>
    </w:r>
    <w:r w:rsidRPr="00C647C4">
      <w:fldChar w:fldCharType="begin" w:fldLock="1"/>
    </w:r>
    <w:r w:rsidRPr="00C647C4">
      <w:instrText xml:space="preserve"> DOCPROPERTY "YearUser" *\charformat </w:instrText>
    </w:r>
    <w:r w:rsidRPr="00C647C4">
      <w:fldChar w:fldCharType="separate"/>
    </w:r>
    <w:r w:rsidRPr="00C647C4">
      <w:t>2005/06</w:t>
    </w:r>
    <w:r w:rsidRPr="00C647C4">
      <w:fldChar w:fldCharType="end"/>
    </w:r>
    <w:r w:rsidRPr="00C647C4">
      <w:t>:</w:t>
    </w:r>
    <w:r w:rsidRPr="00C647C4">
      <w:fldChar w:fldCharType="begin" w:fldLock="1"/>
    </w:r>
    <w:r w:rsidRPr="00C647C4">
      <w:instrText xml:space="preserve"> DOCPROPERTY "Motionsnummer" *\charformat </w:instrText>
    </w:r>
    <w:r w:rsidRPr="00C647C4">
      <w:fldChar w:fldCharType="separate"/>
    </w:r>
    <w:r w:rsidRPr="00C647C4">
      <w:t>Sf18</w:t>
    </w:r>
    <w:r w:rsidRPr="00C647C4">
      <w:fldChar w:fldCharType="end"/>
    </w:r>
  </w:p>
  <w:p w:rsidR="002409E1" w:rsidRPr="00C647C4" w:rsidRDefault="002409E1">
    <w:pPr>
      <w:pStyle w:val="FSHNormalS5"/>
    </w:pPr>
    <w:r w:rsidRPr="00C647C4">
      <w:fldChar w:fldCharType="begin" w:fldLock="1"/>
    </w:r>
    <w:r w:rsidRPr="00C647C4">
      <w:instrText xml:space="preserve"> DOCPROPERTY "MotionarText" *\charformat </w:instrText>
    </w:r>
    <w:r w:rsidRPr="00C647C4">
      <w:fldChar w:fldCharType="separate"/>
    </w:r>
    <w:r w:rsidRPr="00C647C4">
      <w:t>av Ulla Hoffmann och Kalle Larsson (v)</w:t>
    </w:r>
    <w:r w:rsidRPr="00C647C4">
      <w:fldChar w:fldCharType="end"/>
    </w:r>
    <w:r w:rsidRPr="00C647C4">
      <w:br/>
    </w:r>
    <w:r w:rsidRPr="00C647C4">
      <w:fldChar w:fldCharType="begin" w:fldLock="1"/>
    </w:r>
    <w:r w:rsidRPr="00C647C4">
      <w:instrText xml:space="preserve"> DOCPROPERTY "SvarFrasKort" *\charformat </w:instrText>
    </w:r>
    <w:r w:rsidRPr="00C647C4">
      <w:fldChar w:fldCharType="separate"/>
    </w:r>
    <w:r w:rsidRPr="00C647C4">
      <w:t>med anledning av prop. 2005/06:77</w:t>
    </w:r>
    <w:r w:rsidRPr="00C647C4">
      <w:fldChar w:fldCharType="end"/>
    </w:r>
  </w:p>
  <w:p w:rsidR="002409E1" w:rsidRPr="00C647C4" w:rsidRDefault="002409E1">
    <w:pPr>
      <w:pStyle w:val="FSHTitel"/>
    </w:pPr>
    <w:r w:rsidRPr="00C647C4">
      <w:fldChar w:fldCharType="begin" w:fldLock="1"/>
    </w:r>
    <w:r w:rsidRPr="00C647C4">
      <w:instrText xml:space="preserve"> DOCPROPERTY</w:instrText>
    </w:r>
    <w:r w:rsidRPr="00C647C4">
      <w:rPr>
        <w:sz w:val="18"/>
      </w:rPr>
      <w:instrText xml:space="preserve"> "RubrikSvar" *\charformat </w:instrText>
    </w:r>
    <w:r w:rsidRPr="00C647C4">
      <w:fldChar w:fldCharType="separate"/>
    </w:r>
    <w:r w:rsidRPr="00C647C4">
      <w:t>Genomförande av EG-direktiven om unionsmedborgares rörlighet inom EU och om varaktigt bosatta tredjelandsmedborgares ställning</w:t>
    </w:r>
    <w:r w:rsidRPr="00C647C4">
      <w:fldChar w:fldCharType="end"/>
    </w:r>
  </w:p>
  <w:p w:rsidR="002409E1" w:rsidRPr="00C647C4" w:rsidRDefault="002409E1" w:rsidP="002409E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CE3AF4"/>
    <w:multiLevelType w:val="hybridMultilevel"/>
    <w:tmpl w:val="60643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D97FCC"/>
    <w:multiLevelType w:val="hybridMultilevel"/>
    <w:tmpl w:val="AC5A9F18"/>
    <w:lvl w:ilvl="0" w:tplc="C162465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380606">
    <w:abstractNumId w:val="14"/>
  </w:num>
  <w:num w:numId="2" w16cid:durableId="212427713">
    <w:abstractNumId w:val="10"/>
  </w:num>
  <w:num w:numId="3" w16cid:durableId="877355234">
    <w:abstractNumId w:val="11"/>
  </w:num>
  <w:num w:numId="4" w16cid:durableId="2122916529">
    <w:abstractNumId w:val="13"/>
  </w:num>
  <w:num w:numId="5" w16cid:durableId="635648485">
    <w:abstractNumId w:val="8"/>
  </w:num>
  <w:num w:numId="6" w16cid:durableId="1129276674">
    <w:abstractNumId w:val="3"/>
  </w:num>
  <w:num w:numId="7" w16cid:durableId="1179150810">
    <w:abstractNumId w:val="2"/>
  </w:num>
  <w:num w:numId="8" w16cid:durableId="600726276">
    <w:abstractNumId w:val="1"/>
  </w:num>
  <w:num w:numId="9" w16cid:durableId="1635283345">
    <w:abstractNumId w:val="0"/>
  </w:num>
  <w:num w:numId="10" w16cid:durableId="574898870">
    <w:abstractNumId w:val="9"/>
  </w:num>
  <w:num w:numId="11" w16cid:durableId="360520538">
    <w:abstractNumId w:val="7"/>
  </w:num>
  <w:num w:numId="12" w16cid:durableId="1893033215">
    <w:abstractNumId w:val="6"/>
  </w:num>
  <w:num w:numId="13" w16cid:durableId="1354844770">
    <w:abstractNumId w:val="5"/>
  </w:num>
  <w:num w:numId="14" w16cid:durableId="1366981072">
    <w:abstractNumId w:val="4"/>
  </w:num>
  <w:num w:numId="15" w16cid:durableId="1830558962">
    <w:abstractNumId w:val="12"/>
  </w:num>
  <w:num w:numId="16" w16cid:durableId="386338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20"/>
  </w:docVars>
  <w:rsids>
    <w:rsidRoot w:val="00922E43"/>
    <w:rsid w:val="0004381F"/>
    <w:rsid w:val="00064BC3"/>
    <w:rsid w:val="000665E6"/>
    <w:rsid w:val="00066775"/>
    <w:rsid w:val="00072FB9"/>
    <w:rsid w:val="00075726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409E1"/>
    <w:rsid w:val="0025068A"/>
    <w:rsid w:val="002535CE"/>
    <w:rsid w:val="002818D3"/>
    <w:rsid w:val="002943C8"/>
    <w:rsid w:val="00294594"/>
    <w:rsid w:val="002C2373"/>
    <w:rsid w:val="002D11A8"/>
    <w:rsid w:val="00332C6D"/>
    <w:rsid w:val="003866EC"/>
    <w:rsid w:val="003B6679"/>
    <w:rsid w:val="00445271"/>
    <w:rsid w:val="00447A04"/>
    <w:rsid w:val="004A0504"/>
    <w:rsid w:val="004E38D9"/>
    <w:rsid w:val="005B145B"/>
    <w:rsid w:val="005D6469"/>
    <w:rsid w:val="00740D6D"/>
    <w:rsid w:val="00743F76"/>
    <w:rsid w:val="00764CF6"/>
    <w:rsid w:val="00794149"/>
    <w:rsid w:val="007B67A7"/>
    <w:rsid w:val="007C6092"/>
    <w:rsid w:val="008719C2"/>
    <w:rsid w:val="008E5453"/>
    <w:rsid w:val="008F55E0"/>
    <w:rsid w:val="00922E43"/>
    <w:rsid w:val="00A053C6"/>
    <w:rsid w:val="00AB5000"/>
    <w:rsid w:val="00B13BF0"/>
    <w:rsid w:val="00B33C81"/>
    <w:rsid w:val="00B67E5B"/>
    <w:rsid w:val="00B71842"/>
    <w:rsid w:val="00BA6BE0"/>
    <w:rsid w:val="00C1285C"/>
    <w:rsid w:val="00C27B7D"/>
    <w:rsid w:val="00C647C4"/>
    <w:rsid w:val="00CD0A42"/>
    <w:rsid w:val="00CE3037"/>
    <w:rsid w:val="00CF6FD6"/>
    <w:rsid w:val="00CF7A43"/>
    <w:rsid w:val="00D01775"/>
    <w:rsid w:val="00D1174F"/>
    <w:rsid w:val="00D8757E"/>
    <w:rsid w:val="00DC6C70"/>
    <w:rsid w:val="00E22893"/>
    <w:rsid w:val="00E349C2"/>
    <w:rsid w:val="00E360DE"/>
    <w:rsid w:val="00E521CB"/>
    <w:rsid w:val="00E75D28"/>
    <w:rsid w:val="00E84F25"/>
    <w:rsid w:val="00E96C89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0A8841-A45B-42B3-BBB5-BC70DB1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2535C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409E1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535</Words>
  <Characters>3361</Characters>
  <Application>Microsoft Office Word</Application>
  <DocSecurity>4</DocSecurity>
  <Lines>63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Sf18</vt:lpstr>
    </vt:vector>
  </TitlesOfParts>
  <Company>Riksdagen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Sf18</dc:title>
  <dc:subject>Sf18</dc:subject>
  <dc:creator>Riksdagen</dc:creator>
  <cp:keywords>Riksdagen</cp:keywords>
  <dc:description>Nya v-loggan, anpassningar åt tryckeriet, GUID, ny kvittohantering</dc:description>
  <cp:lastModifiedBy>Lars Brink</cp:lastModifiedBy>
  <cp:revision>2</cp:revision>
  <cp:lastPrinted>2006-02-28T06:50:00Z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mot2000_430_2006-02-20</vt:lpwstr>
  </property>
  <property fmtid="{D5CDD505-2E9C-101B-9397-08002B2CF9AE}" pid="3" name="version">
    <vt:lpwstr>mot2000_430_2006-02-20</vt:lpwstr>
  </property>
  <property fmtid="{D5CDD505-2E9C-101B-9397-08002B2CF9AE}" pid="4" name="dokumenttyp">
    <vt:lpwstr>motion</vt:lpwstr>
  </property>
  <property fmtid="{D5CDD505-2E9C-101B-9397-08002B2CF9AE}" pid="5" name="Sekr">
    <vt:lpwstr>SdG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2005/06:77 Genomförande av EG-direktiven om unionsmedborgares rörlighet inom EU och om varaktigt bosatta tredjelandsmedborgares ställning</vt:lpwstr>
  </property>
  <property fmtid="{D5CDD505-2E9C-101B-9397-08002B2CF9AE}" pid="11" name="SvarFrasKort">
    <vt:lpwstr>med anledning av prop. 2005/06:77</vt:lpwstr>
  </property>
  <property fmtid="{D5CDD505-2E9C-101B-9397-08002B2CF9AE}" pid="12" name="Svar">
    <vt:lpwstr>proposition</vt:lpwstr>
  </property>
  <property fmtid="{D5CDD505-2E9C-101B-9397-08002B2CF9AE}" pid="13" name="SvarNr">
    <vt:lpwstr>2005/06:77</vt:lpwstr>
  </property>
  <property fmtid="{D5CDD505-2E9C-101B-9397-08002B2CF9AE}" pid="14" name="RubrikSvar">
    <vt:lpwstr>Genomförande av EG-direktiven om unionsmedborgares rörlighet inom EU och om varaktigt bosatta tredjelandsmedborgares ställning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v012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Hoffmann och Kalle Larsson (v)</vt:lpwstr>
  </property>
  <property fmtid="{D5CDD505-2E9C-101B-9397-08002B2CF9AE}" pid="26" name="MotionarLista">
    <vt:lpwstr>Hoffmann, Ulla (v)\Larsson, Kalle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Hoffmann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februari 2006</vt:lpwstr>
  </property>
  <property fmtid="{D5CDD505-2E9C-101B-9397-08002B2CF9AE}" pid="44" name="NotesUID">
    <vt:lpwstr>maya.ek@riksdagen.se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20052006000000000118000000120075</vt:lpwstr>
  </property>
  <property fmtid="{D5CDD505-2E9C-101B-9397-08002B2CF9AE}" pid="47" name="datum">
    <vt:lpwstr>060222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20052006000000000118000000120075</vt:lpwstr>
  </property>
  <property fmtid="{D5CDD505-2E9C-101B-9397-08002B2CF9AE}" pid="50" name="nummer">
    <vt:lpwstr>18</vt:lpwstr>
  </property>
  <property fmtid="{D5CDD505-2E9C-101B-9397-08002B2CF9AE}" pid="51" name="utskottsbeteckning">
    <vt:lpwstr>Sf</vt:lpwstr>
  </property>
  <property fmtid="{D5CDD505-2E9C-101B-9397-08002B2CF9AE}" pid="52" name="GlobalUID">
    <vt:lpwstr>{E1772DB4-37A9-4D13-B987-E6C4B93C0DF4}</vt:lpwstr>
  </property>
  <property fmtid="{D5CDD505-2E9C-101B-9397-08002B2CF9AE}" pid="53" name="Överföringar">
    <vt:i4>0</vt:i4>
  </property>
</Properties>
</file>