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666" w:rsidRPr="00A878EB" w:rsidRDefault="001E7666" w:rsidP="001E7666">
      <w:pPr>
        <w:pStyle w:val="RubrikSammanf"/>
        <w:spacing w:before="250"/>
      </w:pPr>
      <w:bookmarkStart w:id="0" w:name="_Toc83915231"/>
      <w:bookmarkStart w:id="1" w:name="_Toc120848043"/>
      <w:r w:rsidRPr="00A878EB">
        <w:t>Sammanfattning</w:t>
      </w:r>
      <w:bookmarkEnd w:id="0"/>
      <w:bookmarkEnd w:id="1"/>
    </w:p>
    <w:p w:rsidR="001E7666" w:rsidRPr="00A878EB" w:rsidRDefault="001E7666" w:rsidP="001E7666">
      <w:r w:rsidRPr="00A878EB">
        <w:t>Kristdemokraterna föreslår en effektivisering och samordning inom statsfö</w:t>
      </w:r>
      <w:r w:rsidRPr="00A878EB">
        <w:t>r</w:t>
      </w:r>
      <w:r w:rsidRPr="00A878EB">
        <w:t>valtningen samt av</w:t>
      </w:r>
      <w:r w:rsidR="00DA27C7" w:rsidRPr="00A878EB">
        <w:t>bryter</w:t>
      </w:r>
      <w:r w:rsidRPr="00A878EB">
        <w:t xml:space="preserve"> försök</w:t>
      </w:r>
      <w:r w:rsidR="00DA27C7" w:rsidRPr="00A878EB">
        <w:t>et</w:t>
      </w:r>
      <w:r w:rsidRPr="00A878EB">
        <w:t xml:space="preserve"> med trängselskatter i Stockholm. Det inn</w:t>
      </w:r>
      <w:r w:rsidRPr="00A878EB">
        <w:t>e</w:t>
      </w:r>
      <w:r w:rsidRPr="00A878EB">
        <w:t xml:space="preserve">bär </w:t>
      </w:r>
      <w:r w:rsidR="00DA27C7" w:rsidRPr="00A878EB">
        <w:t xml:space="preserve">sammanlagda </w:t>
      </w:r>
      <w:r w:rsidRPr="00A878EB">
        <w:t xml:space="preserve">besparingar på </w:t>
      </w:r>
      <w:r w:rsidR="00DA27C7" w:rsidRPr="00A878EB">
        <w:t>omkring</w:t>
      </w:r>
      <w:r w:rsidRPr="00A878EB">
        <w:t xml:space="preserve"> </w:t>
      </w:r>
      <w:r w:rsidR="00DA27C7" w:rsidRPr="00A878EB">
        <w:t>1 873 miljoner kronor år 2006, 1 464 miljoner kronor år 2007 och 205 miljoner kronor år 2008.</w:t>
      </w:r>
    </w:p>
    <w:p w:rsidR="001E7666" w:rsidRPr="00A878EB" w:rsidRDefault="001E7666" w:rsidP="00F32086">
      <w:pPr>
        <w:pStyle w:val="RubrikInnehllsf"/>
        <w:pageBreakBefore/>
        <w:spacing w:before="0" w:after="250"/>
      </w:pPr>
      <w:bookmarkStart w:id="2" w:name="_Toc83915232"/>
      <w:bookmarkStart w:id="3" w:name="_Toc120848044"/>
      <w:r w:rsidRPr="00A878EB">
        <w:lastRenderedPageBreak/>
        <w:t>Innehållsförteckning</w:t>
      </w:r>
      <w:bookmarkEnd w:id="2"/>
      <w:bookmarkEnd w:id="3"/>
    </w:p>
    <w:p w:rsidR="00B15E5F" w:rsidRPr="00A878EB" w:rsidRDefault="001E7666" w:rsidP="00B15E5F">
      <w:pPr>
        <w:pStyle w:val="Innehll1"/>
        <w:tabs>
          <w:tab w:val="left" w:pos="285"/>
        </w:tabs>
        <w:rPr>
          <w:sz w:val="24"/>
          <w:szCs w:val="24"/>
        </w:rPr>
      </w:pPr>
      <w:r w:rsidRPr="00A878EB">
        <w:fldChar w:fldCharType="begin" w:fldLock="1"/>
      </w:r>
      <w:r w:rsidRPr="00A878EB">
        <w:instrText xml:space="preserve"> TOC \o "1-3" </w:instrText>
      </w:r>
      <w:r w:rsidRPr="00A878EB">
        <w:fldChar w:fldCharType="separate"/>
      </w:r>
      <w:r w:rsidR="00B15E5F" w:rsidRPr="00A878EB">
        <w:t>1</w:t>
      </w:r>
      <w:r w:rsidR="00B15E5F" w:rsidRPr="00A878EB">
        <w:rPr>
          <w:sz w:val="24"/>
          <w:szCs w:val="24"/>
        </w:rPr>
        <w:tab/>
      </w:r>
      <w:r w:rsidR="00B15E5F" w:rsidRPr="00A878EB">
        <w:t>Sammanfattning</w:t>
      </w:r>
      <w:r w:rsidR="00B15E5F" w:rsidRPr="00A878EB">
        <w:tab/>
      </w:r>
      <w:r w:rsidR="00B15E5F" w:rsidRPr="00A878EB">
        <w:fldChar w:fldCharType="begin" w:fldLock="1"/>
      </w:r>
      <w:r w:rsidR="00B15E5F" w:rsidRPr="00A878EB">
        <w:instrText xml:space="preserve"> PAGEREF _Toc120848043 \h </w:instrText>
      </w:r>
      <w:r w:rsidR="00B15E5F" w:rsidRPr="00A878EB">
        <w:fldChar w:fldCharType="separate"/>
      </w:r>
      <w:r w:rsidR="00B15E5F" w:rsidRPr="00A878EB">
        <w:t>1</w:t>
      </w:r>
      <w:r w:rsidR="00B15E5F" w:rsidRPr="00A878EB">
        <w:fldChar w:fldCharType="end"/>
      </w:r>
    </w:p>
    <w:p w:rsidR="00B15E5F" w:rsidRPr="00A878EB" w:rsidRDefault="00B15E5F" w:rsidP="00B15E5F">
      <w:pPr>
        <w:pStyle w:val="Innehll1"/>
        <w:tabs>
          <w:tab w:val="left" w:pos="285"/>
        </w:tabs>
        <w:rPr>
          <w:sz w:val="24"/>
          <w:szCs w:val="24"/>
        </w:rPr>
      </w:pPr>
      <w:r w:rsidRPr="00A878EB">
        <w:t>2</w:t>
      </w:r>
      <w:r w:rsidRPr="00A878EB">
        <w:rPr>
          <w:sz w:val="24"/>
          <w:szCs w:val="24"/>
        </w:rPr>
        <w:tab/>
      </w:r>
      <w:r w:rsidRPr="00A878EB">
        <w:t>Innehållsförteckning</w:t>
      </w:r>
      <w:r w:rsidRPr="00A878EB">
        <w:tab/>
      </w:r>
      <w:r w:rsidRPr="00A878EB">
        <w:fldChar w:fldCharType="begin" w:fldLock="1"/>
      </w:r>
      <w:r w:rsidRPr="00A878EB">
        <w:instrText xml:space="preserve"> PAGEREF _Toc120848044 \h </w:instrText>
      </w:r>
      <w:r w:rsidRPr="00A878EB">
        <w:fldChar w:fldCharType="separate"/>
      </w:r>
      <w:r w:rsidRPr="00A878EB">
        <w:t>2</w:t>
      </w:r>
      <w:r w:rsidRPr="00A878EB">
        <w:fldChar w:fldCharType="end"/>
      </w:r>
    </w:p>
    <w:p w:rsidR="00B15E5F" w:rsidRPr="00A878EB" w:rsidRDefault="00B15E5F" w:rsidP="00B15E5F">
      <w:pPr>
        <w:pStyle w:val="Innehll1"/>
        <w:tabs>
          <w:tab w:val="left" w:pos="285"/>
        </w:tabs>
        <w:rPr>
          <w:sz w:val="24"/>
          <w:szCs w:val="24"/>
        </w:rPr>
      </w:pPr>
      <w:r w:rsidRPr="00A878EB">
        <w:t>3</w:t>
      </w:r>
      <w:r w:rsidRPr="00A878EB">
        <w:rPr>
          <w:sz w:val="24"/>
          <w:szCs w:val="24"/>
        </w:rPr>
        <w:tab/>
      </w:r>
      <w:r w:rsidRPr="00A878EB">
        <w:t>Förslag till riksdagsbeslut</w:t>
      </w:r>
      <w:r w:rsidRPr="00A878EB">
        <w:tab/>
      </w:r>
      <w:r w:rsidRPr="00A878EB">
        <w:fldChar w:fldCharType="begin" w:fldLock="1"/>
      </w:r>
      <w:r w:rsidRPr="00A878EB">
        <w:instrText xml:space="preserve"> PAGEREF _Toc120848045 \h </w:instrText>
      </w:r>
      <w:r w:rsidRPr="00A878EB">
        <w:fldChar w:fldCharType="separate"/>
      </w:r>
      <w:r w:rsidRPr="00A878EB">
        <w:t>3</w:t>
      </w:r>
      <w:r w:rsidRPr="00A878EB">
        <w:fldChar w:fldCharType="end"/>
      </w:r>
    </w:p>
    <w:p w:rsidR="00B15E5F" w:rsidRPr="00A878EB" w:rsidRDefault="00B15E5F" w:rsidP="00B15E5F">
      <w:pPr>
        <w:pStyle w:val="Innehll1"/>
        <w:tabs>
          <w:tab w:val="left" w:pos="285"/>
        </w:tabs>
        <w:rPr>
          <w:sz w:val="24"/>
          <w:szCs w:val="24"/>
        </w:rPr>
      </w:pPr>
      <w:r w:rsidRPr="00A878EB">
        <w:t>4</w:t>
      </w:r>
      <w:r w:rsidRPr="00A878EB">
        <w:rPr>
          <w:sz w:val="24"/>
          <w:szCs w:val="24"/>
        </w:rPr>
        <w:tab/>
      </w:r>
      <w:r w:rsidRPr="00A878EB">
        <w:t>Etikens betydelse för en fungerande marknadsekonomi</w:t>
      </w:r>
      <w:r w:rsidRPr="00A878EB">
        <w:tab/>
      </w:r>
      <w:r w:rsidRPr="00A878EB">
        <w:fldChar w:fldCharType="begin" w:fldLock="1"/>
      </w:r>
      <w:r w:rsidRPr="00A878EB">
        <w:instrText xml:space="preserve"> PAGEREF _Toc120848046 \h </w:instrText>
      </w:r>
      <w:r w:rsidRPr="00A878EB">
        <w:fldChar w:fldCharType="separate"/>
      </w:r>
      <w:r w:rsidRPr="00A878EB">
        <w:t>3</w:t>
      </w:r>
      <w:r w:rsidRPr="00A878EB">
        <w:fldChar w:fldCharType="end"/>
      </w:r>
    </w:p>
    <w:p w:rsidR="00B15E5F" w:rsidRPr="00A878EB" w:rsidRDefault="00B15E5F" w:rsidP="00B15E5F">
      <w:pPr>
        <w:pStyle w:val="Innehll1"/>
        <w:tabs>
          <w:tab w:val="left" w:pos="285"/>
        </w:tabs>
        <w:rPr>
          <w:sz w:val="24"/>
          <w:szCs w:val="24"/>
        </w:rPr>
      </w:pPr>
      <w:r w:rsidRPr="00A878EB">
        <w:t>5</w:t>
      </w:r>
      <w:r w:rsidRPr="00A878EB">
        <w:rPr>
          <w:sz w:val="24"/>
          <w:szCs w:val="24"/>
        </w:rPr>
        <w:tab/>
      </w:r>
      <w:r w:rsidRPr="00A878EB">
        <w:t>Förtroendet för finansmarknaden måste stärkas</w:t>
      </w:r>
      <w:r w:rsidRPr="00A878EB">
        <w:tab/>
      </w:r>
      <w:r w:rsidRPr="00A878EB">
        <w:fldChar w:fldCharType="begin" w:fldLock="1"/>
      </w:r>
      <w:r w:rsidRPr="00A878EB">
        <w:instrText xml:space="preserve"> PAGEREF _Toc120848047 \h </w:instrText>
      </w:r>
      <w:r w:rsidRPr="00A878EB">
        <w:fldChar w:fldCharType="separate"/>
      </w:r>
      <w:r w:rsidRPr="00A878EB">
        <w:t>5</w:t>
      </w:r>
      <w:r w:rsidRPr="00A878EB">
        <w:fldChar w:fldCharType="end"/>
      </w:r>
    </w:p>
    <w:p w:rsidR="00B15E5F" w:rsidRPr="00A878EB" w:rsidRDefault="00B15E5F" w:rsidP="00B15E5F">
      <w:pPr>
        <w:pStyle w:val="Innehll2"/>
        <w:tabs>
          <w:tab w:val="left" w:pos="570"/>
        </w:tabs>
        <w:ind w:left="190" w:hanging="95"/>
        <w:rPr>
          <w:sz w:val="24"/>
          <w:szCs w:val="24"/>
        </w:rPr>
      </w:pPr>
      <w:r w:rsidRPr="00A878EB">
        <w:t>5.1</w:t>
      </w:r>
      <w:r w:rsidRPr="00A878EB">
        <w:rPr>
          <w:sz w:val="24"/>
          <w:szCs w:val="24"/>
        </w:rPr>
        <w:tab/>
      </w:r>
      <w:r w:rsidRPr="00A878EB">
        <w:t>Utvecklingen går åt fel håll</w:t>
      </w:r>
      <w:r w:rsidRPr="00A878EB">
        <w:tab/>
      </w:r>
      <w:r w:rsidRPr="00A878EB">
        <w:fldChar w:fldCharType="begin" w:fldLock="1"/>
      </w:r>
      <w:r w:rsidRPr="00A878EB">
        <w:instrText xml:space="preserve"> PAGEREF _Toc120848048 \h </w:instrText>
      </w:r>
      <w:r w:rsidRPr="00A878EB">
        <w:fldChar w:fldCharType="separate"/>
      </w:r>
      <w:r w:rsidRPr="00A878EB">
        <w:t>5</w:t>
      </w:r>
      <w:r w:rsidRPr="00A878EB">
        <w:fldChar w:fldCharType="end"/>
      </w:r>
    </w:p>
    <w:p w:rsidR="00B15E5F" w:rsidRPr="00A878EB" w:rsidRDefault="00B15E5F" w:rsidP="00B15E5F">
      <w:pPr>
        <w:pStyle w:val="Innehll2"/>
        <w:tabs>
          <w:tab w:val="left" w:pos="570"/>
        </w:tabs>
        <w:ind w:left="190" w:hanging="95"/>
        <w:rPr>
          <w:sz w:val="24"/>
          <w:szCs w:val="24"/>
        </w:rPr>
      </w:pPr>
      <w:r w:rsidRPr="00A878EB">
        <w:t>5.2</w:t>
      </w:r>
      <w:r w:rsidRPr="00A878EB">
        <w:rPr>
          <w:sz w:val="24"/>
          <w:szCs w:val="24"/>
        </w:rPr>
        <w:tab/>
      </w:r>
      <w:r w:rsidRPr="00A878EB">
        <w:t>Tid för fördjupad etisk debatt</w:t>
      </w:r>
      <w:r w:rsidRPr="00A878EB">
        <w:tab/>
      </w:r>
      <w:r w:rsidRPr="00A878EB">
        <w:fldChar w:fldCharType="begin" w:fldLock="1"/>
      </w:r>
      <w:r w:rsidRPr="00A878EB">
        <w:instrText xml:space="preserve"> PAGEREF _Toc120848049 \h </w:instrText>
      </w:r>
      <w:r w:rsidRPr="00A878EB">
        <w:fldChar w:fldCharType="separate"/>
      </w:r>
      <w:r w:rsidRPr="00A878EB">
        <w:t>5</w:t>
      </w:r>
      <w:r w:rsidRPr="00A878EB">
        <w:fldChar w:fldCharType="end"/>
      </w:r>
    </w:p>
    <w:p w:rsidR="00B15E5F" w:rsidRPr="00A878EB" w:rsidRDefault="00B15E5F" w:rsidP="00B15E5F">
      <w:pPr>
        <w:pStyle w:val="Innehll2"/>
        <w:tabs>
          <w:tab w:val="left" w:pos="570"/>
        </w:tabs>
        <w:ind w:left="190" w:hanging="95"/>
        <w:rPr>
          <w:sz w:val="24"/>
          <w:szCs w:val="24"/>
        </w:rPr>
      </w:pPr>
      <w:r w:rsidRPr="00A878EB">
        <w:t>5.3</w:t>
      </w:r>
      <w:r w:rsidRPr="00A878EB">
        <w:rPr>
          <w:sz w:val="24"/>
          <w:szCs w:val="24"/>
        </w:rPr>
        <w:tab/>
      </w:r>
      <w:r w:rsidRPr="00A878EB">
        <w:t>Åtgärder för bättre ordning och reda på finansmarknaden</w:t>
      </w:r>
      <w:r w:rsidRPr="00A878EB">
        <w:tab/>
      </w:r>
      <w:r w:rsidRPr="00A878EB">
        <w:fldChar w:fldCharType="begin" w:fldLock="1"/>
      </w:r>
      <w:r w:rsidRPr="00A878EB">
        <w:instrText xml:space="preserve"> PAGEREF _Toc120848050 \h </w:instrText>
      </w:r>
      <w:r w:rsidRPr="00A878EB">
        <w:fldChar w:fldCharType="separate"/>
      </w:r>
      <w:r w:rsidRPr="00A878EB">
        <w:t>6</w:t>
      </w:r>
      <w:r w:rsidRPr="00A878EB">
        <w:fldChar w:fldCharType="end"/>
      </w:r>
    </w:p>
    <w:p w:rsidR="00B15E5F" w:rsidRPr="00A878EB" w:rsidRDefault="00B15E5F" w:rsidP="00B15E5F">
      <w:pPr>
        <w:pStyle w:val="Innehll2"/>
        <w:tabs>
          <w:tab w:val="left" w:pos="570"/>
        </w:tabs>
        <w:ind w:left="190" w:hanging="95"/>
        <w:rPr>
          <w:sz w:val="24"/>
          <w:szCs w:val="24"/>
        </w:rPr>
      </w:pPr>
      <w:r w:rsidRPr="00A878EB">
        <w:t>5.4</w:t>
      </w:r>
      <w:r w:rsidRPr="00A878EB">
        <w:rPr>
          <w:sz w:val="24"/>
          <w:szCs w:val="24"/>
        </w:rPr>
        <w:tab/>
      </w:r>
      <w:r w:rsidRPr="00A878EB">
        <w:t>Målet för politikområdet Finansiella system och tillsyn bör förändras</w:t>
      </w:r>
      <w:r w:rsidRPr="00A878EB">
        <w:tab/>
      </w:r>
      <w:r w:rsidRPr="00A878EB">
        <w:fldChar w:fldCharType="begin" w:fldLock="1"/>
      </w:r>
      <w:r w:rsidRPr="00A878EB">
        <w:instrText xml:space="preserve"> PAGEREF _Toc120848051 \h </w:instrText>
      </w:r>
      <w:r w:rsidRPr="00A878EB">
        <w:fldChar w:fldCharType="separate"/>
      </w:r>
      <w:r w:rsidRPr="00A878EB">
        <w:t>6</w:t>
      </w:r>
      <w:r w:rsidRPr="00A878EB">
        <w:fldChar w:fldCharType="end"/>
      </w:r>
    </w:p>
    <w:p w:rsidR="00B15E5F" w:rsidRPr="00A878EB" w:rsidRDefault="00B15E5F" w:rsidP="00B15E5F">
      <w:pPr>
        <w:pStyle w:val="Innehll1"/>
        <w:tabs>
          <w:tab w:val="left" w:pos="285"/>
        </w:tabs>
      </w:pPr>
      <w:r w:rsidRPr="00A878EB">
        <w:t>6</w:t>
      </w:r>
      <w:r w:rsidRPr="00A878EB">
        <w:rPr>
          <w:sz w:val="24"/>
          <w:szCs w:val="24"/>
        </w:rPr>
        <w:tab/>
      </w:r>
      <w:r w:rsidRPr="00A878EB">
        <w:t>Politikområdena</w:t>
      </w:r>
      <w:r w:rsidRPr="00A878EB">
        <w:tab/>
      </w:r>
      <w:r w:rsidRPr="00A878EB">
        <w:fldChar w:fldCharType="begin" w:fldLock="1"/>
      </w:r>
      <w:r w:rsidRPr="00A878EB">
        <w:instrText xml:space="preserve"> PAGEREF _Toc120848052 \h </w:instrText>
      </w:r>
      <w:r w:rsidRPr="00A878EB">
        <w:fldChar w:fldCharType="separate"/>
      </w:r>
      <w:r w:rsidRPr="00A878EB">
        <w:t>7</w:t>
      </w:r>
      <w:r w:rsidRPr="00A878EB">
        <w:fldChar w:fldCharType="end"/>
      </w:r>
    </w:p>
    <w:p w:rsidR="00B15E5F" w:rsidRPr="00A878EB" w:rsidRDefault="00B15E5F" w:rsidP="00B15E5F">
      <w:pPr>
        <w:pStyle w:val="Innehll1"/>
        <w:tabs>
          <w:tab w:val="left" w:pos="285"/>
        </w:tabs>
        <w:rPr>
          <w:sz w:val="24"/>
          <w:szCs w:val="24"/>
        </w:rPr>
      </w:pPr>
      <w:r w:rsidRPr="00A878EB">
        <w:t>7</w:t>
      </w:r>
      <w:r w:rsidRPr="00A878EB">
        <w:tab/>
        <w:t>Anslagen</w:t>
      </w:r>
      <w:r w:rsidRPr="00A878EB">
        <w:tab/>
      </w:r>
      <w:r w:rsidRPr="00A878EB">
        <w:fldChar w:fldCharType="begin" w:fldLock="1"/>
      </w:r>
      <w:r w:rsidRPr="00A878EB">
        <w:instrText xml:space="preserve"> PAGEREF _Toc120848053 \h </w:instrText>
      </w:r>
      <w:r w:rsidRPr="00A878EB">
        <w:fldChar w:fldCharType="separate"/>
      </w:r>
      <w:r w:rsidRPr="00A878EB">
        <w:t>7</w:t>
      </w:r>
      <w:r w:rsidRPr="00A878EB">
        <w:fldChar w:fldCharType="end"/>
      </w:r>
    </w:p>
    <w:p w:rsidR="00B15E5F" w:rsidRPr="00A878EB" w:rsidRDefault="00B15E5F">
      <w:pPr>
        <w:pStyle w:val="Innehll2"/>
        <w:tabs>
          <w:tab w:val="left" w:pos="960"/>
        </w:tabs>
        <w:rPr>
          <w:sz w:val="24"/>
          <w:szCs w:val="24"/>
        </w:rPr>
      </w:pPr>
      <w:r w:rsidRPr="00A878EB">
        <w:t>7.1</w:t>
      </w:r>
      <w:r w:rsidRPr="00A878EB">
        <w:rPr>
          <w:sz w:val="24"/>
          <w:szCs w:val="24"/>
        </w:rPr>
        <w:tab/>
      </w:r>
      <w:r w:rsidRPr="00A878EB">
        <w:t>Effektivisering och utveckling av statlig verksamhet</w:t>
      </w:r>
      <w:r w:rsidRPr="00A878EB">
        <w:tab/>
      </w:r>
      <w:r w:rsidRPr="00A878EB">
        <w:fldChar w:fldCharType="begin" w:fldLock="1"/>
      </w:r>
      <w:r w:rsidRPr="00A878EB">
        <w:instrText xml:space="preserve"> PAGEREF _Toc120848054 \h </w:instrText>
      </w:r>
      <w:r w:rsidRPr="00A878EB">
        <w:fldChar w:fldCharType="separate"/>
      </w:r>
      <w:r w:rsidRPr="00A878EB">
        <w:t>8</w:t>
      </w:r>
      <w:r w:rsidRPr="00A878EB">
        <w:fldChar w:fldCharType="end"/>
      </w:r>
    </w:p>
    <w:p w:rsidR="00B15E5F" w:rsidRPr="00A878EB" w:rsidRDefault="00B15E5F">
      <w:pPr>
        <w:pStyle w:val="Innehll3"/>
        <w:rPr>
          <w:sz w:val="24"/>
          <w:szCs w:val="24"/>
        </w:rPr>
      </w:pPr>
      <w:r w:rsidRPr="00A878EB">
        <w:t>Anslag 1:3 Statskontoret</w:t>
      </w:r>
      <w:r w:rsidRPr="00A878EB">
        <w:tab/>
      </w:r>
      <w:r w:rsidRPr="00A878EB">
        <w:fldChar w:fldCharType="begin" w:fldLock="1"/>
      </w:r>
      <w:r w:rsidRPr="00A878EB">
        <w:instrText xml:space="preserve"> PAGEREF _Toc120848055 \h </w:instrText>
      </w:r>
      <w:r w:rsidRPr="00A878EB">
        <w:fldChar w:fldCharType="separate"/>
      </w:r>
      <w:r w:rsidRPr="00A878EB">
        <w:t>8</w:t>
      </w:r>
      <w:r w:rsidRPr="00A878EB">
        <w:fldChar w:fldCharType="end"/>
      </w:r>
    </w:p>
    <w:p w:rsidR="00B15E5F" w:rsidRPr="00A878EB" w:rsidRDefault="00B15E5F">
      <w:pPr>
        <w:pStyle w:val="Innehll3"/>
        <w:rPr>
          <w:sz w:val="24"/>
          <w:szCs w:val="24"/>
        </w:rPr>
      </w:pPr>
      <w:r w:rsidRPr="00A878EB">
        <w:t>Anslag 1:5 Statistiska centralbyrån (SCB)</w:t>
      </w:r>
      <w:r w:rsidRPr="00A878EB">
        <w:tab/>
      </w:r>
      <w:r w:rsidRPr="00A878EB">
        <w:fldChar w:fldCharType="begin" w:fldLock="1"/>
      </w:r>
      <w:r w:rsidRPr="00A878EB">
        <w:instrText xml:space="preserve"> PAGEREF _Toc120848056 \h </w:instrText>
      </w:r>
      <w:r w:rsidRPr="00A878EB">
        <w:fldChar w:fldCharType="separate"/>
      </w:r>
      <w:r w:rsidRPr="00A878EB">
        <w:t>9</w:t>
      </w:r>
      <w:r w:rsidRPr="00A878EB">
        <w:fldChar w:fldCharType="end"/>
      </w:r>
    </w:p>
    <w:p w:rsidR="00B15E5F" w:rsidRPr="00A878EB" w:rsidRDefault="00B15E5F">
      <w:pPr>
        <w:pStyle w:val="Innehll3"/>
        <w:rPr>
          <w:sz w:val="24"/>
          <w:szCs w:val="24"/>
        </w:rPr>
      </w:pPr>
      <w:r w:rsidRPr="00A878EB">
        <w:t>Anslag 1:6 Kammarkollegiet</w:t>
      </w:r>
      <w:r w:rsidRPr="00A878EB">
        <w:tab/>
      </w:r>
      <w:r w:rsidRPr="00A878EB">
        <w:fldChar w:fldCharType="begin" w:fldLock="1"/>
      </w:r>
      <w:r w:rsidRPr="00A878EB">
        <w:instrText xml:space="preserve"> PAGEREF _Toc120848057 \h </w:instrText>
      </w:r>
      <w:r w:rsidRPr="00A878EB">
        <w:fldChar w:fldCharType="separate"/>
      </w:r>
      <w:r w:rsidRPr="00A878EB">
        <w:t>10</w:t>
      </w:r>
      <w:r w:rsidRPr="00A878EB">
        <w:fldChar w:fldCharType="end"/>
      </w:r>
    </w:p>
    <w:p w:rsidR="00B15E5F" w:rsidRPr="00A878EB" w:rsidRDefault="00B15E5F">
      <w:pPr>
        <w:pStyle w:val="Innehll3"/>
        <w:rPr>
          <w:sz w:val="24"/>
          <w:szCs w:val="24"/>
        </w:rPr>
      </w:pPr>
      <w:r w:rsidRPr="00A878EB">
        <w:t>Anslag 1:7 Nämnden för offentlig upphandling</w:t>
      </w:r>
      <w:r w:rsidRPr="00A878EB">
        <w:tab/>
      </w:r>
      <w:r w:rsidRPr="00A878EB">
        <w:fldChar w:fldCharType="begin" w:fldLock="1"/>
      </w:r>
      <w:r w:rsidRPr="00A878EB">
        <w:instrText xml:space="preserve"> PAGEREF _Toc120848058 \h </w:instrText>
      </w:r>
      <w:r w:rsidRPr="00A878EB">
        <w:fldChar w:fldCharType="separate"/>
      </w:r>
      <w:r w:rsidRPr="00A878EB">
        <w:t>10</w:t>
      </w:r>
      <w:r w:rsidRPr="00A878EB">
        <w:fldChar w:fldCharType="end"/>
      </w:r>
    </w:p>
    <w:p w:rsidR="00B15E5F" w:rsidRPr="00A878EB" w:rsidRDefault="00B15E5F">
      <w:pPr>
        <w:pStyle w:val="Innehll3"/>
        <w:rPr>
          <w:sz w:val="24"/>
          <w:szCs w:val="24"/>
        </w:rPr>
      </w:pPr>
      <w:r w:rsidRPr="00A878EB">
        <w:t>Anslag 1:9 Ekonomiska rådet</w:t>
      </w:r>
      <w:r w:rsidRPr="00A878EB">
        <w:tab/>
      </w:r>
      <w:r w:rsidRPr="00A878EB">
        <w:fldChar w:fldCharType="begin" w:fldLock="1"/>
      </w:r>
      <w:r w:rsidRPr="00A878EB">
        <w:instrText xml:space="preserve"> PAGEREF _Toc120848059 \h </w:instrText>
      </w:r>
      <w:r w:rsidRPr="00A878EB">
        <w:fldChar w:fldCharType="separate"/>
      </w:r>
      <w:r w:rsidRPr="00A878EB">
        <w:t>11</w:t>
      </w:r>
      <w:r w:rsidRPr="00A878EB">
        <w:fldChar w:fldCharType="end"/>
      </w:r>
    </w:p>
    <w:p w:rsidR="00B15E5F" w:rsidRPr="00A878EB" w:rsidRDefault="00B15E5F" w:rsidP="00B15E5F">
      <w:pPr>
        <w:pStyle w:val="Innehll1"/>
        <w:tabs>
          <w:tab w:val="left" w:pos="285"/>
        </w:tabs>
        <w:rPr>
          <w:sz w:val="24"/>
          <w:szCs w:val="24"/>
        </w:rPr>
      </w:pPr>
      <w:r w:rsidRPr="00A878EB">
        <w:t>7.2</w:t>
      </w:r>
      <w:r w:rsidRPr="00A878EB">
        <w:rPr>
          <w:sz w:val="24"/>
          <w:szCs w:val="24"/>
        </w:rPr>
        <w:tab/>
      </w:r>
      <w:r w:rsidRPr="00A878EB">
        <w:t>Det finansiella systemet</w:t>
      </w:r>
      <w:r w:rsidRPr="00A878EB">
        <w:tab/>
      </w:r>
      <w:r w:rsidRPr="00A878EB">
        <w:fldChar w:fldCharType="begin" w:fldLock="1"/>
      </w:r>
      <w:r w:rsidRPr="00A878EB">
        <w:instrText xml:space="preserve"> PAGEREF _Toc120848060 \h </w:instrText>
      </w:r>
      <w:r w:rsidRPr="00A878EB">
        <w:fldChar w:fldCharType="separate"/>
      </w:r>
      <w:r w:rsidRPr="00A878EB">
        <w:t>11</w:t>
      </w:r>
      <w:r w:rsidRPr="00A878EB">
        <w:fldChar w:fldCharType="end"/>
      </w:r>
    </w:p>
    <w:p w:rsidR="00B15E5F" w:rsidRPr="00A878EB" w:rsidRDefault="00B15E5F">
      <w:pPr>
        <w:pStyle w:val="Innehll3"/>
        <w:rPr>
          <w:sz w:val="24"/>
          <w:szCs w:val="24"/>
        </w:rPr>
      </w:pPr>
      <w:r w:rsidRPr="00A878EB">
        <w:t>Anslag 2:1 Finansinspektionen</w:t>
      </w:r>
      <w:r w:rsidRPr="00A878EB">
        <w:tab/>
      </w:r>
      <w:r w:rsidRPr="00A878EB">
        <w:fldChar w:fldCharType="begin" w:fldLock="1"/>
      </w:r>
      <w:r w:rsidRPr="00A878EB">
        <w:instrText xml:space="preserve"> PAGEREF _Toc120848061 \h </w:instrText>
      </w:r>
      <w:r w:rsidRPr="00A878EB">
        <w:fldChar w:fldCharType="separate"/>
      </w:r>
      <w:r w:rsidRPr="00A878EB">
        <w:t>11</w:t>
      </w:r>
      <w:r w:rsidRPr="00A878EB">
        <w:fldChar w:fldCharType="end"/>
      </w:r>
    </w:p>
    <w:p w:rsidR="00B15E5F" w:rsidRPr="00A878EB" w:rsidRDefault="00B15E5F">
      <w:pPr>
        <w:pStyle w:val="Innehll3"/>
        <w:rPr>
          <w:sz w:val="24"/>
          <w:szCs w:val="24"/>
        </w:rPr>
      </w:pPr>
      <w:r w:rsidRPr="00A878EB">
        <w:t>Anslag 2:3 Riksgäldskontoret: Förvaltningskostnader</w:t>
      </w:r>
      <w:r w:rsidRPr="00A878EB">
        <w:tab/>
      </w:r>
      <w:r w:rsidRPr="00A878EB">
        <w:fldChar w:fldCharType="begin" w:fldLock="1"/>
      </w:r>
      <w:r w:rsidRPr="00A878EB">
        <w:instrText xml:space="preserve"> PAGEREF _Toc120848062 \h </w:instrText>
      </w:r>
      <w:r w:rsidRPr="00A878EB">
        <w:fldChar w:fldCharType="separate"/>
      </w:r>
      <w:r w:rsidRPr="00A878EB">
        <w:t>13</w:t>
      </w:r>
      <w:r w:rsidRPr="00A878EB">
        <w:fldChar w:fldCharType="end"/>
      </w:r>
    </w:p>
    <w:p w:rsidR="00B15E5F" w:rsidRPr="00A878EB" w:rsidRDefault="00B15E5F" w:rsidP="00B15E5F">
      <w:pPr>
        <w:pStyle w:val="Innehll1"/>
        <w:tabs>
          <w:tab w:val="left" w:pos="285"/>
        </w:tabs>
        <w:rPr>
          <w:sz w:val="24"/>
          <w:szCs w:val="24"/>
        </w:rPr>
      </w:pPr>
      <w:r w:rsidRPr="00A878EB">
        <w:t>7.3</w:t>
      </w:r>
      <w:r w:rsidRPr="00A878EB">
        <w:rPr>
          <w:sz w:val="24"/>
          <w:szCs w:val="24"/>
        </w:rPr>
        <w:tab/>
      </w:r>
      <w:r w:rsidRPr="00A878EB">
        <w:t>Anslag som inte tillhör något politikområde</w:t>
      </w:r>
      <w:r w:rsidRPr="00A878EB">
        <w:tab/>
      </w:r>
      <w:r w:rsidRPr="00A878EB">
        <w:fldChar w:fldCharType="begin" w:fldLock="1"/>
      </w:r>
      <w:r w:rsidRPr="00A878EB">
        <w:instrText xml:space="preserve"> PAGEREF _Toc120848063 \h </w:instrText>
      </w:r>
      <w:r w:rsidRPr="00A878EB">
        <w:fldChar w:fldCharType="separate"/>
      </w:r>
      <w:r w:rsidRPr="00A878EB">
        <w:t>13</w:t>
      </w:r>
      <w:r w:rsidRPr="00A878EB">
        <w:fldChar w:fldCharType="end"/>
      </w:r>
    </w:p>
    <w:p w:rsidR="00B15E5F" w:rsidRPr="00A878EB" w:rsidRDefault="00B15E5F">
      <w:pPr>
        <w:pStyle w:val="Innehll3"/>
        <w:rPr>
          <w:sz w:val="24"/>
          <w:szCs w:val="24"/>
        </w:rPr>
      </w:pPr>
      <w:r w:rsidRPr="00A878EB">
        <w:t>Anslag 90:1 Riksrevisionen</w:t>
      </w:r>
      <w:r w:rsidRPr="00A878EB">
        <w:tab/>
      </w:r>
      <w:r w:rsidRPr="00A878EB">
        <w:fldChar w:fldCharType="begin" w:fldLock="1"/>
      </w:r>
      <w:r w:rsidRPr="00A878EB">
        <w:instrText xml:space="preserve"> PAGEREF _Toc120848064 \h </w:instrText>
      </w:r>
      <w:r w:rsidRPr="00A878EB">
        <w:fldChar w:fldCharType="separate"/>
      </w:r>
      <w:r w:rsidRPr="00A878EB">
        <w:t>13</w:t>
      </w:r>
      <w:r w:rsidRPr="00A878EB">
        <w:fldChar w:fldCharType="end"/>
      </w:r>
    </w:p>
    <w:p w:rsidR="00B15E5F" w:rsidRPr="00A878EB" w:rsidRDefault="00B15E5F">
      <w:pPr>
        <w:pStyle w:val="Innehll3"/>
        <w:rPr>
          <w:sz w:val="24"/>
          <w:szCs w:val="24"/>
        </w:rPr>
      </w:pPr>
      <w:r w:rsidRPr="00A878EB">
        <w:t>Anslag 90:2 Försöksverksamhet med trängselskatt i Stockholm</w:t>
      </w:r>
      <w:r w:rsidRPr="00A878EB">
        <w:tab/>
      </w:r>
      <w:r w:rsidRPr="00A878EB">
        <w:fldChar w:fldCharType="begin" w:fldLock="1"/>
      </w:r>
      <w:r w:rsidRPr="00A878EB">
        <w:instrText xml:space="preserve"> PAGEREF _Toc120848065 \h </w:instrText>
      </w:r>
      <w:r w:rsidRPr="00A878EB">
        <w:fldChar w:fldCharType="separate"/>
      </w:r>
      <w:r w:rsidRPr="00A878EB">
        <w:t>14</w:t>
      </w:r>
      <w:r w:rsidRPr="00A878EB">
        <w:fldChar w:fldCharType="end"/>
      </w:r>
    </w:p>
    <w:p w:rsidR="001E7666" w:rsidRPr="00A878EB" w:rsidRDefault="001E7666" w:rsidP="00F32086">
      <w:pPr>
        <w:pStyle w:val="Hemstlrubrik"/>
        <w:pageBreakBefore/>
        <w:spacing w:before="0"/>
      </w:pPr>
      <w:r w:rsidRPr="00A878EB">
        <w:fldChar w:fldCharType="end"/>
      </w:r>
      <w:bookmarkStart w:id="4" w:name="_Toc83915233"/>
      <w:bookmarkStart w:id="5" w:name="_Toc120848045"/>
      <w:r w:rsidRPr="00A878EB">
        <w:t>Förslag till riksdagsbeslut</w:t>
      </w:r>
      <w:bookmarkEnd w:id="4"/>
      <w:bookmarkEnd w:id="5"/>
    </w:p>
    <w:p w:rsidR="001E7666" w:rsidRPr="00A878EB" w:rsidRDefault="001E7666" w:rsidP="001E7666">
      <w:pPr>
        <w:pStyle w:val="Hemstlatt"/>
      </w:pPr>
      <w:r w:rsidRPr="00A878EB">
        <w:t>Riksdagen beslutar om mål för politikområdet Finansiella system och tillsyn i enlighet med vad som anförs i motionen</w:t>
      </w:r>
      <w:r w:rsidR="00DA27C7" w:rsidRPr="00A878EB">
        <w:t xml:space="preserve">s </w:t>
      </w:r>
      <w:r w:rsidRPr="00A878EB">
        <w:t>avsnitt 5.4.</w:t>
      </w:r>
    </w:p>
    <w:p w:rsidR="001E7666" w:rsidRPr="00A878EB" w:rsidRDefault="001E7666" w:rsidP="001E7666">
      <w:pPr>
        <w:pStyle w:val="Hemstlatt"/>
      </w:pPr>
      <w:r w:rsidRPr="00A878EB">
        <w:t>Riksdagen begär att regeringen lägger fram förslag till ändring av Finan</w:t>
      </w:r>
      <w:r w:rsidRPr="00A878EB">
        <w:t>s</w:t>
      </w:r>
      <w:r w:rsidRPr="00A878EB">
        <w:t>inspektionens möjligheter till en effektivare finansiering av sin verksa</w:t>
      </w:r>
      <w:r w:rsidRPr="00A878EB">
        <w:t>m</w:t>
      </w:r>
      <w:r w:rsidRPr="00A878EB">
        <w:t>het, i enlighet med vad som anförs i motionen.</w:t>
      </w:r>
    </w:p>
    <w:p w:rsidR="001E7666" w:rsidRPr="00A878EB" w:rsidRDefault="001E7666" w:rsidP="001E7666">
      <w:pPr>
        <w:pStyle w:val="Hemstlatt"/>
      </w:pPr>
      <w:r w:rsidRPr="00A878EB">
        <w:t>Riksdagen tillkännager för regeringen som sin mening vad i motionen anförs om åtgärder för bättre ordning och reda på finansmarknaden.</w:t>
      </w:r>
    </w:p>
    <w:p w:rsidR="001E7666" w:rsidRPr="00A878EB" w:rsidRDefault="001E7666" w:rsidP="001E7666">
      <w:pPr>
        <w:pStyle w:val="Hemstlatt"/>
      </w:pPr>
      <w:r w:rsidRPr="00A878EB">
        <w:t>Riksdagen tillkännager för regeringen som sin mening vad i motionen anförs om att Nämnden för offentlig upphandling skall samordnas med Ko</w:t>
      </w:r>
      <w:r w:rsidRPr="00A878EB">
        <w:t>n</w:t>
      </w:r>
      <w:r w:rsidRPr="00A878EB">
        <w:t>kurrensverket, fr</w:t>
      </w:r>
      <w:r w:rsidR="00B3081F" w:rsidRPr="00A878EB">
        <w:t>.</w:t>
      </w:r>
      <w:r w:rsidRPr="00A878EB">
        <w:t>o</w:t>
      </w:r>
      <w:r w:rsidR="00B3081F" w:rsidRPr="00A878EB">
        <w:t>.</w:t>
      </w:r>
      <w:r w:rsidRPr="00A878EB">
        <w:t>m</w:t>
      </w:r>
      <w:r w:rsidR="00B3081F" w:rsidRPr="00A878EB">
        <w:t>.</w:t>
      </w:r>
      <w:r w:rsidRPr="00A878EB">
        <w:t xml:space="preserve"> </w:t>
      </w:r>
      <w:r w:rsidR="00B3081F" w:rsidRPr="00A878EB">
        <w:t xml:space="preserve">den </w:t>
      </w:r>
      <w:r w:rsidR="00DA27C7" w:rsidRPr="00A878EB">
        <w:t>1 juli</w:t>
      </w:r>
      <w:r w:rsidRPr="00A878EB">
        <w:t xml:space="preserve"> 200</w:t>
      </w:r>
      <w:r w:rsidR="00DA27C7" w:rsidRPr="00A878EB">
        <w:t>6</w:t>
      </w:r>
      <w:r w:rsidRPr="00A878EB">
        <w:t>.</w:t>
      </w:r>
    </w:p>
    <w:p w:rsidR="00387A2D" w:rsidRPr="00A878EB" w:rsidRDefault="00387A2D" w:rsidP="00387A2D">
      <w:pPr>
        <w:pStyle w:val="Hemstlatt"/>
      </w:pPr>
      <w:r w:rsidRPr="00A878EB">
        <w:t>Riksdagen tillkännager för regeringen som sin mening vad i motionen anförs om att avbryta försöket med trängselskatter i Stockholm.</w:t>
      </w:r>
    </w:p>
    <w:p w:rsidR="001E7666" w:rsidRPr="00A878EB" w:rsidRDefault="001E7666" w:rsidP="001E7666">
      <w:pPr>
        <w:pStyle w:val="Hemstlatt"/>
      </w:pPr>
      <w:r w:rsidRPr="00A878EB">
        <w:t>Riksdagen beslutar att med följande ändringar i förhållande till regerin</w:t>
      </w:r>
      <w:r w:rsidRPr="00A878EB">
        <w:t>g</w:t>
      </w:r>
      <w:r w:rsidRPr="00A878EB">
        <w:t>ens förslag för budgetåret 200</w:t>
      </w:r>
      <w:r w:rsidR="00350E37" w:rsidRPr="00A878EB">
        <w:t>6</w:t>
      </w:r>
      <w:r w:rsidRPr="00A878EB">
        <w:t xml:space="preserve"> anvisa anslagen under utgiftsområde 2 Samhällsekonomi och finansförvaltning enligt uppställning:</w:t>
      </w:r>
    </w:p>
    <w:p w:rsidR="00F32086" w:rsidRPr="00A878EB" w:rsidRDefault="00F32086" w:rsidP="00E72DCE">
      <w:pPr>
        <w:rPr>
          <w:b/>
        </w:rPr>
      </w:pPr>
      <w:r w:rsidRPr="00A878EB">
        <w:rPr>
          <w:b/>
        </w:rPr>
        <w:t>Vårt budgetförslag för UO2, skillnad mot regeringen</w:t>
      </w:r>
    </w:p>
    <w:p w:rsidR="002D66C4" w:rsidRPr="00A878EB" w:rsidRDefault="00F32086" w:rsidP="00F32086">
      <w:pPr>
        <w:spacing w:before="0"/>
      </w:pPr>
      <w:r w:rsidRPr="00A878EB">
        <w:rPr>
          <w:i/>
          <w:sz w:val="16"/>
          <w:szCs w:val="16"/>
        </w:rPr>
        <w:t>Belopp i 1000-tal kronor</w:t>
      </w:r>
    </w:p>
    <w:tbl>
      <w:tblPr>
        <w:tblStyle w:val="Enkeltabell1"/>
        <w:tblW w:w="5000" w:type="pct"/>
        <w:tblBorders>
          <w:top w:val="single" w:sz="6" w:space="0" w:color="auto"/>
          <w:bottom w:val="single" w:sz="6" w:space="0" w:color="auto"/>
        </w:tblBorders>
        <w:tblLook w:val="0000" w:firstRow="0" w:lastRow="0" w:firstColumn="0" w:lastColumn="0" w:noHBand="0" w:noVBand="0"/>
      </w:tblPr>
      <w:tblGrid>
        <w:gridCol w:w="712"/>
        <w:gridCol w:w="2745"/>
        <w:gridCol w:w="1496"/>
        <w:gridCol w:w="1000"/>
      </w:tblGrid>
      <w:tr w:rsidR="00B94A6F" w:rsidRPr="00A878EB">
        <w:trPr>
          <w:trHeight w:val="270"/>
        </w:trPr>
        <w:tc>
          <w:tcPr>
            <w:tcW w:w="535" w:type="pct"/>
            <w:tcBorders>
              <w:top w:val="single" w:sz="6" w:space="0" w:color="auto"/>
              <w:bottom w:val="single" w:sz="6" w:space="0" w:color="auto"/>
            </w:tcBorders>
            <w:noWrap/>
          </w:tcPr>
          <w:p w:rsidR="00B94A6F" w:rsidRPr="00A878EB" w:rsidRDefault="00B94A6F" w:rsidP="00F32086">
            <w:pPr>
              <w:spacing w:before="60" w:line="200" w:lineRule="exact"/>
              <w:rPr>
                <w:b/>
                <w:sz w:val="16"/>
                <w:szCs w:val="16"/>
              </w:rPr>
            </w:pPr>
            <w:r w:rsidRPr="00A878EB">
              <w:rPr>
                <w:b/>
                <w:sz w:val="16"/>
                <w:szCs w:val="16"/>
              </w:rPr>
              <w:t>Anslag</w:t>
            </w:r>
          </w:p>
        </w:tc>
        <w:tc>
          <w:tcPr>
            <w:tcW w:w="2365" w:type="pct"/>
            <w:tcBorders>
              <w:top w:val="single" w:sz="6" w:space="0" w:color="auto"/>
              <w:bottom w:val="single" w:sz="6" w:space="0" w:color="auto"/>
            </w:tcBorders>
            <w:noWrap/>
          </w:tcPr>
          <w:p w:rsidR="00B94A6F" w:rsidRPr="00A878EB" w:rsidRDefault="00B94A6F" w:rsidP="00F32086">
            <w:pPr>
              <w:spacing w:before="60" w:line="200" w:lineRule="exact"/>
              <w:rPr>
                <w:b/>
                <w:sz w:val="16"/>
                <w:szCs w:val="16"/>
              </w:rPr>
            </w:pPr>
            <w:r w:rsidRPr="00A878EB">
              <w:rPr>
                <w:b/>
                <w:sz w:val="16"/>
                <w:szCs w:val="16"/>
              </w:rPr>
              <w:t>Anslag, namn</w:t>
            </w:r>
          </w:p>
        </w:tc>
        <w:tc>
          <w:tcPr>
            <w:tcW w:w="1268" w:type="pct"/>
            <w:tcBorders>
              <w:top w:val="single" w:sz="6" w:space="0" w:color="auto"/>
              <w:bottom w:val="single" w:sz="6" w:space="0" w:color="auto"/>
            </w:tcBorders>
            <w:noWrap/>
          </w:tcPr>
          <w:p w:rsidR="00B94A6F" w:rsidRPr="00A878EB" w:rsidRDefault="00B94A6F" w:rsidP="00F32086">
            <w:pPr>
              <w:spacing w:before="60" w:line="200" w:lineRule="exact"/>
              <w:rPr>
                <w:b/>
                <w:sz w:val="16"/>
                <w:szCs w:val="16"/>
              </w:rPr>
            </w:pPr>
            <w:r w:rsidRPr="00A878EB">
              <w:rPr>
                <w:b/>
                <w:sz w:val="16"/>
                <w:szCs w:val="16"/>
              </w:rPr>
              <w:t>Regeringens förslag</w:t>
            </w:r>
          </w:p>
        </w:tc>
        <w:tc>
          <w:tcPr>
            <w:tcW w:w="832" w:type="pct"/>
            <w:tcBorders>
              <w:top w:val="single" w:sz="6" w:space="0" w:color="auto"/>
              <w:bottom w:val="single" w:sz="6" w:space="0" w:color="auto"/>
            </w:tcBorders>
            <w:noWrap/>
          </w:tcPr>
          <w:p w:rsidR="00B94A6F" w:rsidRPr="00A878EB" w:rsidRDefault="00B94A6F" w:rsidP="00F32086">
            <w:pPr>
              <w:spacing w:before="60" w:line="200" w:lineRule="exact"/>
              <w:rPr>
                <w:b/>
                <w:sz w:val="16"/>
                <w:szCs w:val="16"/>
              </w:rPr>
            </w:pPr>
            <w:r w:rsidRPr="00A878EB">
              <w:rPr>
                <w:b/>
                <w:sz w:val="16"/>
                <w:szCs w:val="16"/>
              </w:rPr>
              <w:t>Vårt förslag</w:t>
            </w:r>
          </w:p>
        </w:tc>
      </w:tr>
      <w:tr w:rsidR="00B94A6F" w:rsidRPr="00A878EB">
        <w:trPr>
          <w:trHeight w:val="255"/>
        </w:trPr>
        <w:tc>
          <w:tcPr>
            <w:tcW w:w="535" w:type="pct"/>
            <w:tcBorders>
              <w:top w:val="single" w:sz="6" w:space="0" w:color="auto"/>
            </w:tcBorders>
            <w:noWrap/>
          </w:tcPr>
          <w:p w:rsidR="00B94A6F" w:rsidRPr="00A878EB" w:rsidRDefault="00B94A6F" w:rsidP="00F32086">
            <w:pPr>
              <w:spacing w:before="60" w:line="200" w:lineRule="exact"/>
              <w:rPr>
                <w:sz w:val="16"/>
                <w:szCs w:val="16"/>
              </w:rPr>
            </w:pPr>
            <w:r w:rsidRPr="00A878EB">
              <w:rPr>
                <w:sz w:val="16"/>
                <w:szCs w:val="16"/>
              </w:rPr>
              <w:t>1:3</w:t>
            </w:r>
          </w:p>
        </w:tc>
        <w:tc>
          <w:tcPr>
            <w:tcW w:w="2365" w:type="pct"/>
            <w:tcBorders>
              <w:top w:val="single" w:sz="6" w:space="0" w:color="auto"/>
            </w:tcBorders>
            <w:noWrap/>
          </w:tcPr>
          <w:p w:rsidR="00B94A6F" w:rsidRPr="00A878EB" w:rsidRDefault="00B94A6F" w:rsidP="00F32086">
            <w:pPr>
              <w:spacing w:before="60" w:line="200" w:lineRule="exact"/>
              <w:rPr>
                <w:sz w:val="16"/>
                <w:szCs w:val="16"/>
              </w:rPr>
            </w:pPr>
            <w:r w:rsidRPr="00A878EB">
              <w:rPr>
                <w:sz w:val="16"/>
                <w:szCs w:val="16"/>
              </w:rPr>
              <w:t>Statskontoret</w:t>
            </w:r>
          </w:p>
        </w:tc>
        <w:tc>
          <w:tcPr>
            <w:tcW w:w="1268" w:type="pct"/>
            <w:tcBorders>
              <w:top w:val="single" w:sz="6" w:space="0" w:color="auto"/>
            </w:tcBorders>
            <w:noWrap/>
          </w:tcPr>
          <w:p w:rsidR="00B94A6F" w:rsidRPr="00A878EB" w:rsidRDefault="00B94A6F" w:rsidP="00E72DCE">
            <w:pPr>
              <w:spacing w:before="60" w:line="200" w:lineRule="exact"/>
              <w:jc w:val="right"/>
              <w:rPr>
                <w:sz w:val="16"/>
                <w:szCs w:val="16"/>
              </w:rPr>
            </w:pPr>
            <w:r w:rsidRPr="00A878EB">
              <w:rPr>
                <w:sz w:val="16"/>
                <w:szCs w:val="16"/>
              </w:rPr>
              <w:t>61 713</w:t>
            </w:r>
          </w:p>
        </w:tc>
        <w:tc>
          <w:tcPr>
            <w:tcW w:w="832" w:type="pct"/>
            <w:tcBorders>
              <w:top w:val="single" w:sz="6" w:space="0" w:color="auto"/>
            </w:tcBorders>
            <w:noWrap/>
          </w:tcPr>
          <w:p w:rsidR="00B94A6F" w:rsidRPr="00A878EB" w:rsidRDefault="00B3081F" w:rsidP="00E72DCE">
            <w:pPr>
              <w:spacing w:before="60" w:line="200" w:lineRule="exact"/>
              <w:jc w:val="right"/>
              <w:rPr>
                <w:sz w:val="16"/>
                <w:szCs w:val="16"/>
              </w:rPr>
            </w:pPr>
            <w:r w:rsidRPr="00A878EB">
              <w:rPr>
                <w:sz w:val="16"/>
                <w:szCs w:val="16"/>
              </w:rPr>
              <w:t>–</w:t>
            </w:r>
            <w:r w:rsidR="00B94A6F" w:rsidRPr="00A878EB">
              <w:rPr>
                <w:sz w:val="16"/>
                <w:szCs w:val="16"/>
              </w:rPr>
              <w:t>20 000</w:t>
            </w:r>
          </w:p>
        </w:tc>
      </w:tr>
      <w:tr w:rsidR="00B94A6F" w:rsidRPr="00A878EB">
        <w:trPr>
          <w:trHeight w:val="255"/>
        </w:trPr>
        <w:tc>
          <w:tcPr>
            <w:tcW w:w="535" w:type="pct"/>
            <w:noWrap/>
          </w:tcPr>
          <w:p w:rsidR="00B94A6F" w:rsidRPr="00A878EB" w:rsidRDefault="00B94A6F" w:rsidP="00F32086">
            <w:pPr>
              <w:spacing w:before="60" w:line="200" w:lineRule="exact"/>
              <w:rPr>
                <w:sz w:val="16"/>
                <w:szCs w:val="16"/>
              </w:rPr>
            </w:pPr>
            <w:r w:rsidRPr="00A878EB">
              <w:rPr>
                <w:sz w:val="16"/>
                <w:szCs w:val="16"/>
              </w:rPr>
              <w:t>1:5</w:t>
            </w:r>
          </w:p>
        </w:tc>
        <w:tc>
          <w:tcPr>
            <w:tcW w:w="2365" w:type="pct"/>
            <w:noWrap/>
          </w:tcPr>
          <w:p w:rsidR="00B94A6F" w:rsidRPr="00A878EB" w:rsidRDefault="00B94A6F" w:rsidP="00F32086">
            <w:pPr>
              <w:spacing w:before="60" w:line="200" w:lineRule="exact"/>
              <w:rPr>
                <w:sz w:val="16"/>
                <w:szCs w:val="16"/>
              </w:rPr>
            </w:pPr>
            <w:r w:rsidRPr="00A878EB">
              <w:rPr>
                <w:sz w:val="16"/>
                <w:szCs w:val="16"/>
              </w:rPr>
              <w:t>Statistiska centralbyrån</w:t>
            </w:r>
          </w:p>
        </w:tc>
        <w:tc>
          <w:tcPr>
            <w:tcW w:w="1268" w:type="pct"/>
            <w:noWrap/>
          </w:tcPr>
          <w:p w:rsidR="00B94A6F" w:rsidRPr="00A878EB" w:rsidRDefault="00B94A6F" w:rsidP="00E72DCE">
            <w:pPr>
              <w:spacing w:before="60" w:line="200" w:lineRule="exact"/>
              <w:jc w:val="right"/>
              <w:rPr>
                <w:sz w:val="16"/>
                <w:szCs w:val="16"/>
              </w:rPr>
            </w:pPr>
            <w:r w:rsidRPr="00A878EB">
              <w:rPr>
                <w:sz w:val="16"/>
                <w:szCs w:val="16"/>
              </w:rPr>
              <w:t>444 330</w:t>
            </w:r>
          </w:p>
        </w:tc>
        <w:tc>
          <w:tcPr>
            <w:tcW w:w="832" w:type="pct"/>
            <w:noWrap/>
          </w:tcPr>
          <w:p w:rsidR="00B94A6F" w:rsidRPr="00A878EB" w:rsidRDefault="00B3081F" w:rsidP="00E72DCE">
            <w:pPr>
              <w:spacing w:before="60" w:line="200" w:lineRule="exact"/>
              <w:jc w:val="right"/>
              <w:rPr>
                <w:sz w:val="16"/>
                <w:szCs w:val="16"/>
              </w:rPr>
            </w:pPr>
            <w:r w:rsidRPr="00A878EB">
              <w:rPr>
                <w:sz w:val="16"/>
                <w:szCs w:val="16"/>
              </w:rPr>
              <w:t>–</w:t>
            </w:r>
            <w:r w:rsidR="00B94A6F" w:rsidRPr="00A878EB">
              <w:rPr>
                <w:sz w:val="16"/>
                <w:szCs w:val="16"/>
              </w:rPr>
              <w:t>40 000</w:t>
            </w:r>
          </w:p>
        </w:tc>
      </w:tr>
      <w:tr w:rsidR="00B94A6F" w:rsidRPr="00A878EB">
        <w:trPr>
          <w:trHeight w:val="255"/>
        </w:trPr>
        <w:tc>
          <w:tcPr>
            <w:tcW w:w="535" w:type="pct"/>
            <w:noWrap/>
          </w:tcPr>
          <w:p w:rsidR="00B94A6F" w:rsidRPr="00A878EB" w:rsidRDefault="00B94A6F" w:rsidP="00F32086">
            <w:pPr>
              <w:spacing w:before="60" w:line="200" w:lineRule="exact"/>
              <w:rPr>
                <w:sz w:val="16"/>
                <w:szCs w:val="16"/>
              </w:rPr>
            </w:pPr>
            <w:r w:rsidRPr="00A878EB">
              <w:rPr>
                <w:sz w:val="16"/>
                <w:szCs w:val="16"/>
              </w:rPr>
              <w:t>1:6</w:t>
            </w:r>
          </w:p>
        </w:tc>
        <w:tc>
          <w:tcPr>
            <w:tcW w:w="2365" w:type="pct"/>
            <w:noWrap/>
          </w:tcPr>
          <w:p w:rsidR="00B94A6F" w:rsidRPr="00A878EB" w:rsidRDefault="00B94A6F" w:rsidP="00F32086">
            <w:pPr>
              <w:spacing w:before="60" w:line="200" w:lineRule="exact"/>
              <w:rPr>
                <w:sz w:val="16"/>
                <w:szCs w:val="16"/>
              </w:rPr>
            </w:pPr>
            <w:r w:rsidRPr="00A878EB">
              <w:rPr>
                <w:sz w:val="16"/>
                <w:szCs w:val="16"/>
              </w:rPr>
              <w:t>Kammarkollegiet</w:t>
            </w:r>
          </w:p>
        </w:tc>
        <w:tc>
          <w:tcPr>
            <w:tcW w:w="1268" w:type="pct"/>
            <w:noWrap/>
          </w:tcPr>
          <w:p w:rsidR="00B94A6F" w:rsidRPr="00A878EB" w:rsidRDefault="00B94A6F" w:rsidP="00E72DCE">
            <w:pPr>
              <w:spacing w:before="60" w:line="200" w:lineRule="exact"/>
              <w:jc w:val="right"/>
              <w:rPr>
                <w:sz w:val="16"/>
                <w:szCs w:val="16"/>
              </w:rPr>
            </w:pPr>
            <w:r w:rsidRPr="00A878EB">
              <w:rPr>
                <w:sz w:val="16"/>
                <w:szCs w:val="16"/>
              </w:rPr>
              <w:t>31 239</w:t>
            </w:r>
          </w:p>
        </w:tc>
        <w:tc>
          <w:tcPr>
            <w:tcW w:w="832" w:type="pct"/>
            <w:noWrap/>
          </w:tcPr>
          <w:p w:rsidR="00B94A6F" w:rsidRPr="00A878EB" w:rsidRDefault="00B3081F" w:rsidP="00E72DCE">
            <w:pPr>
              <w:spacing w:before="60" w:line="200" w:lineRule="exact"/>
              <w:jc w:val="right"/>
              <w:rPr>
                <w:sz w:val="16"/>
                <w:szCs w:val="16"/>
              </w:rPr>
            </w:pPr>
            <w:r w:rsidRPr="00A878EB">
              <w:rPr>
                <w:sz w:val="16"/>
                <w:szCs w:val="16"/>
              </w:rPr>
              <w:t>–</w:t>
            </w:r>
            <w:r w:rsidR="00B94A6F" w:rsidRPr="00A878EB">
              <w:rPr>
                <w:sz w:val="16"/>
                <w:szCs w:val="16"/>
              </w:rPr>
              <w:t>8 000</w:t>
            </w:r>
          </w:p>
        </w:tc>
      </w:tr>
      <w:tr w:rsidR="00B94A6F" w:rsidRPr="00A878EB">
        <w:trPr>
          <w:trHeight w:val="255"/>
        </w:trPr>
        <w:tc>
          <w:tcPr>
            <w:tcW w:w="535" w:type="pct"/>
            <w:noWrap/>
          </w:tcPr>
          <w:p w:rsidR="00B94A6F" w:rsidRPr="00A878EB" w:rsidRDefault="00B94A6F" w:rsidP="00F32086">
            <w:pPr>
              <w:spacing w:before="60" w:line="200" w:lineRule="exact"/>
              <w:rPr>
                <w:sz w:val="16"/>
                <w:szCs w:val="16"/>
              </w:rPr>
            </w:pPr>
            <w:r w:rsidRPr="00A878EB">
              <w:rPr>
                <w:sz w:val="16"/>
                <w:szCs w:val="16"/>
              </w:rPr>
              <w:t>1:7</w:t>
            </w:r>
          </w:p>
        </w:tc>
        <w:tc>
          <w:tcPr>
            <w:tcW w:w="2365" w:type="pct"/>
            <w:noWrap/>
          </w:tcPr>
          <w:p w:rsidR="00B94A6F" w:rsidRPr="00A878EB" w:rsidRDefault="00B94A6F" w:rsidP="00F32086">
            <w:pPr>
              <w:spacing w:before="60" w:line="200" w:lineRule="exact"/>
              <w:rPr>
                <w:sz w:val="16"/>
                <w:szCs w:val="16"/>
              </w:rPr>
            </w:pPr>
            <w:r w:rsidRPr="00A878EB">
              <w:rPr>
                <w:sz w:val="16"/>
                <w:szCs w:val="16"/>
              </w:rPr>
              <w:t>Nämnden för offentlig upphandling</w:t>
            </w:r>
            <w:r w:rsidRPr="00A878EB">
              <w:rPr>
                <w:sz w:val="16"/>
                <w:szCs w:val="16"/>
                <w:vertAlign w:val="superscript"/>
              </w:rPr>
              <w:t>1</w:t>
            </w:r>
          </w:p>
        </w:tc>
        <w:tc>
          <w:tcPr>
            <w:tcW w:w="1268" w:type="pct"/>
            <w:noWrap/>
          </w:tcPr>
          <w:p w:rsidR="00B94A6F" w:rsidRPr="00A878EB" w:rsidRDefault="00B94A6F" w:rsidP="00E72DCE">
            <w:pPr>
              <w:spacing w:before="60" w:line="200" w:lineRule="exact"/>
              <w:jc w:val="right"/>
              <w:rPr>
                <w:sz w:val="16"/>
                <w:szCs w:val="16"/>
              </w:rPr>
            </w:pPr>
            <w:r w:rsidRPr="00A878EB">
              <w:rPr>
                <w:sz w:val="16"/>
                <w:szCs w:val="16"/>
              </w:rPr>
              <w:t>8 171</w:t>
            </w:r>
          </w:p>
        </w:tc>
        <w:tc>
          <w:tcPr>
            <w:tcW w:w="832" w:type="pct"/>
            <w:noWrap/>
          </w:tcPr>
          <w:p w:rsidR="00B94A6F" w:rsidRPr="00A878EB" w:rsidRDefault="00B3081F" w:rsidP="00E72DCE">
            <w:pPr>
              <w:spacing w:before="60" w:line="200" w:lineRule="exact"/>
              <w:jc w:val="right"/>
              <w:rPr>
                <w:sz w:val="16"/>
                <w:szCs w:val="16"/>
              </w:rPr>
            </w:pPr>
            <w:r w:rsidRPr="00A878EB">
              <w:rPr>
                <w:sz w:val="16"/>
                <w:szCs w:val="16"/>
              </w:rPr>
              <w:t>–</w:t>
            </w:r>
            <w:r w:rsidR="00B94A6F" w:rsidRPr="00A878EB">
              <w:rPr>
                <w:sz w:val="16"/>
                <w:szCs w:val="16"/>
              </w:rPr>
              <w:t>4 000</w:t>
            </w:r>
          </w:p>
        </w:tc>
      </w:tr>
      <w:tr w:rsidR="00B94A6F" w:rsidRPr="00A878EB">
        <w:trPr>
          <w:trHeight w:val="255"/>
        </w:trPr>
        <w:tc>
          <w:tcPr>
            <w:tcW w:w="535" w:type="pct"/>
            <w:noWrap/>
          </w:tcPr>
          <w:p w:rsidR="00B94A6F" w:rsidRPr="00A878EB" w:rsidRDefault="00B94A6F" w:rsidP="00F32086">
            <w:pPr>
              <w:spacing w:before="60" w:line="200" w:lineRule="exact"/>
              <w:rPr>
                <w:sz w:val="16"/>
                <w:szCs w:val="16"/>
              </w:rPr>
            </w:pPr>
            <w:r w:rsidRPr="00A878EB">
              <w:rPr>
                <w:sz w:val="16"/>
                <w:szCs w:val="16"/>
              </w:rPr>
              <w:t>1:8</w:t>
            </w:r>
          </w:p>
        </w:tc>
        <w:tc>
          <w:tcPr>
            <w:tcW w:w="2365" w:type="pct"/>
            <w:noWrap/>
          </w:tcPr>
          <w:p w:rsidR="00B94A6F" w:rsidRPr="00A878EB" w:rsidRDefault="00B94A6F" w:rsidP="00F32086">
            <w:pPr>
              <w:spacing w:before="60" w:line="200" w:lineRule="exact"/>
              <w:rPr>
                <w:sz w:val="16"/>
                <w:szCs w:val="16"/>
              </w:rPr>
            </w:pPr>
            <w:r w:rsidRPr="00A878EB">
              <w:rPr>
                <w:sz w:val="16"/>
                <w:szCs w:val="16"/>
              </w:rPr>
              <w:t>Nya förvaltningsmyndigheten</w:t>
            </w:r>
          </w:p>
        </w:tc>
        <w:tc>
          <w:tcPr>
            <w:tcW w:w="1268" w:type="pct"/>
            <w:noWrap/>
          </w:tcPr>
          <w:p w:rsidR="00B94A6F" w:rsidRPr="00A878EB" w:rsidRDefault="00B94A6F" w:rsidP="00E72DCE">
            <w:pPr>
              <w:spacing w:before="60" w:line="200" w:lineRule="exact"/>
              <w:jc w:val="right"/>
              <w:rPr>
                <w:sz w:val="16"/>
                <w:szCs w:val="16"/>
              </w:rPr>
            </w:pPr>
            <w:r w:rsidRPr="00A878EB">
              <w:rPr>
                <w:sz w:val="16"/>
                <w:szCs w:val="16"/>
              </w:rPr>
              <w:t>47 137</w:t>
            </w:r>
          </w:p>
        </w:tc>
        <w:tc>
          <w:tcPr>
            <w:tcW w:w="832" w:type="pct"/>
            <w:noWrap/>
          </w:tcPr>
          <w:p w:rsidR="00B94A6F" w:rsidRPr="00A878EB" w:rsidRDefault="00B3081F" w:rsidP="00E72DCE">
            <w:pPr>
              <w:spacing w:before="60" w:line="200" w:lineRule="exact"/>
              <w:jc w:val="right"/>
              <w:rPr>
                <w:sz w:val="16"/>
                <w:szCs w:val="16"/>
              </w:rPr>
            </w:pPr>
            <w:r w:rsidRPr="00A878EB">
              <w:rPr>
                <w:sz w:val="16"/>
                <w:szCs w:val="16"/>
              </w:rPr>
              <w:t>–</w:t>
            </w:r>
            <w:r w:rsidR="00B94A6F" w:rsidRPr="00A878EB">
              <w:rPr>
                <w:sz w:val="16"/>
                <w:szCs w:val="16"/>
              </w:rPr>
              <w:t>47 137</w:t>
            </w:r>
          </w:p>
        </w:tc>
      </w:tr>
      <w:tr w:rsidR="00B94A6F" w:rsidRPr="00A878EB">
        <w:trPr>
          <w:trHeight w:val="255"/>
        </w:trPr>
        <w:tc>
          <w:tcPr>
            <w:tcW w:w="535" w:type="pct"/>
            <w:noWrap/>
          </w:tcPr>
          <w:p w:rsidR="00B94A6F" w:rsidRPr="00A878EB" w:rsidRDefault="00B94A6F" w:rsidP="00F32086">
            <w:pPr>
              <w:spacing w:before="60" w:line="200" w:lineRule="exact"/>
              <w:rPr>
                <w:sz w:val="16"/>
                <w:szCs w:val="16"/>
              </w:rPr>
            </w:pPr>
            <w:r w:rsidRPr="00A878EB">
              <w:rPr>
                <w:sz w:val="16"/>
                <w:szCs w:val="16"/>
              </w:rPr>
              <w:t>1:9</w:t>
            </w:r>
          </w:p>
        </w:tc>
        <w:tc>
          <w:tcPr>
            <w:tcW w:w="2365" w:type="pct"/>
            <w:noWrap/>
          </w:tcPr>
          <w:p w:rsidR="00B94A6F" w:rsidRPr="00A878EB" w:rsidRDefault="00B94A6F" w:rsidP="00F32086">
            <w:pPr>
              <w:spacing w:before="60" w:line="200" w:lineRule="exact"/>
              <w:rPr>
                <w:sz w:val="16"/>
                <w:szCs w:val="16"/>
              </w:rPr>
            </w:pPr>
            <w:r w:rsidRPr="00A878EB">
              <w:rPr>
                <w:sz w:val="16"/>
                <w:szCs w:val="16"/>
              </w:rPr>
              <w:t>Ekonomiska rådet</w:t>
            </w:r>
          </w:p>
        </w:tc>
        <w:tc>
          <w:tcPr>
            <w:tcW w:w="1268" w:type="pct"/>
            <w:noWrap/>
          </w:tcPr>
          <w:p w:rsidR="00B94A6F" w:rsidRPr="00A878EB" w:rsidRDefault="00B94A6F" w:rsidP="00E72DCE">
            <w:pPr>
              <w:spacing w:before="60" w:line="200" w:lineRule="exact"/>
              <w:jc w:val="right"/>
              <w:rPr>
                <w:sz w:val="16"/>
                <w:szCs w:val="16"/>
              </w:rPr>
            </w:pPr>
            <w:r w:rsidRPr="00A878EB">
              <w:rPr>
                <w:sz w:val="16"/>
                <w:szCs w:val="16"/>
              </w:rPr>
              <w:t>2 483</w:t>
            </w:r>
          </w:p>
        </w:tc>
        <w:tc>
          <w:tcPr>
            <w:tcW w:w="832" w:type="pct"/>
            <w:noWrap/>
          </w:tcPr>
          <w:p w:rsidR="00B94A6F" w:rsidRPr="00A878EB" w:rsidRDefault="00B3081F" w:rsidP="00E72DCE">
            <w:pPr>
              <w:spacing w:before="60" w:line="200" w:lineRule="exact"/>
              <w:jc w:val="right"/>
              <w:rPr>
                <w:sz w:val="16"/>
                <w:szCs w:val="16"/>
              </w:rPr>
            </w:pPr>
            <w:r w:rsidRPr="00A878EB">
              <w:rPr>
                <w:sz w:val="16"/>
                <w:szCs w:val="16"/>
              </w:rPr>
              <w:t>–</w:t>
            </w:r>
            <w:r w:rsidR="00B94A6F" w:rsidRPr="00A878EB">
              <w:rPr>
                <w:sz w:val="16"/>
                <w:szCs w:val="16"/>
              </w:rPr>
              <w:t>2 000</w:t>
            </w:r>
          </w:p>
        </w:tc>
      </w:tr>
      <w:tr w:rsidR="00B94A6F" w:rsidRPr="00A878EB">
        <w:trPr>
          <w:trHeight w:val="255"/>
        </w:trPr>
        <w:tc>
          <w:tcPr>
            <w:tcW w:w="535" w:type="pct"/>
            <w:noWrap/>
          </w:tcPr>
          <w:p w:rsidR="00B94A6F" w:rsidRPr="00A878EB" w:rsidRDefault="00B94A6F" w:rsidP="00F32086">
            <w:pPr>
              <w:spacing w:before="60" w:line="200" w:lineRule="exact"/>
              <w:rPr>
                <w:sz w:val="16"/>
                <w:szCs w:val="16"/>
              </w:rPr>
            </w:pPr>
            <w:r w:rsidRPr="00A878EB">
              <w:rPr>
                <w:sz w:val="16"/>
                <w:szCs w:val="16"/>
              </w:rPr>
              <w:t>1:12</w:t>
            </w:r>
          </w:p>
        </w:tc>
        <w:tc>
          <w:tcPr>
            <w:tcW w:w="2365" w:type="pct"/>
            <w:noWrap/>
          </w:tcPr>
          <w:p w:rsidR="00B94A6F" w:rsidRPr="00A878EB" w:rsidRDefault="00B94A6F" w:rsidP="00F32086">
            <w:pPr>
              <w:spacing w:before="60" w:line="200" w:lineRule="exact"/>
              <w:rPr>
                <w:sz w:val="16"/>
                <w:szCs w:val="16"/>
              </w:rPr>
            </w:pPr>
            <w:r w:rsidRPr="00A878EB">
              <w:rPr>
                <w:sz w:val="16"/>
                <w:szCs w:val="16"/>
              </w:rPr>
              <w:t>Statliga kompetensöverföringsjobb</w:t>
            </w:r>
          </w:p>
        </w:tc>
        <w:tc>
          <w:tcPr>
            <w:tcW w:w="1268" w:type="pct"/>
            <w:noWrap/>
          </w:tcPr>
          <w:p w:rsidR="00B94A6F" w:rsidRPr="00A878EB" w:rsidRDefault="00B94A6F" w:rsidP="00E72DCE">
            <w:pPr>
              <w:spacing w:before="60" w:line="200" w:lineRule="exact"/>
              <w:jc w:val="right"/>
              <w:rPr>
                <w:sz w:val="16"/>
                <w:szCs w:val="16"/>
              </w:rPr>
            </w:pPr>
            <w:r w:rsidRPr="00A878EB">
              <w:rPr>
                <w:sz w:val="16"/>
                <w:szCs w:val="16"/>
              </w:rPr>
              <w:t>360 000</w:t>
            </w:r>
          </w:p>
        </w:tc>
        <w:tc>
          <w:tcPr>
            <w:tcW w:w="832" w:type="pct"/>
            <w:noWrap/>
          </w:tcPr>
          <w:p w:rsidR="00B94A6F" w:rsidRPr="00A878EB" w:rsidRDefault="00B3081F" w:rsidP="00E72DCE">
            <w:pPr>
              <w:spacing w:before="60" w:line="200" w:lineRule="exact"/>
              <w:jc w:val="right"/>
              <w:rPr>
                <w:sz w:val="16"/>
                <w:szCs w:val="16"/>
              </w:rPr>
            </w:pPr>
            <w:r w:rsidRPr="00A878EB">
              <w:rPr>
                <w:sz w:val="16"/>
                <w:szCs w:val="16"/>
              </w:rPr>
              <w:t>–</w:t>
            </w:r>
            <w:r w:rsidR="00B94A6F" w:rsidRPr="00A878EB">
              <w:rPr>
                <w:sz w:val="16"/>
                <w:szCs w:val="16"/>
              </w:rPr>
              <w:t>360 000</w:t>
            </w:r>
          </w:p>
        </w:tc>
      </w:tr>
      <w:tr w:rsidR="00B94A6F" w:rsidRPr="00A878EB">
        <w:trPr>
          <w:trHeight w:val="255"/>
        </w:trPr>
        <w:tc>
          <w:tcPr>
            <w:tcW w:w="535" w:type="pct"/>
            <w:noWrap/>
          </w:tcPr>
          <w:p w:rsidR="00B94A6F" w:rsidRPr="00A878EB" w:rsidRDefault="00B94A6F" w:rsidP="00F32086">
            <w:pPr>
              <w:spacing w:before="60" w:line="200" w:lineRule="exact"/>
              <w:rPr>
                <w:sz w:val="16"/>
                <w:szCs w:val="16"/>
              </w:rPr>
            </w:pPr>
            <w:r w:rsidRPr="00A878EB">
              <w:rPr>
                <w:sz w:val="16"/>
                <w:szCs w:val="16"/>
              </w:rPr>
              <w:t>2:3</w:t>
            </w:r>
          </w:p>
        </w:tc>
        <w:tc>
          <w:tcPr>
            <w:tcW w:w="2365" w:type="pct"/>
            <w:noWrap/>
          </w:tcPr>
          <w:p w:rsidR="00B94A6F" w:rsidRPr="00A878EB" w:rsidRDefault="00B94A6F" w:rsidP="00F32086">
            <w:pPr>
              <w:spacing w:before="60" w:line="200" w:lineRule="exact"/>
              <w:rPr>
                <w:sz w:val="16"/>
                <w:szCs w:val="16"/>
              </w:rPr>
            </w:pPr>
            <w:r w:rsidRPr="00A878EB">
              <w:rPr>
                <w:sz w:val="16"/>
                <w:szCs w:val="16"/>
              </w:rPr>
              <w:t>Riksgäldskontoret: Förvaltningskostnader</w:t>
            </w:r>
          </w:p>
        </w:tc>
        <w:tc>
          <w:tcPr>
            <w:tcW w:w="1268" w:type="pct"/>
            <w:noWrap/>
          </w:tcPr>
          <w:p w:rsidR="00B94A6F" w:rsidRPr="00A878EB" w:rsidRDefault="00B94A6F" w:rsidP="00E72DCE">
            <w:pPr>
              <w:spacing w:before="60" w:line="200" w:lineRule="exact"/>
              <w:jc w:val="right"/>
              <w:rPr>
                <w:sz w:val="16"/>
                <w:szCs w:val="16"/>
              </w:rPr>
            </w:pPr>
            <w:r w:rsidRPr="00A878EB">
              <w:rPr>
                <w:sz w:val="16"/>
                <w:szCs w:val="16"/>
              </w:rPr>
              <w:t>267 805</w:t>
            </w:r>
          </w:p>
        </w:tc>
        <w:tc>
          <w:tcPr>
            <w:tcW w:w="832" w:type="pct"/>
            <w:noWrap/>
          </w:tcPr>
          <w:p w:rsidR="00B94A6F" w:rsidRPr="00A878EB" w:rsidRDefault="00B3081F" w:rsidP="00E72DCE">
            <w:pPr>
              <w:spacing w:before="60" w:line="200" w:lineRule="exact"/>
              <w:jc w:val="right"/>
              <w:rPr>
                <w:sz w:val="16"/>
                <w:szCs w:val="16"/>
              </w:rPr>
            </w:pPr>
            <w:r w:rsidRPr="00A878EB">
              <w:rPr>
                <w:sz w:val="16"/>
                <w:szCs w:val="16"/>
              </w:rPr>
              <w:t>–</w:t>
            </w:r>
            <w:r w:rsidR="00B94A6F" w:rsidRPr="00A878EB">
              <w:rPr>
                <w:sz w:val="16"/>
                <w:szCs w:val="16"/>
              </w:rPr>
              <w:t>13 000</w:t>
            </w:r>
          </w:p>
        </w:tc>
      </w:tr>
      <w:tr w:rsidR="00B94A6F" w:rsidRPr="00A878EB">
        <w:trPr>
          <w:trHeight w:val="255"/>
        </w:trPr>
        <w:tc>
          <w:tcPr>
            <w:tcW w:w="535" w:type="pct"/>
            <w:noWrap/>
          </w:tcPr>
          <w:p w:rsidR="00B94A6F" w:rsidRPr="00A878EB" w:rsidRDefault="00B94A6F" w:rsidP="00F32086">
            <w:pPr>
              <w:spacing w:before="60" w:line="200" w:lineRule="exact"/>
              <w:rPr>
                <w:sz w:val="16"/>
                <w:szCs w:val="16"/>
              </w:rPr>
            </w:pPr>
            <w:r w:rsidRPr="00A878EB">
              <w:rPr>
                <w:sz w:val="16"/>
                <w:szCs w:val="16"/>
              </w:rPr>
              <w:t>90:1</w:t>
            </w:r>
          </w:p>
        </w:tc>
        <w:tc>
          <w:tcPr>
            <w:tcW w:w="2365" w:type="pct"/>
            <w:noWrap/>
          </w:tcPr>
          <w:p w:rsidR="00B94A6F" w:rsidRPr="00A878EB" w:rsidRDefault="00B94A6F" w:rsidP="00F32086">
            <w:pPr>
              <w:spacing w:before="60" w:line="200" w:lineRule="exact"/>
              <w:rPr>
                <w:sz w:val="16"/>
                <w:szCs w:val="16"/>
              </w:rPr>
            </w:pPr>
            <w:r w:rsidRPr="00A878EB">
              <w:rPr>
                <w:sz w:val="16"/>
                <w:szCs w:val="16"/>
              </w:rPr>
              <w:t>Riksrevisionen</w:t>
            </w:r>
          </w:p>
        </w:tc>
        <w:tc>
          <w:tcPr>
            <w:tcW w:w="1268" w:type="pct"/>
            <w:noWrap/>
          </w:tcPr>
          <w:p w:rsidR="00B94A6F" w:rsidRPr="00A878EB" w:rsidRDefault="00B94A6F" w:rsidP="00E72DCE">
            <w:pPr>
              <w:spacing w:before="60" w:line="200" w:lineRule="exact"/>
              <w:jc w:val="right"/>
              <w:rPr>
                <w:sz w:val="16"/>
                <w:szCs w:val="16"/>
              </w:rPr>
            </w:pPr>
            <w:r w:rsidRPr="00A878EB">
              <w:rPr>
                <w:sz w:val="16"/>
                <w:szCs w:val="16"/>
              </w:rPr>
              <w:t>279 987</w:t>
            </w:r>
          </w:p>
        </w:tc>
        <w:tc>
          <w:tcPr>
            <w:tcW w:w="832" w:type="pct"/>
            <w:noWrap/>
          </w:tcPr>
          <w:p w:rsidR="00B94A6F" w:rsidRPr="00A878EB" w:rsidRDefault="00B3081F" w:rsidP="00E72DCE">
            <w:pPr>
              <w:spacing w:before="60" w:line="200" w:lineRule="exact"/>
              <w:jc w:val="right"/>
              <w:rPr>
                <w:sz w:val="16"/>
                <w:szCs w:val="16"/>
              </w:rPr>
            </w:pPr>
            <w:r w:rsidRPr="00A878EB">
              <w:rPr>
                <w:sz w:val="16"/>
                <w:szCs w:val="16"/>
              </w:rPr>
              <w:t>–</w:t>
            </w:r>
            <w:r w:rsidR="00B94A6F" w:rsidRPr="00A878EB">
              <w:rPr>
                <w:sz w:val="16"/>
                <w:szCs w:val="16"/>
              </w:rPr>
              <w:t>20 000</w:t>
            </w:r>
          </w:p>
        </w:tc>
      </w:tr>
      <w:tr w:rsidR="00B94A6F" w:rsidRPr="00A878EB">
        <w:trPr>
          <w:trHeight w:val="270"/>
        </w:trPr>
        <w:tc>
          <w:tcPr>
            <w:tcW w:w="535" w:type="pct"/>
            <w:noWrap/>
          </w:tcPr>
          <w:p w:rsidR="00B94A6F" w:rsidRPr="00A878EB" w:rsidRDefault="00B94A6F" w:rsidP="00F32086">
            <w:pPr>
              <w:spacing w:before="60" w:line="200" w:lineRule="exact"/>
              <w:rPr>
                <w:sz w:val="16"/>
                <w:szCs w:val="16"/>
              </w:rPr>
            </w:pPr>
            <w:r w:rsidRPr="00A878EB">
              <w:rPr>
                <w:sz w:val="16"/>
                <w:szCs w:val="16"/>
              </w:rPr>
              <w:t>90:2</w:t>
            </w:r>
          </w:p>
        </w:tc>
        <w:tc>
          <w:tcPr>
            <w:tcW w:w="2365" w:type="pct"/>
            <w:noWrap/>
          </w:tcPr>
          <w:p w:rsidR="00B94A6F" w:rsidRPr="00A878EB" w:rsidRDefault="00B94A6F" w:rsidP="00F32086">
            <w:pPr>
              <w:spacing w:before="60" w:line="200" w:lineRule="exact"/>
              <w:rPr>
                <w:sz w:val="16"/>
                <w:szCs w:val="16"/>
              </w:rPr>
            </w:pPr>
            <w:r w:rsidRPr="00A878EB">
              <w:rPr>
                <w:sz w:val="16"/>
                <w:szCs w:val="16"/>
              </w:rPr>
              <w:t>Försök med trängselskatt i Stockholm</w:t>
            </w:r>
          </w:p>
        </w:tc>
        <w:tc>
          <w:tcPr>
            <w:tcW w:w="1268" w:type="pct"/>
            <w:noWrap/>
          </w:tcPr>
          <w:p w:rsidR="00B94A6F" w:rsidRPr="00A878EB" w:rsidRDefault="00B94A6F" w:rsidP="00E72DCE">
            <w:pPr>
              <w:spacing w:before="60" w:line="200" w:lineRule="exact"/>
              <w:jc w:val="right"/>
              <w:rPr>
                <w:sz w:val="16"/>
                <w:szCs w:val="16"/>
              </w:rPr>
            </w:pPr>
            <w:r w:rsidRPr="00A878EB">
              <w:rPr>
                <w:sz w:val="16"/>
                <w:szCs w:val="16"/>
              </w:rPr>
              <w:t>1 358 860</w:t>
            </w:r>
          </w:p>
        </w:tc>
        <w:tc>
          <w:tcPr>
            <w:tcW w:w="832" w:type="pct"/>
            <w:noWrap/>
          </w:tcPr>
          <w:p w:rsidR="00B94A6F" w:rsidRPr="00A878EB" w:rsidRDefault="00B3081F" w:rsidP="00E72DCE">
            <w:pPr>
              <w:spacing w:before="60" w:line="200" w:lineRule="exact"/>
              <w:jc w:val="right"/>
              <w:rPr>
                <w:sz w:val="16"/>
                <w:szCs w:val="16"/>
              </w:rPr>
            </w:pPr>
            <w:r w:rsidRPr="00A878EB">
              <w:rPr>
                <w:sz w:val="16"/>
                <w:szCs w:val="16"/>
              </w:rPr>
              <w:t>–</w:t>
            </w:r>
            <w:r w:rsidR="00B94A6F" w:rsidRPr="00A878EB">
              <w:rPr>
                <w:sz w:val="16"/>
                <w:szCs w:val="16"/>
              </w:rPr>
              <w:t>1 358 860</w:t>
            </w:r>
          </w:p>
        </w:tc>
      </w:tr>
      <w:tr w:rsidR="00B94A6F" w:rsidRPr="00A878EB">
        <w:trPr>
          <w:trHeight w:val="270"/>
        </w:trPr>
        <w:tc>
          <w:tcPr>
            <w:tcW w:w="535" w:type="pct"/>
            <w:noWrap/>
          </w:tcPr>
          <w:p w:rsidR="00B94A6F" w:rsidRPr="00A878EB" w:rsidRDefault="00F32086" w:rsidP="00F32086">
            <w:pPr>
              <w:spacing w:before="60" w:line="200" w:lineRule="exact"/>
              <w:rPr>
                <w:b/>
                <w:sz w:val="16"/>
                <w:szCs w:val="16"/>
              </w:rPr>
            </w:pPr>
            <w:r w:rsidRPr="00A878EB">
              <w:rPr>
                <w:b/>
                <w:sz w:val="16"/>
                <w:szCs w:val="16"/>
              </w:rPr>
              <w:t>Summa</w:t>
            </w:r>
          </w:p>
        </w:tc>
        <w:tc>
          <w:tcPr>
            <w:tcW w:w="2365" w:type="pct"/>
          </w:tcPr>
          <w:p w:rsidR="00B94A6F" w:rsidRPr="00A878EB" w:rsidRDefault="00B94A6F" w:rsidP="00F32086">
            <w:pPr>
              <w:spacing w:before="60" w:line="200" w:lineRule="exact"/>
              <w:rPr>
                <w:b/>
                <w:sz w:val="16"/>
                <w:szCs w:val="16"/>
              </w:rPr>
            </w:pPr>
          </w:p>
        </w:tc>
        <w:tc>
          <w:tcPr>
            <w:tcW w:w="1268" w:type="pct"/>
          </w:tcPr>
          <w:p w:rsidR="00B94A6F" w:rsidRPr="00A878EB" w:rsidRDefault="00B94A6F" w:rsidP="00E72DCE">
            <w:pPr>
              <w:spacing w:before="60" w:line="200" w:lineRule="exact"/>
              <w:jc w:val="right"/>
              <w:rPr>
                <w:b/>
                <w:sz w:val="16"/>
                <w:szCs w:val="16"/>
              </w:rPr>
            </w:pPr>
            <w:r w:rsidRPr="00A878EB">
              <w:rPr>
                <w:b/>
                <w:sz w:val="16"/>
                <w:szCs w:val="16"/>
              </w:rPr>
              <w:t>11 808 870</w:t>
            </w:r>
          </w:p>
        </w:tc>
        <w:tc>
          <w:tcPr>
            <w:tcW w:w="832" w:type="pct"/>
            <w:noWrap/>
          </w:tcPr>
          <w:p w:rsidR="00B94A6F" w:rsidRPr="00A878EB" w:rsidRDefault="00B3081F" w:rsidP="00E72DCE">
            <w:pPr>
              <w:spacing w:before="60" w:line="200" w:lineRule="exact"/>
              <w:jc w:val="right"/>
              <w:rPr>
                <w:b/>
                <w:sz w:val="16"/>
                <w:szCs w:val="16"/>
              </w:rPr>
            </w:pPr>
            <w:r w:rsidRPr="00A878EB">
              <w:rPr>
                <w:b/>
                <w:sz w:val="16"/>
                <w:szCs w:val="16"/>
              </w:rPr>
              <w:t>–</w:t>
            </w:r>
            <w:r w:rsidR="00B94A6F" w:rsidRPr="00A878EB">
              <w:rPr>
                <w:b/>
                <w:sz w:val="16"/>
                <w:szCs w:val="16"/>
              </w:rPr>
              <w:t>1 872 997</w:t>
            </w:r>
          </w:p>
        </w:tc>
      </w:tr>
    </w:tbl>
    <w:p w:rsidR="001E7666" w:rsidRPr="00A878EB" w:rsidRDefault="00F32086" w:rsidP="00E72DCE">
      <w:pPr>
        <w:pStyle w:val="Brdtext"/>
        <w:spacing w:after="0" w:line="240" w:lineRule="auto"/>
        <w:rPr>
          <w:rStyle w:val="FotnotstextChar"/>
          <w:sz w:val="16"/>
          <w:szCs w:val="16"/>
        </w:rPr>
      </w:pPr>
      <w:r w:rsidRPr="00A878EB">
        <w:rPr>
          <w:szCs w:val="19"/>
          <w:vertAlign w:val="superscript"/>
        </w:rPr>
        <w:t>1</w:t>
      </w:r>
      <w:r w:rsidR="001E7666" w:rsidRPr="00A878EB">
        <w:rPr>
          <w:rStyle w:val="FotnotstextChar"/>
          <w:sz w:val="16"/>
          <w:szCs w:val="16"/>
        </w:rPr>
        <w:t xml:space="preserve"> NOU:s verksamhet föreslås få en resursförstärkning på ca 3 miljoner kronor och samor</w:t>
      </w:r>
      <w:r w:rsidR="001E7666" w:rsidRPr="00A878EB">
        <w:rPr>
          <w:rStyle w:val="FotnotstextChar"/>
          <w:sz w:val="16"/>
          <w:szCs w:val="16"/>
        </w:rPr>
        <w:t>d</w:t>
      </w:r>
      <w:r w:rsidR="001E7666" w:rsidRPr="00A878EB">
        <w:rPr>
          <w:rStyle w:val="FotnotstextChar"/>
          <w:sz w:val="16"/>
          <w:szCs w:val="16"/>
        </w:rPr>
        <w:t>nas med Konkurrensverket fr.o.m. andra halvåret 2005. Tillskottet redovisas under utgift</w:t>
      </w:r>
      <w:r w:rsidR="001E7666" w:rsidRPr="00A878EB">
        <w:rPr>
          <w:rStyle w:val="FotnotstextChar"/>
          <w:sz w:val="16"/>
          <w:szCs w:val="16"/>
        </w:rPr>
        <w:t>s</w:t>
      </w:r>
      <w:r w:rsidR="001E7666" w:rsidRPr="00A878EB">
        <w:rPr>
          <w:rStyle w:val="FotnotstextChar"/>
          <w:sz w:val="16"/>
          <w:szCs w:val="16"/>
        </w:rPr>
        <w:t>område 24.</w:t>
      </w:r>
    </w:p>
    <w:p w:rsidR="001E7666" w:rsidRPr="00A878EB" w:rsidRDefault="001E7666" w:rsidP="001E7666">
      <w:pPr>
        <w:pStyle w:val="Rubrik1"/>
      </w:pPr>
      <w:bookmarkStart w:id="6" w:name="_Toc83915234"/>
      <w:bookmarkStart w:id="7" w:name="_Toc120848046"/>
      <w:r w:rsidRPr="00A878EB">
        <w:t>Etikens betydelse för en fungerande marknadsekonomi</w:t>
      </w:r>
      <w:bookmarkEnd w:id="6"/>
      <w:bookmarkEnd w:id="7"/>
    </w:p>
    <w:p w:rsidR="001E7666" w:rsidRPr="00A878EB" w:rsidRDefault="001E7666" w:rsidP="001E7666">
      <w:r w:rsidRPr="00A878EB">
        <w:t>På samma sätt som trafikreglerna är en förutsättning för friheten att åka vart man vill är etiken en förutsättning för att samhället ska fungera utan onödiga kollisioner. Det etiskt neutrala samhället är en omöjlighet. Etik är och fung</w:t>
      </w:r>
      <w:r w:rsidRPr="00A878EB">
        <w:t>e</w:t>
      </w:r>
      <w:r w:rsidRPr="00A878EB">
        <w:t>rar som ett fundament för rätt och lagstiftning. Men etiken är också den vikt</w:t>
      </w:r>
      <w:r w:rsidRPr="00A878EB">
        <w:t>i</w:t>
      </w:r>
      <w:r w:rsidRPr="00A878EB">
        <w:t xml:space="preserve">ga sammanhållande kraft som måste finnas där lagstiftning inte finns, eller om lagregleringarna minskar. En väl förankrad </w:t>
      </w:r>
      <w:r w:rsidR="00A45B14" w:rsidRPr="00A878EB">
        <w:t>etik minskar behovet av en allt</w:t>
      </w:r>
      <w:r w:rsidRPr="00A878EB">
        <w:t>mer krånglig och omfattande lagstiftning och den minskar behovet av dyra och komplicerade affärskontrakt. En väl förankrad etik gör därmed livet lätt</w:t>
      </w:r>
      <w:r w:rsidRPr="00A878EB">
        <w:t>a</w:t>
      </w:r>
      <w:r w:rsidRPr="00A878EB">
        <w:t>re att leva. Vårt samhälle har byggts upp av den etik som inspireras och fö</w:t>
      </w:r>
      <w:r w:rsidRPr="00A878EB">
        <w:t>r</w:t>
      </w:r>
      <w:r w:rsidRPr="00A878EB">
        <w:t>valtas av den kristna traditionen. Det handlar bl.a. om hederlighet, rättvisa, personligt ansvarstagande, solidaritet med me</w:t>
      </w:r>
      <w:r w:rsidRPr="00A878EB">
        <w:t>d</w:t>
      </w:r>
      <w:r w:rsidRPr="00A878EB">
        <w:t>människor och respekt för andras egendom.</w:t>
      </w:r>
    </w:p>
    <w:p w:rsidR="00657FD5" w:rsidRPr="00A878EB" w:rsidRDefault="001E7666" w:rsidP="00657FD5">
      <w:pPr>
        <w:pStyle w:val="Normaltindrag"/>
      </w:pPr>
      <w:r w:rsidRPr="00A878EB">
        <w:t xml:space="preserve">Etikens betydelse för en fungerande marknadsekonomi uttrycktes på ett träffsäkert sätt av den </w:t>
      </w:r>
      <w:r w:rsidR="00A45B14" w:rsidRPr="00A878EB">
        <w:t xml:space="preserve">s.k. </w:t>
      </w:r>
      <w:r w:rsidRPr="00A878EB">
        <w:t>Finansmarknadsutredningen (SOU 2000:11) från år 2000:</w:t>
      </w:r>
    </w:p>
    <w:p w:rsidR="001E7666" w:rsidRPr="00A878EB" w:rsidRDefault="001E7666" w:rsidP="00A45B14">
      <w:pPr>
        <w:pStyle w:val="Citat"/>
      </w:pPr>
      <w:r w:rsidRPr="00A878EB">
        <w:t>L</w:t>
      </w:r>
      <w:r w:rsidRPr="00A878EB">
        <w:rPr>
          <w:snapToGrid w:val="0"/>
        </w:rPr>
        <w:t>ika lite på det finansiella området som på andra samhällsområden är o</w:t>
      </w:r>
      <w:r w:rsidRPr="00A878EB">
        <w:rPr>
          <w:snapToGrid w:val="0"/>
        </w:rPr>
        <w:t>f</w:t>
      </w:r>
      <w:r w:rsidRPr="00A878EB">
        <w:rPr>
          <w:snapToGrid w:val="0"/>
        </w:rPr>
        <w:t>fentliga lagar och regler, och de organ som övervakar och beivrar brott mot dessa regler, en tillräcklig förutsättning för en väl fungerande ver</w:t>
      </w:r>
      <w:r w:rsidRPr="00A878EB">
        <w:rPr>
          <w:snapToGrid w:val="0"/>
        </w:rPr>
        <w:t>k</w:t>
      </w:r>
      <w:r w:rsidRPr="00A878EB">
        <w:rPr>
          <w:snapToGrid w:val="0"/>
        </w:rPr>
        <w:t>samhet. Detta nät är alltför grovmaskigt. Vad som därutöver krävs är en i huvudsak informellt utvecklad och informellt övervakad uppsättning etiska och moraliska normer; en gemensam uppfattning om ”rätt” och ”fel”. Detta utgör det organisatoriska ”kitt” som är nödvändigt för förtr</w:t>
      </w:r>
      <w:r w:rsidRPr="00A878EB">
        <w:rPr>
          <w:snapToGrid w:val="0"/>
        </w:rPr>
        <w:t>o</w:t>
      </w:r>
      <w:r w:rsidRPr="00A878EB">
        <w:rPr>
          <w:snapToGrid w:val="0"/>
        </w:rPr>
        <w:t>ende och stabilitet och därmed för den långsiktiga konkurrenskraften. A</w:t>
      </w:r>
      <w:r w:rsidRPr="00A878EB">
        <w:rPr>
          <w:snapToGrid w:val="0"/>
        </w:rPr>
        <w:t>f</w:t>
      </w:r>
      <w:r w:rsidRPr="00A878EB">
        <w:rPr>
          <w:snapToGrid w:val="0"/>
        </w:rPr>
        <w:t>färsetiken och skyddet av långivares och anställdas intressen är också viktiga för att signalerna från marknaderna effektivt ska omsättas i ko</w:t>
      </w:r>
      <w:r w:rsidRPr="00A878EB">
        <w:rPr>
          <w:snapToGrid w:val="0"/>
        </w:rPr>
        <w:t>r</w:t>
      </w:r>
      <w:r w:rsidRPr="00A878EB">
        <w:rPr>
          <w:snapToGrid w:val="0"/>
        </w:rPr>
        <w:t>rekta beslut i företagen. Som nämnts finns här ett strukturellt problem e</w:t>
      </w:r>
      <w:r w:rsidRPr="00A878EB">
        <w:rPr>
          <w:snapToGrid w:val="0"/>
        </w:rPr>
        <w:t>f</w:t>
      </w:r>
      <w:r w:rsidRPr="00A878EB">
        <w:rPr>
          <w:snapToGrid w:val="0"/>
        </w:rPr>
        <w:t>tersom internationaliseringen och branschglidningen gör att den bransc</w:t>
      </w:r>
      <w:r w:rsidRPr="00A878EB">
        <w:rPr>
          <w:snapToGrid w:val="0"/>
        </w:rPr>
        <w:t>h</w:t>
      </w:r>
      <w:r w:rsidRPr="00A878EB">
        <w:rPr>
          <w:snapToGrid w:val="0"/>
        </w:rPr>
        <w:t>relaterade normbildningen sa</w:t>
      </w:r>
      <w:r w:rsidRPr="00A878EB">
        <w:rPr>
          <w:snapToGrid w:val="0"/>
        </w:rPr>
        <w:t>n</w:t>
      </w:r>
      <w:r w:rsidRPr="00A878EB">
        <w:rPr>
          <w:snapToGrid w:val="0"/>
        </w:rPr>
        <w:t>nolikt s</w:t>
      </w:r>
      <w:r w:rsidR="00A45B14" w:rsidRPr="00A878EB">
        <w:rPr>
          <w:snapToGrid w:val="0"/>
        </w:rPr>
        <w:t>uccessivt kommer att försvagas.</w:t>
      </w:r>
    </w:p>
    <w:p w:rsidR="003C0C9E" w:rsidRPr="00A878EB" w:rsidRDefault="001E7666" w:rsidP="00A45B14">
      <w:r w:rsidRPr="00A878EB">
        <w:t>Bland företrädare för modern institutionell ekonomisk teori framhålls den generella betydelsen av institutioner som lagar, förordningar, normer och sociala konventioner för en sund marknadsekonomi. Av dessa märks framför allt nobelpristagaren 1993, Douglas C North, som betonar äganderättsformer och betydelsen av god etik och fasta institutioner för att en ekonomi ska fu</w:t>
      </w:r>
      <w:r w:rsidRPr="00A878EB">
        <w:t>n</w:t>
      </w:r>
      <w:r w:rsidRPr="00A878EB">
        <w:t xml:space="preserve">gera väl. Med institutioner avses i detta sammanhang både </w:t>
      </w:r>
      <w:r w:rsidRPr="00A878EB">
        <w:rPr>
          <w:i/>
        </w:rPr>
        <w:t>formella instit</w:t>
      </w:r>
      <w:r w:rsidRPr="00A878EB">
        <w:rPr>
          <w:i/>
        </w:rPr>
        <w:t>u</w:t>
      </w:r>
      <w:r w:rsidRPr="00A878EB">
        <w:rPr>
          <w:i/>
        </w:rPr>
        <w:t>tioner</w:t>
      </w:r>
      <w:r w:rsidRPr="00A878EB">
        <w:t xml:space="preserve"> som t.ex. lagar, förordningar, rättsväsende och ekonomiskt stabila spelregler och </w:t>
      </w:r>
      <w:r w:rsidRPr="00A878EB">
        <w:rPr>
          <w:i/>
        </w:rPr>
        <w:t>informella institutioner</w:t>
      </w:r>
      <w:r w:rsidRPr="00A878EB">
        <w:t xml:space="preserve"> som utgörs av den etik och de oskrivna lagar som tillämpas i samspelet mellan människor, mellan företag och mellan myndigheter. En ekonomi som vilar på väl fungerande institutioner utmärks av låg osäkerhet. Osäkerhet kostar merarbete, tid och pengar för att kompe</w:t>
      </w:r>
      <w:r w:rsidRPr="00A878EB">
        <w:t>n</w:t>
      </w:r>
      <w:r w:rsidRPr="00A878EB">
        <w:t>sera och reducera osäkerheten. En etisk relativism är alltså ingen bra grund att bygga en marknadsekonomi på.</w:t>
      </w:r>
    </w:p>
    <w:p w:rsidR="003C0C9E" w:rsidRPr="00A878EB" w:rsidRDefault="003C0C9E" w:rsidP="003C0C9E">
      <w:pPr>
        <w:pStyle w:val="Normaltindrag"/>
      </w:pPr>
      <w:r w:rsidRPr="00A878EB">
        <w:t>D</w:t>
      </w:r>
      <w:r w:rsidR="001E7666" w:rsidRPr="00A878EB">
        <w:t>et s</w:t>
      </w:r>
      <w:r w:rsidR="00657FD5" w:rsidRPr="00A878EB">
        <w:t>.</w:t>
      </w:r>
      <w:r w:rsidR="001E7666" w:rsidRPr="00A878EB">
        <w:t>k</w:t>
      </w:r>
      <w:r w:rsidR="00657FD5" w:rsidRPr="00A878EB">
        <w:t>.</w:t>
      </w:r>
      <w:r w:rsidR="001E7666" w:rsidRPr="00A878EB">
        <w:t xml:space="preserve"> </w:t>
      </w:r>
      <w:r w:rsidR="002D66C4" w:rsidRPr="00A878EB">
        <w:t>”</w:t>
      </w:r>
      <w:r w:rsidR="001E7666" w:rsidRPr="00A878EB">
        <w:t>tyska undrets</w:t>
      </w:r>
      <w:r w:rsidR="002D66C4" w:rsidRPr="00A878EB">
        <w:t>”</w:t>
      </w:r>
      <w:r w:rsidR="001E7666" w:rsidRPr="00A878EB">
        <w:t xml:space="preserve"> två huvudingenjörer, </w:t>
      </w:r>
      <w:r w:rsidR="00A45B14" w:rsidRPr="00A878EB">
        <w:t xml:space="preserve">Kristdemokraterna </w:t>
      </w:r>
      <w:r w:rsidR="001E7666" w:rsidRPr="00A878EB">
        <w:t>och ek</w:t>
      </w:r>
      <w:r w:rsidR="001E7666" w:rsidRPr="00A878EB">
        <w:t>o</w:t>
      </w:r>
      <w:r w:rsidR="001E7666" w:rsidRPr="00A878EB">
        <w:t>nomerna Ludwig Erhardt och Alfred Müller-Armack, arbetade efter kriget fram ett koncept om social marknadsekonomi. Marknadsekonomi behöver ordning och regler för att kunna uppstå och fungera. Denna ordning har inte alstrats spontant utan de</w:t>
      </w:r>
      <w:r w:rsidR="00A45B14" w:rsidRPr="00A878EB">
        <w:t>n</w:t>
      </w:r>
      <w:r w:rsidR="001E7666" w:rsidRPr="00A878EB">
        <w:t xml:space="preserve"> har vårt kulturarv försett oss med genom dess bet</w:t>
      </w:r>
      <w:r w:rsidR="001E7666" w:rsidRPr="00A878EB">
        <w:t>o</w:t>
      </w:r>
      <w:r w:rsidR="001E7666" w:rsidRPr="00A878EB">
        <w:t xml:space="preserve">ning på rätt och fel, karaktär, hederlighet, duglighet och arbetsetik. Hayeks ”spontaneuos order” och Schumpeters betoning på innovationsverksamhet förutsätter ett öppet och ärligt samhällsklimat. </w:t>
      </w:r>
    </w:p>
    <w:p w:rsidR="001E7666" w:rsidRPr="00A878EB" w:rsidRDefault="001E7666" w:rsidP="003C0C9E">
      <w:pPr>
        <w:pStyle w:val="Normaltindrag"/>
      </w:pPr>
      <w:r w:rsidRPr="00A878EB">
        <w:t>En konsekvent värdegrund har alltså en avgörande betydelse för att skapa en effektiv statsförvaltning och stabila finansmarknader. Samtidigt ska målet vara att all offentlig verksamhet ska utföras utifrån ett mycket gott förvalta</w:t>
      </w:r>
      <w:r w:rsidRPr="00A878EB">
        <w:t>r</w:t>
      </w:r>
      <w:r w:rsidRPr="00A878EB">
        <w:t>skap med invånarnas gemensamma medel. En effektiv granskning av rege</w:t>
      </w:r>
      <w:r w:rsidRPr="00A878EB">
        <w:t>r</w:t>
      </w:r>
      <w:r w:rsidRPr="00A878EB">
        <w:t>ingsmakten förutsätter en ärlig och öppen redovisning från regeringens sida vad gäller handhavandet av offentliga medel.</w:t>
      </w:r>
    </w:p>
    <w:p w:rsidR="001E7666" w:rsidRPr="00A878EB" w:rsidRDefault="001E7666" w:rsidP="001E7666">
      <w:pPr>
        <w:pStyle w:val="Rubrik1"/>
      </w:pPr>
      <w:bookmarkStart w:id="8" w:name="_Toc83915235"/>
      <w:bookmarkStart w:id="9" w:name="_Toc120848047"/>
      <w:r w:rsidRPr="00A878EB">
        <w:t>Förtroendet för finansmarknaden måste stärkas</w:t>
      </w:r>
      <w:bookmarkEnd w:id="8"/>
      <w:bookmarkEnd w:id="9"/>
    </w:p>
    <w:p w:rsidR="001E7666" w:rsidRPr="00A878EB" w:rsidRDefault="001E7666" w:rsidP="001E7666">
      <w:r w:rsidRPr="00A878EB">
        <w:t>Utan förtroende från investerare, småsparare och andra intressenter blir den finansiella sektorn inte konkurrenskraftig. Detta förtroende kan byggas a</w:t>
      </w:r>
      <w:r w:rsidRPr="00A878EB">
        <w:t>n</w:t>
      </w:r>
      <w:r w:rsidRPr="00A878EB">
        <w:t>tingen via lagar och regl</w:t>
      </w:r>
      <w:r w:rsidRPr="00A878EB">
        <w:t>e</w:t>
      </w:r>
      <w:r w:rsidRPr="00A878EB">
        <w:t>ringar, via tillsyn eller via normer och självreglering i branschen. I de flesta länder, liksom i Sverige, finns alla dessa tre ”ben” för att skapa det önskvärda funktionssättet och förtroe</w:t>
      </w:r>
      <w:r w:rsidRPr="00A878EB">
        <w:t>n</w:t>
      </w:r>
      <w:r w:rsidRPr="00A878EB">
        <w:t xml:space="preserve">det. Vi menar dock att </w:t>
      </w:r>
      <w:r w:rsidR="003C0C9E" w:rsidRPr="00A878EB">
        <w:t xml:space="preserve">det finns brister </w:t>
      </w:r>
      <w:r w:rsidRPr="00A878EB">
        <w:t xml:space="preserve">i Sverige på </w:t>
      </w:r>
      <w:r w:rsidR="00657FD5" w:rsidRPr="00A878EB">
        <w:t>flera</w:t>
      </w:r>
      <w:r w:rsidRPr="00A878EB">
        <w:t xml:space="preserve"> områden: Vår lagstiftning </w:t>
      </w:r>
      <w:r w:rsidR="003C0C9E" w:rsidRPr="00A878EB">
        <w:t xml:space="preserve">är alldeles för mild och tandlös, </w:t>
      </w:r>
      <w:r w:rsidRPr="00A878EB">
        <w:t>framför</w:t>
      </w:r>
      <w:r w:rsidR="00A45B14" w:rsidRPr="00A878EB">
        <w:t xml:space="preserve"> </w:t>
      </w:r>
      <w:r w:rsidRPr="00A878EB">
        <w:t xml:space="preserve">allt </w:t>
      </w:r>
      <w:r w:rsidR="003C0C9E" w:rsidRPr="00A878EB">
        <w:t xml:space="preserve">på </w:t>
      </w:r>
      <w:r w:rsidR="00C4580C" w:rsidRPr="00A878EB">
        <w:t>insiderområdet. Den</w:t>
      </w:r>
      <w:r w:rsidRPr="00A878EB">
        <w:t xml:space="preserve"> tillsyn som framför allt F</w:t>
      </w:r>
      <w:r w:rsidRPr="00A878EB">
        <w:t>i</w:t>
      </w:r>
      <w:r w:rsidRPr="00A878EB">
        <w:t>nansinspektionen ska stå för är långt ifrån tillräcklig</w:t>
      </w:r>
      <w:r w:rsidR="003C0C9E" w:rsidRPr="00A878EB">
        <w:t xml:space="preserve">. </w:t>
      </w:r>
      <w:r w:rsidR="00657FD5" w:rsidRPr="00A878EB">
        <w:t>D</w:t>
      </w:r>
      <w:r w:rsidRPr="00A878EB">
        <w:t>e i och för sig ambiti</w:t>
      </w:r>
      <w:r w:rsidRPr="00A878EB">
        <w:t>ö</w:t>
      </w:r>
      <w:r w:rsidRPr="00A878EB">
        <w:t>sa regler och normer som branschen själv har satt upp följs för dåligt.</w:t>
      </w:r>
    </w:p>
    <w:p w:rsidR="001E7666" w:rsidRPr="00A878EB" w:rsidRDefault="001E7666" w:rsidP="001E7666">
      <w:pPr>
        <w:pStyle w:val="Rubrik2"/>
      </w:pPr>
      <w:bookmarkStart w:id="10" w:name="_Toc2001120"/>
      <w:bookmarkStart w:id="11" w:name="_Toc83915236"/>
      <w:bookmarkStart w:id="12" w:name="_Toc120848048"/>
      <w:r w:rsidRPr="00A878EB">
        <w:t>Utvecklingen går åt fel håll</w:t>
      </w:r>
      <w:bookmarkEnd w:id="10"/>
      <w:bookmarkEnd w:id="11"/>
      <w:bookmarkEnd w:id="12"/>
    </w:p>
    <w:p w:rsidR="00A45B14" w:rsidRPr="00A878EB" w:rsidRDefault="001E7666" w:rsidP="001E7666">
      <w:r w:rsidRPr="00A878EB">
        <w:t xml:space="preserve">Finansmarknadsutredningen konstaterade också i mars år 2000 </w:t>
      </w:r>
      <w:r w:rsidR="00A45B14" w:rsidRPr="00A878EB">
        <w:t>följande.</w:t>
      </w:r>
    </w:p>
    <w:p w:rsidR="001E7666" w:rsidRPr="00A878EB" w:rsidRDefault="001E7666" w:rsidP="00A45B14">
      <w:pPr>
        <w:pStyle w:val="Citat"/>
      </w:pPr>
      <w:r w:rsidRPr="00A878EB">
        <w:t>Det finns visserligen inte underlag för att hävda att etik och normer inom finanssektorn i Sverige skiljer sig från omvärldens på ett sådant sätt att det utgör en tydlig belastning för konkurrenskraften. Men Sverige intar inte heller någon tätposition i dessa avseenden och utvec</w:t>
      </w:r>
      <w:r w:rsidRPr="00A878EB">
        <w:t>k</w:t>
      </w:r>
      <w:r w:rsidR="00E72DCE" w:rsidRPr="00A878EB">
        <w:t>lingen går åt fel håll.</w:t>
      </w:r>
    </w:p>
    <w:p w:rsidR="001E7666" w:rsidRPr="00A878EB" w:rsidRDefault="001E7666" w:rsidP="00A45B14">
      <w:r w:rsidRPr="00A878EB">
        <w:t>Eftersom finansmarknaden har en sådan central betydelse för ekonomins funktionssätt, för att kanalisera investeringar, sparande och tillväxtmöjligh</w:t>
      </w:r>
      <w:r w:rsidRPr="00A878EB">
        <w:t>e</w:t>
      </w:r>
      <w:r w:rsidRPr="00A878EB">
        <w:t>ter, anser vi att det är mycket angeläget att vända den utveckling som nu går åt fel håll. Förtroendet för den svenska finansmarknaden måste upprättas! Småsparare ska kunna känna förtroende och trygghet när de tar hjälp av rå</w:t>
      </w:r>
      <w:r w:rsidRPr="00A878EB">
        <w:t>d</w:t>
      </w:r>
      <w:r w:rsidRPr="00A878EB">
        <w:t>givare och fondförvaltare. Utländska investerare och andra intre</w:t>
      </w:r>
      <w:r w:rsidRPr="00A878EB">
        <w:t>s</w:t>
      </w:r>
      <w:r w:rsidRPr="00A878EB">
        <w:t>senter ska kunna lita på att Stockholmsbörsen är en säker och seriös handelsplats. Akti</w:t>
      </w:r>
      <w:r w:rsidRPr="00A878EB">
        <w:t>e</w:t>
      </w:r>
      <w:r w:rsidRPr="00A878EB">
        <w:t>äg</w:t>
      </w:r>
      <w:r w:rsidRPr="00A878EB">
        <w:t>a</w:t>
      </w:r>
      <w:r w:rsidRPr="00A878EB">
        <w:t>re och folk i allmänhet ska veta att företagsledningars löner m.m. finns öppet redovisade och ständigt kan granskas och diskuteras.</w:t>
      </w:r>
    </w:p>
    <w:p w:rsidR="001E7666" w:rsidRPr="00A878EB" w:rsidRDefault="001E7666" w:rsidP="00F32086">
      <w:pPr>
        <w:pStyle w:val="Normaltindrag"/>
      </w:pPr>
      <w:r w:rsidRPr="00A878EB">
        <w:t>Vi ser bl.a. följande viktiga förändringar för att upprätta finansmarknadens förtroende och funktionssätt och därmed även stärka småspararens situation:</w:t>
      </w:r>
    </w:p>
    <w:p w:rsidR="001E7666" w:rsidRPr="00A878EB" w:rsidRDefault="001E7666" w:rsidP="00E72DCE">
      <w:pPr>
        <w:pStyle w:val="Rubrik2"/>
      </w:pPr>
      <w:bookmarkStart w:id="13" w:name="_Toc2001122"/>
      <w:bookmarkStart w:id="14" w:name="_Toc83915237"/>
      <w:bookmarkStart w:id="15" w:name="_Toc120848049"/>
      <w:r w:rsidRPr="00A878EB">
        <w:t>Tid för fördjupad etisk debatt</w:t>
      </w:r>
      <w:bookmarkEnd w:id="13"/>
      <w:bookmarkEnd w:id="14"/>
      <w:bookmarkEnd w:id="15"/>
    </w:p>
    <w:p w:rsidR="001E7666" w:rsidRPr="00A878EB" w:rsidRDefault="001E7666" w:rsidP="00A45B14">
      <w:pPr>
        <w:pStyle w:val="PunktlistaBomb"/>
        <w:tabs>
          <w:tab w:val="clear" w:pos="360"/>
        </w:tabs>
      </w:pPr>
      <w:r w:rsidRPr="00A878EB">
        <w:t xml:space="preserve">Näringslivet måste ta ansvar för att en ordentlig diskussion kommer i gång om hur det etiska handlandet kan stärkas. </w:t>
      </w:r>
    </w:p>
    <w:p w:rsidR="001E7666" w:rsidRPr="00A878EB" w:rsidRDefault="001E7666" w:rsidP="00F32086">
      <w:pPr>
        <w:pStyle w:val="PunktlistaBomb"/>
        <w:tabs>
          <w:tab w:val="clear" w:pos="360"/>
        </w:tabs>
        <w:spacing w:before="0"/>
      </w:pPr>
      <w:r w:rsidRPr="00A878EB">
        <w:t>En offentlig värdekommission bör tillsättas för att bidra till att tid skapas för en etisk debatt om vilka normer som bör vara vägledande, bl.a. på f</w:t>
      </w:r>
      <w:r w:rsidRPr="00A878EB">
        <w:t>i</w:t>
      </w:r>
      <w:r w:rsidRPr="00A878EB">
        <w:t>nansmarknadsområdet.</w:t>
      </w:r>
    </w:p>
    <w:p w:rsidR="001E7666" w:rsidRPr="00A878EB" w:rsidRDefault="001E7666" w:rsidP="00F32086">
      <w:pPr>
        <w:pStyle w:val="PunktlistaBomb"/>
        <w:tabs>
          <w:tab w:val="clear" w:pos="360"/>
        </w:tabs>
        <w:spacing w:before="0"/>
        <w:rPr>
          <w:rFonts w:ascii="Garamond" w:hAnsi="Garamond"/>
        </w:rPr>
      </w:pPr>
      <w:r w:rsidRPr="00A878EB">
        <w:t>Uppmuntra ett ökat användande av etiska analyser av börsbolag och andra företag som komplement till de vanliga finansiella analyserna.</w:t>
      </w:r>
    </w:p>
    <w:p w:rsidR="001E7666" w:rsidRPr="00A878EB" w:rsidRDefault="001E7666" w:rsidP="00E72DCE">
      <w:pPr>
        <w:pStyle w:val="Rubrik2"/>
      </w:pPr>
      <w:bookmarkStart w:id="16" w:name="_Toc2001123"/>
      <w:bookmarkStart w:id="17" w:name="_Toc83915238"/>
      <w:bookmarkStart w:id="18" w:name="_Toc120848050"/>
      <w:r w:rsidRPr="00A878EB">
        <w:t xml:space="preserve">Åtgärder för bättre ordning och reda på </w:t>
      </w:r>
      <w:bookmarkEnd w:id="16"/>
      <w:r w:rsidRPr="00A878EB">
        <w:t>finansmarknaden</w:t>
      </w:r>
      <w:bookmarkEnd w:id="17"/>
      <w:bookmarkEnd w:id="18"/>
    </w:p>
    <w:p w:rsidR="003C0C9E" w:rsidRPr="00A878EB" w:rsidRDefault="001E7666" w:rsidP="00A45B14">
      <w:pPr>
        <w:pStyle w:val="PunktlistaBomb"/>
        <w:tabs>
          <w:tab w:val="clear" w:pos="360"/>
        </w:tabs>
      </w:pPr>
      <w:r w:rsidRPr="00A878EB">
        <w:t>Skärp insiderlagstiftningen med USA-modellen som riktmärke, både vad gäller kontroll och påföljder.</w:t>
      </w:r>
    </w:p>
    <w:p w:rsidR="001E7666" w:rsidRPr="00A878EB" w:rsidRDefault="001E7666" w:rsidP="00F32086">
      <w:pPr>
        <w:pStyle w:val="PunktlistaBomb"/>
        <w:tabs>
          <w:tab w:val="clear" w:pos="360"/>
        </w:tabs>
        <w:spacing w:before="0"/>
      </w:pPr>
      <w:r w:rsidRPr="00A878EB">
        <w:t>Stärk Finansinspektionen finansiellt och ge den verkningsfulla påföljd</w:t>
      </w:r>
      <w:r w:rsidRPr="00A878EB">
        <w:t>s</w:t>
      </w:r>
      <w:r w:rsidRPr="00A878EB">
        <w:t>möjligheter.</w:t>
      </w:r>
    </w:p>
    <w:p w:rsidR="001E7666" w:rsidRPr="00A878EB" w:rsidRDefault="001E7666" w:rsidP="00F32086">
      <w:pPr>
        <w:pStyle w:val="PunktlistaBomb"/>
        <w:tabs>
          <w:tab w:val="clear" w:pos="360"/>
        </w:tabs>
        <w:spacing w:before="0"/>
      </w:pPr>
      <w:r w:rsidRPr="00A878EB">
        <w:t>Reglerna för mäklarkörkort bör stärkas. Alla bör genomgå testet och di</w:t>
      </w:r>
      <w:r w:rsidRPr="00A878EB">
        <w:t>s</w:t>
      </w:r>
      <w:r w:rsidRPr="00A878EB">
        <w:t>penser från detta test bör helt undv</w:t>
      </w:r>
      <w:r w:rsidRPr="00A878EB">
        <w:t>i</w:t>
      </w:r>
      <w:r w:rsidRPr="00A878EB">
        <w:t>kas.</w:t>
      </w:r>
    </w:p>
    <w:p w:rsidR="001E7666" w:rsidRPr="00A878EB" w:rsidRDefault="001E7666" w:rsidP="00F32086">
      <w:pPr>
        <w:pStyle w:val="PunktlistaBomb"/>
        <w:tabs>
          <w:tab w:val="clear" w:pos="360"/>
        </w:tabs>
        <w:spacing w:before="0"/>
      </w:pPr>
      <w:r w:rsidRPr="00A878EB">
        <w:t xml:space="preserve">Förbud för mäklare mot att verkställa order som kommer in </w:t>
      </w:r>
      <w:r w:rsidR="003C0C9E" w:rsidRPr="00A878EB">
        <w:t xml:space="preserve">muntligen, </w:t>
      </w:r>
      <w:r w:rsidR="00A45B14" w:rsidRPr="00A878EB">
        <w:t>via mobil eller privatmejl. An</w:t>
      </w:r>
      <w:r w:rsidRPr="00A878EB">
        <w:t>ledningen är att den bandupptagning som görs av alla telefonsamtal inte ska kunna kringgås.</w:t>
      </w:r>
    </w:p>
    <w:p w:rsidR="001E7666" w:rsidRPr="00A878EB" w:rsidRDefault="001E7666" w:rsidP="00F32086">
      <w:pPr>
        <w:pStyle w:val="PunktlistaBomb"/>
        <w:tabs>
          <w:tab w:val="clear" w:pos="360"/>
        </w:tabs>
        <w:spacing w:before="0"/>
      </w:pPr>
      <w:r w:rsidRPr="00A878EB">
        <w:t>Förstärkt anmälningsskyldighet för arbetsgivare att anmäla misstanke om bulvankonton (utländska kapitalförsäkringar) hos anställda och brott mot tremån</w:t>
      </w:r>
      <w:r w:rsidRPr="00A878EB">
        <w:t>a</w:t>
      </w:r>
      <w:r w:rsidRPr="00A878EB">
        <w:t>dersregeln.</w:t>
      </w:r>
    </w:p>
    <w:p w:rsidR="001E7666" w:rsidRPr="00A878EB" w:rsidRDefault="001E7666" w:rsidP="00F32086">
      <w:pPr>
        <w:pStyle w:val="PunktlistaBomb"/>
        <w:tabs>
          <w:tab w:val="clear" w:pos="360"/>
        </w:tabs>
        <w:spacing w:before="0"/>
      </w:pPr>
      <w:r w:rsidRPr="00A878EB">
        <w:t>Verkningsfulla påföljder måste skapas inom ramen för börsens egen öve</w:t>
      </w:r>
      <w:r w:rsidRPr="00A878EB">
        <w:t>r</w:t>
      </w:r>
      <w:r w:rsidRPr="00A878EB">
        <w:t>vakning.</w:t>
      </w:r>
    </w:p>
    <w:p w:rsidR="001E7666" w:rsidRPr="00A878EB" w:rsidRDefault="001E7666" w:rsidP="00F32086">
      <w:pPr>
        <w:pStyle w:val="PunktlistaBomb"/>
        <w:tabs>
          <w:tab w:val="clear" w:pos="360"/>
        </w:tabs>
        <w:spacing w:before="0"/>
      </w:pPr>
      <w:r w:rsidRPr="00A878EB">
        <w:t>Inför en mäklarnas ”</w:t>
      </w:r>
      <w:r w:rsidR="00A45B14" w:rsidRPr="00A878EB">
        <w:t xml:space="preserve">lex </w:t>
      </w:r>
      <w:r w:rsidRPr="00A878EB">
        <w:t>Sarah”, dvs</w:t>
      </w:r>
      <w:r w:rsidR="00657FD5" w:rsidRPr="00A878EB">
        <w:t>.</w:t>
      </w:r>
      <w:r w:rsidRPr="00A878EB">
        <w:t xml:space="preserve"> skyldighet att anmäla misstanke om ins</w:t>
      </w:r>
      <w:r w:rsidRPr="00A878EB">
        <w:t>i</w:t>
      </w:r>
      <w:r w:rsidRPr="00A878EB">
        <w:t xml:space="preserve">derbrott. </w:t>
      </w:r>
    </w:p>
    <w:p w:rsidR="001E7666" w:rsidRPr="00A878EB" w:rsidRDefault="001E7666" w:rsidP="003C0C9E">
      <w:pPr>
        <w:pStyle w:val="Rubrik2"/>
      </w:pPr>
      <w:bookmarkStart w:id="19" w:name="_Toc83915239"/>
      <w:bookmarkStart w:id="20" w:name="_Toc120848051"/>
      <w:r w:rsidRPr="00A878EB">
        <w:t>Målet för politikområdet Finansiella system och tillsyn bör förändras</w:t>
      </w:r>
      <w:bookmarkEnd w:id="19"/>
      <w:bookmarkEnd w:id="20"/>
    </w:p>
    <w:p w:rsidR="001E7666" w:rsidRPr="00A878EB" w:rsidRDefault="001E7666" w:rsidP="001E7666">
      <w:r w:rsidRPr="00A878EB">
        <w:t xml:space="preserve">Kristdemokraterna anser att riksdagens mål för politikområdet Finansiella system och tillsyn är vagt formulerat i vissa delar. </w:t>
      </w:r>
      <w:r w:rsidR="00657FD5" w:rsidRPr="00A878EB">
        <w:t>A</w:t>
      </w:r>
      <w:r w:rsidRPr="00A878EB">
        <w:t>ffärsetikens betydelse och förtroendet hos allmänheten och finansiella aktörer behöver betonas mer i de övergripande målformuleringarna. Såväl affärsetiken som allmänhetens fö</w:t>
      </w:r>
      <w:r w:rsidRPr="00A878EB">
        <w:t>r</w:t>
      </w:r>
      <w:r w:rsidRPr="00A878EB">
        <w:t xml:space="preserve">troende går att mäta med ett flertal metoder. </w:t>
      </w:r>
    </w:p>
    <w:p w:rsidR="001E7666" w:rsidRPr="00A878EB" w:rsidRDefault="001E7666" w:rsidP="001E7666">
      <w:pPr>
        <w:pStyle w:val="Normaltindrag"/>
      </w:pPr>
      <w:r w:rsidRPr="00A878EB">
        <w:t xml:space="preserve">Affärsetiken kan, förutsatt en effektiv tillsyn, </w:t>
      </w:r>
      <w:r w:rsidR="003C0C9E" w:rsidRPr="00A878EB">
        <w:t>exempelvis</w:t>
      </w:r>
      <w:r w:rsidRPr="00A878EB">
        <w:t xml:space="preserve"> speglas av ant</w:t>
      </w:r>
      <w:r w:rsidRPr="00A878EB">
        <w:t>a</w:t>
      </w:r>
      <w:r w:rsidRPr="00A878EB">
        <w:t>let anmälningar eller fällningar gällande insiderbrott. Den kan på längre sikt även mätas i form av hur mycket resurser som anses behöva läggas på ko</w:t>
      </w:r>
      <w:r w:rsidRPr="00A878EB">
        <w:t>n</w:t>
      </w:r>
      <w:r w:rsidRPr="00A878EB">
        <w:t>troll, tillsyn och beivrande av brott.</w:t>
      </w:r>
    </w:p>
    <w:p w:rsidR="001E7666" w:rsidRPr="00A878EB" w:rsidRDefault="001E7666" w:rsidP="001E7666">
      <w:pPr>
        <w:pStyle w:val="Normaltindrag"/>
      </w:pPr>
      <w:r w:rsidRPr="00A878EB">
        <w:t>Allmänhetens och finansiella aktörers förtroende för finansmarknadens funktion mäts redan i form av s.k. förtroende- eller kvalitetsindex. Sådana mätningar bör utvecklas för att bidra till en relevant utvärdering av målup</w:t>
      </w:r>
      <w:r w:rsidRPr="00A878EB">
        <w:t>p</w:t>
      </w:r>
      <w:r w:rsidRPr="00A878EB">
        <w:t>fyllelsen på detta politikområde. En utvecklad form av sådana mätningar skulle troligen även i sig kunna bidra till en ökad måluppfyllelse.</w:t>
      </w:r>
    </w:p>
    <w:p w:rsidR="00D85889" w:rsidRPr="00A878EB" w:rsidRDefault="001E7666" w:rsidP="001E7666">
      <w:pPr>
        <w:pStyle w:val="Normaltindrag"/>
      </w:pPr>
      <w:r w:rsidRPr="00A878EB">
        <w:t>Kristdemokraterna föreslår att målet för politikområdet Finansiella system och tillsyn förändras enligt följande:</w:t>
      </w:r>
    </w:p>
    <w:p w:rsidR="00D85889" w:rsidRPr="00A878EB" w:rsidRDefault="00D85889" w:rsidP="00D85889">
      <w:pPr>
        <w:pStyle w:val="Normaltindrag"/>
        <w:spacing w:line="60" w:lineRule="exact"/>
      </w:pPr>
      <w:r w:rsidRPr="00A878EB">
        <w:br w:type="page"/>
      </w:r>
    </w:p>
    <w:tbl>
      <w:tblPr>
        <w:tblW w:w="5000" w:type="pct"/>
        <w:tblCellMar>
          <w:left w:w="70" w:type="dxa"/>
          <w:right w:w="70" w:type="dxa"/>
        </w:tblCellMar>
        <w:tblLook w:val="00BF" w:firstRow="1" w:lastRow="0" w:firstColumn="1" w:lastColumn="0" w:noHBand="0" w:noVBand="0"/>
      </w:tblPr>
      <w:tblGrid>
        <w:gridCol w:w="2925"/>
        <w:gridCol w:w="3028"/>
      </w:tblGrid>
      <w:tr w:rsidR="00D85889" w:rsidRPr="00A878EB">
        <w:tblPrEx>
          <w:tblCellMar>
            <w:top w:w="0" w:type="dxa"/>
            <w:bottom w:w="0" w:type="dxa"/>
          </w:tblCellMar>
        </w:tblPrEx>
        <w:tc>
          <w:tcPr>
            <w:tcW w:w="2457" w:type="pct"/>
          </w:tcPr>
          <w:p w:rsidR="00D85889" w:rsidRPr="00A878EB" w:rsidRDefault="00D85889" w:rsidP="00D85889">
            <w:pPr>
              <w:spacing w:before="0"/>
            </w:pPr>
            <w:r w:rsidRPr="00A878EB">
              <w:rPr>
                <w:b/>
              </w:rPr>
              <w:t>Nuvarande lydelse</w:t>
            </w:r>
            <w:r w:rsidRPr="00A878EB">
              <w:t>:</w:t>
            </w:r>
          </w:p>
        </w:tc>
        <w:tc>
          <w:tcPr>
            <w:tcW w:w="2543" w:type="pct"/>
          </w:tcPr>
          <w:p w:rsidR="00D85889" w:rsidRPr="00A878EB" w:rsidRDefault="00D85889" w:rsidP="00D85889">
            <w:pPr>
              <w:pStyle w:val="Lagtext"/>
              <w:rPr>
                <w:b/>
                <w:i w:val="0"/>
              </w:rPr>
            </w:pPr>
            <w:r w:rsidRPr="00A878EB">
              <w:rPr>
                <w:b/>
                <w:i w:val="0"/>
              </w:rPr>
              <w:t>Föreslagen lydelse:</w:t>
            </w:r>
          </w:p>
        </w:tc>
      </w:tr>
      <w:tr w:rsidR="001E7666" w:rsidRPr="00A878EB">
        <w:tblPrEx>
          <w:tblCellMar>
            <w:top w:w="0" w:type="dxa"/>
            <w:bottom w:w="0" w:type="dxa"/>
          </w:tblCellMar>
        </w:tblPrEx>
        <w:tc>
          <w:tcPr>
            <w:tcW w:w="2457" w:type="pct"/>
          </w:tcPr>
          <w:p w:rsidR="001E7666" w:rsidRPr="00A878EB" w:rsidRDefault="00D85889" w:rsidP="004F078E">
            <w:r w:rsidRPr="00A878EB">
              <w:br w:type="page"/>
            </w:r>
            <w:r w:rsidRPr="00A878EB">
              <w:br w:type="page"/>
              <w:t>Målet för politikområdet är:</w:t>
            </w:r>
          </w:p>
          <w:p w:rsidR="001E7666" w:rsidRPr="00A878EB" w:rsidRDefault="001E7666" w:rsidP="00D85889">
            <w:pPr>
              <w:pStyle w:val="Lagtext"/>
              <w:rPr>
                <w:i w:val="0"/>
                <w:szCs w:val="19"/>
              </w:rPr>
            </w:pPr>
          </w:p>
          <w:p w:rsidR="001E7666" w:rsidRPr="00A878EB" w:rsidRDefault="00D85889" w:rsidP="00D85889">
            <w:pPr>
              <w:pStyle w:val="Lagtext"/>
              <w:rPr>
                <w:i w:val="0"/>
                <w:szCs w:val="19"/>
              </w:rPr>
            </w:pPr>
            <w:r w:rsidRPr="00A878EB">
              <w:rPr>
                <w:i w:val="0"/>
                <w:szCs w:val="19"/>
              </w:rPr>
              <w:t>att det finansiella systemet ska vara effektivt och tillgodose såväl sam</w:t>
            </w:r>
            <w:r w:rsidRPr="00A878EB">
              <w:rPr>
                <w:i w:val="0"/>
                <w:szCs w:val="19"/>
              </w:rPr>
              <w:softHyphen/>
              <w:t>hällets krav på stabilitet som konsumenternas intresse av ett gott skydd,</w:t>
            </w:r>
          </w:p>
          <w:p w:rsidR="001E7666" w:rsidRPr="00A878EB" w:rsidRDefault="001E7666" w:rsidP="00D85889">
            <w:pPr>
              <w:pStyle w:val="Lagtext"/>
              <w:rPr>
                <w:i w:val="0"/>
                <w:szCs w:val="19"/>
                <w:u w:val="single"/>
              </w:rPr>
            </w:pPr>
          </w:p>
          <w:p w:rsidR="001E7666" w:rsidRPr="00A878EB" w:rsidRDefault="00D85889" w:rsidP="00D85889">
            <w:pPr>
              <w:pStyle w:val="Lagtext"/>
              <w:rPr>
                <w:i w:val="0"/>
                <w:szCs w:val="19"/>
              </w:rPr>
            </w:pPr>
            <w:r w:rsidRPr="00A878EB">
              <w:rPr>
                <w:i w:val="0"/>
                <w:szCs w:val="19"/>
              </w:rPr>
              <w:t>att tillsynen ska bedrivas effektivt samt</w:t>
            </w:r>
          </w:p>
          <w:p w:rsidR="001E7666" w:rsidRPr="00A878EB" w:rsidRDefault="001E7666" w:rsidP="00D85889">
            <w:pPr>
              <w:pStyle w:val="Lagtext"/>
              <w:rPr>
                <w:i w:val="0"/>
                <w:caps/>
                <w:szCs w:val="19"/>
              </w:rPr>
            </w:pPr>
          </w:p>
          <w:p w:rsidR="001E7666" w:rsidRPr="00A878EB" w:rsidRDefault="001E7666" w:rsidP="00D85889">
            <w:pPr>
              <w:pStyle w:val="Lagtext"/>
              <w:rPr>
                <w:i w:val="0"/>
                <w:caps/>
                <w:szCs w:val="19"/>
              </w:rPr>
            </w:pPr>
          </w:p>
          <w:p w:rsidR="001E7666" w:rsidRPr="00A878EB" w:rsidRDefault="001E7666" w:rsidP="00D85889">
            <w:pPr>
              <w:pStyle w:val="Lagtext"/>
              <w:rPr>
                <w:i w:val="0"/>
                <w:caps/>
                <w:szCs w:val="19"/>
              </w:rPr>
            </w:pPr>
          </w:p>
          <w:p w:rsidR="001E7666" w:rsidRPr="00A878EB" w:rsidRDefault="001E7666" w:rsidP="00D85889">
            <w:pPr>
              <w:pStyle w:val="Lagtext"/>
              <w:rPr>
                <w:i w:val="0"/>
                <w:caps/>
                <w:szCs w:val="19"/>
              </w:rPr>
            </w:pPr>
          </w:p>
          <w:p w:rsidR="001E7666" w:rsidRPr="00A878EB" w:rsidRDefault="00D85889" w:rsidP="00D85889">
            <w:pPr>
              <w:pStyle w:val="Lagtext"/>
              <w:rPr>
                <w:i w:val="0"/>
                <w:caps/>
                <w:szCs w:val="19"/>
              </w:rPr>
            </w:pPr>
            <w:r w:rsidRPr="00A878EB">
              <w:rPr>
                <w:i w:val="0"/>
                <w:szCs w:val="19"/>
              </w:rPr>
              <w:t>att kostnaderna för statsskulden lång</w:t>
            </w:r>
            <w:r w:rsidRPr="00A878EB">
              <w:rPr>
                <w:i w:val="0"/>
                <w:szCs w:val="19"/>
              </w:rPr>
              <w:softHyphen/>
              <w:t>siktigt minimeras samtidigt som risken b</w:t>
            </w:r>
            <w:r w:rsidRPr="00A878EB">
              <w:rPr>
                <w:i w:val="0"/>
                <w:szCs w:val="19"/>
              </w:rPr>
              <w:t>e</w:t>
            </w:r>
            <w:r w:rsidRPr="00A878EB">
              <w:rPr>
                <w:i w:val="0"/>
                <w:szCs w:val="19"/>
              </w:rPr>
              <w:t>aktas samt</w:t>
            </w:r>
          </w:p>
          <w:p w:rsidR="001E7666" w:rsidRPr="00A878EB" w:rsidRDefault="001E7666" w:rsidP="00D85889">
            <w:pPr>
              <w:pStyle w:val="Lagtext"/>
              <w:rPr>
                <w:i w:val="0"/>
                <w:szCs w:val="19"/>
                <w:u w:val="single"/>
              </w:rPr>
            </w:pPr>
          </w:p>
          <w:p w:rsidR="001E7666" w:rsidRPr="00A878EB" w:rsidRDefault="00D85889" w:rsidP="00D85889">
            <w:pPr>
              <w:pStyle w:val="Lagtext"/>
              <w:rPr>
                <w:i w:val="0"/>
                <w:szCs w:val="19"/>
              </w:rPr>
            </w:pPr>
            <w:r w:rsidRPr="00A878EB">
              <w:rPr>
                <w:i w:val="0"/>
                <w:szCs w:val="19"/>
              </w:rPr>
              <w:t>att statens finansförvaltning bedrivs effektivt.</w:t>
            </w:r>
          </w:p>
        </w:tc>
        <w:tc>
          <w:tcPr>
            <w:tcW w:w="2543" w:type="pct"/>
          </w:tcPr>
          <w:p w:rsidR="001E7666" w:rsidRPr="00A878EB" w:rsidRDefault="00D85889" w:rsidP="004F078E">
            <w:pPr>
              <w:pStyle w:val="Lagtext"/>
              <w:spacing w:before="125"/>
              <w:rPr>
                <w:i w:val="0"/>
                <w:szCs w:val="19"/>
              </w:rPr>
            </w:pPr>
            <w:r w:rsidRPr="00A878EB">
              <w:rPr>
                <w:i w:val="0"/>
                <w:szCs w:val="19"/>
              </w:rPr>
              <w:t>Målet för politikområdet är:</w:t>
            </w:r>
          </w:p>
          <w:p w:rsidR="001E7666" w:rsidRPr="00A878EB" w:rsidRDefault="001E7666" w:rsidP="00D85889">
            <w:pPr>
              <w:pStyle w:val="Lagtext"/>
              <w:rPr>
                <w:i w:val="0"/>
                <w:szCs w:val="19"/>
              </w:rPr>
            </w:pPr>
          </w:p>
          <w:p w:rsidR="001E7666" w:rsidRPr="00A878EB" w:rsidRDefault="00D85889" w:rsidP="00D85889">
            <w:pPr>
              <w:pStyle w:val="Lagtext"/>
              <w:rPr>
                <w:i w:val="0"/>
                <w:szCs w:val="19"/>
              </w:rPr>
            </w:pPr>
            <w:r w:rsidRPr="00A878EB">
              <w:rPr>
                <w:i w:val="0"/>
                <w:szCs w:val="19"/>
              </w:rPr>
              <w:t xml:space="preserve">att det finansiella systemet ska vara effektivt, </w:t>
            </w:r>
            <w:r w:rsidRPr="00A878EB">
              <w:rPr>
                <w:szCs w:val="19"/>
              </w:rPr>
              <w:t>främja en välutvecklad affärsetik</w:t>
            </w:r>
            <w:r w:rsidRPr="00A878EB">
              <w:rPr>
                <w:i w:val="0"/>
                <w:szCs w:val="19"/>
              </w:rPr>
              <w:t>, och tillgodose såväl sa</w:t>
            </w:r>
            <w:r w:rsidRPr="00A878EB">
              <w:rPr>
                <w:i w:val="0"/>
                <w:szCs w:val="19"/>
              </w:rPr>
              <w:softHyphen/>
              <w:t>m</w:t>
            </w:r>
            <w:r w:rsidR="00E72DCE" w:rsidRPr="00A878EB">
              <w:rPr>
                <w:i w:val="0"/>
                <w:szCs w:val="19"/>
              </w:rPr>
              <w:softHyphen/>
            </w:r>
            <w:r w:rsidRPr="00A878EB">
              <w:rPr>
                <w:i w:val="0"/>
                <w:szCs w:val="19"/>
              </w:rPr>
              <w:t>hällets krav på stabilitet som kon</w:t>
            </w:r>
            <w:r w:rsidRPr="00A878EB">
              <w:rPr>
                <w:i w:val="0"/>
                <w:szCs w:val="19"/>
              </w:rPr>
              <w:softHyphen/>
              <w:t>sumenternas intresse av ett gott skydd,</w:t>
            </w:r>
          </w:p>
          <w:p w:rsidR="001E7666" w:rsidRPr="00A878EB" w:rsidRDefault="001E7666" w:rsidP="00D85889">
            <w:pPr>
              <w:pStyle w:val="Lagtext"/>
              <w:rPr>
                <w:i w:val="0"/>
                <w:szCs w:val="19"/>
                <w:u w:val="single"/>
              </w:rPr>
            </w:pPr>
          </w:p>
          <w:p w:rsidR="001E7666" w:rsidRPr="00A878EB" w:rsidRDefault="00D85889" w:rsidP="00D85889">
            <w:pPr>
              <w:pStyle w:val="Lagtext"/>
              <w:rPr>
                <w:i w:val="0"/>
                <w:szCs w:val="19"/>
              </w:rPr>
            </w:pPr>
            <w:r w:rsidRPr="00A878EB">
              <w:rPr>
                <w:i w:val="0"/>
                <w:szCs w:val="19"/>
              </w:rPr>
              <w:t>att tillsynen ska bedrivas effektivt</w:t>
            </w:r>
            <w:r w:rsidRPr="00A878EB">
              <w:rPr>
                <w:szCs w:val="19"/>
              </w:rPr>
              <w:t xml:space="preserve"> för att upprätthålla och stärka allmän</w:t>
            </w:r>
            <w:r w:rsidRPr="00A878EB">
              <w:rPr>
                <w:szCs w:val="19"/>
              </w:rPr>
              <w:softHyphen/>
              <w:t>hetens och finansiella aktörers för</w:t>
            </w:r>
            <w:r w:rsidRPr="00A878EB">
              <w:rPr>
                <w:szCs w:val="19"/>
              </w:rPr>
              <w:softHyphen/>
              <w:t>troende för den finansiella sekto</w:t>
            </w:r>
            <w:r w:rsidRPr="00A878EB">
              <w:rPr>
                <w:i w:val="0"/>
                <w:szCs w:val="19"/>
              </w:rPr>
              <w:t>rn samt</w:t>
            </w:r>
          </w:p>
          <w:p w:rsidR="001E7666" w:rsidRPr="00A878EB" w:rsidRDefault="001E7666" w:rsidP="00D85889">
            <w:pPr>
              <w:pStyle w:val="Lagtext"/>
              <w:rPr>
                <w:i w:val="0"/>
                <w:caps/>
                <w:szCs w:val="19"/>
              </w:rPr>
            </w:pPr>
          </w:p>
          <w:p w:rsidR="001E7666" w:rsidRPr="00A878EB" w:rsidRDefault="00D85889" w:rsidP="00D85889">
            <w:pPr>
              <w:pStyle w:val="Lagtext"/>
              <w:rPr>
                <w:i w:val="0"/>
                <w:caps/>
                <w:szCs w:val="19"/>
              </w:rPr>
            </w:pPr>
            <w:r w:rsidRPr="00A878EB">
              <w:rPr>
                <w:i w:val="0"/>
                <w:szCs w:val="19"/>
              </w:rPr>
              <w:t>att k</w:t>
            </w:r>
            <w:r w:rsidR="00E72DCE" w:rsidRPr="00A878EB">
              <w:rPr>
                <w:i w:val="0"/>
                <w:szCs w:val="19"/>
              </w:rPr>
              <w:t>ostnaderna för statsskulden lån</w:t>
            </w:r>
            <w:r w:rsidRPr="00A878EB">
              <w:rPr>
                <w:i w:val="0"/>
                <w:szCs w:val="19"/>
              </w:rPr>
              <w:t>g</w:t>
            </w:r>
            <w:r w:rsidR="00E72DCE" w:rsidRPr="00A878EB">
              <w:rPr>
                <w:i w:val="0"/>
                <w:szCs w:val="19"/>
              </w:rPr>
              <w:softHyphen/>
            </w:r>
            <w:r w:rsidRPr="00A878EB">
              <w:rPr>
                <w:i w:val="0"/>
                <w:szCs w:val="19"/>
              </w:rPr>
              <w:t>siktigt minimeras samtidigt som risken b</w:t>
            </w:r>
            <w:r w:rsidRPr="00A878EB">
              <w:rPr>
                <w:i w:val="0"/>
                <w:szCs w:val="19"/>
              </w:rPr>
              <w:t>e</w:t>
            </w:r>
            <w:r w:rsidRPr="00A878EB">
              <w:rPr>
                <w:i w:val="0"/>
                <w:szCs w:val="19"/>
              </w:rPr>
              <w:t>aktas samt</w:t>
            </w:r>
          </w:p>
          <w:p w:rsidR="001E7666" w:rsidRPr="00A878EB" w:rsidRDefault="001E7666" w:rsidP="00D85889">
            <w:pPr>
              <w:pStyle w:val="Lagtext"/>
              <w:rPr>
                <w:i w:val="0"/>
                <w:szCs w:val="19"/>
                <w:u w:val="single"/>
              </w:rPr>
            </w:pPr>
          </w:p>
          <w:p w:rsidR="001E7666" w:rsidRPr="00A878EB" w:rsidRDefault="00D85889" w:rsidP="00D85889">
            <w:pPr>
              <w:pStyle w:val="Lagtext"/>
              <w:rPr>
                <w:i w:val="0"/>
                <w:szCs w:val="19"/>
              </w:rPr>
            </w:pPr>
            <w:r w:rsidRPr="00A878EB">
              <w:rPr>
                <w:i w:val="0"/>
                <w:szCs w:val="19"/>
              </w:rPr>
              <w:t>att statens finansförvaltning bedrivs effektivt.</w:t>
            </w:r>
          </w:p>
        </w:tc>
      </w:tr>
    </w:tbl>
    <w:p w:rsidR="001E7666" w:rsidRPr="00A878EB" w:rsidRDefault="001E7666" w:rsidP="001E7666">
      <w:pPr>
        <w:pStyle w:val="PunktlistaBomb"/>
        <w:numPr>
          <w:ilvl w:val="0"/>
          <w:numId w:val="0"/>
        </w:numPr>
        <w:ind w:left="227" w:hanging="227"/>
      </w:pPr>
      <w:r w:rsidRPr="00A878EB">
        <w:t>Riksdagen bör fatta beslut om denna målförändring.</w:t>
      </w:r>
    </w:p>
    <w:p w:rsidR="001E7666" w:rsidRPr="00A878EB" w:rsidRDefault="001E7666" w:rsidP="001E7666">
      <w:pPr>
        <w:pStyle w:val="Rubrik1"/>
      </w:pPr>
      <w:bookmarkStart w:id="21" w:name="_Toc83915240"/>
      <w:bookmarkStart w:id="22" w:name="_Toc120848052"/>
      <w:r w:rsidRPr="00A878EB">
        <w:t>Politikområdena</w:t>
      </w:r>
      <w:bookmarkEnd w:id="21"/>
      <w:bookmarkEnd w:id="22"/>
    </w:p>
    <w:p w:rsidR="001E7666" w:rsidRPr="00A878EB" w:rsidRDefault="001E7666" w:rsidP="001E7666">
      <w:r w:rsidRPr="00A878EB">
        <w:t>Verksamheten inom utgiftsområdet Samhällsekonomi och finansförvaltning har två mål. Det ena är att den statliga verksamheten ska skötas korrekt, e</w:t>
      </w:r>
      <w:r w:rsidRPr="00A878EB">
        <w:t>f</w:t>
      </w:r>
      <w:r w:rsidRPr="00A878EB">
        <w:t>fektivt och rationellt</w:t>
      </w:r>
      <w:r w:rsidR="003C0C9E" w:rsidRPr="00A878EB">
        <w:t>. D</w:t>
      </w:r>
      <w:r w:rsidRPr="00A878EB">
        <w:t>et andra målet är att skapa stabila förutsättningar för det finansiella systemet genom analys, tillsyn och regleringar av de finansiella institut</w:t>
      </w:r>
      <w:r w:rsidR="003C0C9E" w:rsidRPr="00A878EB">
        <w:t>ionernas</w:t>
      </w:r>
      <w:r w:rsidRPr="00A878EB">
        <w:t xml:space="preserve"> agerande på marknaden, ett gott konsumentskydd samt fö</w:t>
      </w:r>
      <w:r w:rsidRPr="00A878EB">
        <w:t>r</w:t>
      </w:r>
      <w:r w:rsidRPr="00A878EB">
        <w:t>valtning av statens skuld.</w:t>
      </w:r>
    </w:p>
    <w:p w:rsidR="001E7666" w:rsidRPr="00A878EB" w:rsidRDefault="001E7666" w:rsidP="001E7666">
      <w:pPr>
        <w:pStyle w:val="Normaltindrag"/>
      </w:pPr>
      <w:r w:rsidRPr="00A878EB">
        <w:t>Området Effektiv statsförvaltning rör granskning, ekonomisk styrning och utveckling av den statliga verksamheten samt statliga arbetsgivarfrågor, stat</w:t>
      </w:r>
      <w:r w:rsidRPr="00A878EB">
        <w:t>i</w:t>
      </w:r>
      <w:r w:rsidRPr="00A878EB">
        <w:t>stik, prognoser och fastighetsförvaltning. Området Finansiella system och tillsyn omfattar tillsyn och reglering av de finansiella marknaderna, stat</w:t>
      </w:r>
      <w:r w:rsidRPr="00A878EB">
        <w:t>s</w:t>
      </w:r>
      <w:r w:rsidRPr="00A878EB">
        <w:t>skuldsförvaltning, statliga finansierings- och garantiåtaganden, premiepe</w:t>
      </w:r>
      <w:r w:rsidRPr="00A878EB">
        <w:t>n</w:t>
      </w:r>
      <w:r w:rsidRPr="00A878EB">
        <w:t>sionsadministration av de fonderade premiepensionerna i det inkomstbaserade ålderspensionssystemet, finansiell redovisning, internationellt finansiellt sa</w:t>
      </w:r>
      <w:r w:rsidRPr="00A878EB">
        <w:t>m</w:t>
      </w:r>
      <w:r w:rsidRPr="00A878EB">
        <w:t>arbete och tillsyn av spelmarknaden.</w:t>
      </w:r>
    </w:p>
    <w:p w:rsidR="001E7666" w:rsidRPr="00A878EB" w:rsidRDefault="001E7666" w:rsidP="001E7666">
      <w:pPr>
        <w:pStyle w:val="Rubrik1"/>
      </w:pPr>
      <w:bookmarkStart w:id="23" w:name="_Toc83915241"/>
      <w:bookmarkStart w:id="24" w:name="_Toc120848053"/>
      <w:r w:rsidRPr="00A878EB">
        <w:t>Anslagen</w:t>
      </w:r>
      <w:bookmarkEnd w:id="23"/>
      <w:bookmarkEnd w:id="24"/>
    </w:p>
    <w:p w:rsidR="001E7666" w:rsidRPr="00A878EB" w:rsidRDefault="001E7666" w:rsidP="001E7666">
      <w:r w:rsidRPr="00A878EB">
        <w:t>I följande anslagsgenomgång förhåller vi oss till regeringens förslag. Ett ofö</w:t>
      </w:r>
      <w:r w:rsidRPr="00A878EB">
        <w:t>r</w:t>
      </w:r>
      <w:r w:rsidRPr="00A878EB">
        <w:t>ändrat eller ej omnämnt anslag under utgiftsområdet innebär således att vårt förslag överensstämmer med regeringens. Vårt förslag för år 200</w:t>
      </w:r>
      <w:r w:rsidR="003C0C9E" w:rsidRPr="00A878EB">
        <w:t>6</w:t>
      </w:r>
      <w:r w:rsidRPr="00A878EB">
        <w:t xml:space="preserve"> och de preliminära förändringarna för 200</w:t>
      </w:r>
      <w:r w:rsidR="003C0C9E" w:rsidRPr="00A878EB">
        <w:t>7</w:t>
      </w:r>
      <w:r w:rsidRPr="00A878EB">
        <w:t xml:space="preserve"> och 200</w:t>
      </w:r>
      <w:r w:rsidR="003C0C9E" w:rsidRPr="00A878EB">
        <w:t>8</w:t>
      </w:r>
      <w:r w:rsidRPr="00A878EB">
        <w:t xml:space="preserve"> sammanfattas i nedanstående tabell:</w:t>
      </w:r>
    </w:p>
    <w:p w:rsidR="001E7666" w:rsidRPr="00A878EB" w:rsidRDefault="00D85889" w:rsidP="00D85889">
      <w:pPr>
        <w:jc w:val="left"/>
        <w:rPr>
          <w:b/>
          <w:snapToGrid w:val="0"/>
        </w:rPr>
      </w:pPr>
      <w:r w:rsidRPr="00A878EB">
        <w:rPr>
          <w:b/>
          <w:snapToGrid w:val="0"/>
        </w:rPr>
        <w:t>Utgiftsområde 2.</w:t>
      </w:r>
      <w:r w:rsidRPr="00A878EB">
        <w:rPr>
          <w:b/>
          <w:snapToGrid w:val="0"/>
          <w:color w:val="000000"/>
        </w:rPr>
        <w:t xml:space="preserve"> Översikt över </w:t>
      </w:r>
      <w:r w:rsidRPr="00A878EB">
        <w:rPr>
          <w:b/>
          <w:snapToGrid w:val="0"/>
        </w:rPr>
        <w:t>förändringar jämfört med regeringens förslag</w:t>
      </w:r>
    </w:p>
    <w:p w:rsidR="00D85889" w:rsidRPr="00A878EB" w:rsidRDefault="00D85889" w:rsidP="00D85889">
      <w:pPr>
        <w:spacing w:before="0"/>
      </w:pPr>
      <w:r w:rsidRPr="00A878EB">
        <w:rPr>
          <w:i/>
          <w:snapToGrid w:val="0"/>
          <w:sz w:val="16"/>
          <w:szCs w:val="16"/>
        </w:rPr>
        <w:t>Miljoner kronor</w:t>
      </w:r>
    </w:p>
    <w:tbl>
      <w:tblPr>
        <w:tblStyle w:val="Tabellista3"/>
        <w:tblW w:w="5000" w:type="pct"/>
        <w:tblLook w:val="0000" w:firstRow="0" w:lastRow="0" w:firstColumn="0" w:lastColumn="0" w:noHBand="0" w:noVBand="0"/>
      </w:tblPr>
      <w:tblGrid>
        <w:gridCol w:w="3103"/>
        <w:gridCol w:w="1317"/>
        <w:gridCol w:w="767"/>
        <w:gridCol w:w="766"/>
      </w:tblGrid>
      <w:tr w:rsidR="001E7666" w:rsidRPr="00A878EB">
        <w:trPr>
          <w:trHeight w:val="20"/>
        </w:trPr>
        <w:tc>
          <w:tcPr>
            <w:tcW w:w="2607" w:type="pct"/>
            <w:tcBorders>
              <w:top w:val="single" w:sz="6" w:space="0" w:color="000000"/>
              <w:bottom w:val="nil"/>
            </w:tcBorders>
          </w:tcPr>
          <w:p w:rsidR="001E7666" w:rsidRPr="00A878EB" w:rsidRDefault="001E7666" w:rsidP="004F078E">
            <w:pPr>
              <w:keepNext/>
              <w:spacing w:before="0" w:line="200" w:lineRule="exact"/>
              <w:rPr>
                <w:b/>
                <w:i/>
                <w:snapToGrid w:val="0"/>
                <w:sz w:val="16"/>
                <w:szCs w:val="16"/>
              </w:rPr>
            </w:pPr>
          </w:p>
        </w:tc>
        <w:tc>
          <w:tcPr>
            <w:tcW w:w="1106" w:type="pct"/>
            <w:tcBorders>
              <w:top w:val="single" w:sz="6" w:space="0" w:color="000000"/>
              <w:bottom w:val="nil"/>
            </w:tcBorders>
          </w:tcPr>
          <w:p w:rsidR="001E7666" w:rsidRPr="00A878EB" w:rsidRDefault="001E7666" w:rsidP="004F078E">
            <w:pPr>
              <w:spacing w:before="0" w:line="200" w:lineRule="exact"/>
              <w:jc w:val="right"/>
              <w:rPr>
                <w:b/>
                <w:snapToGrid w:val="0"/>
                <w:color w:val="000000"/>
                <w:sz w:val="16"/>
                <w:szCs w:val="16"/>
              </w:rPr>
            </w:pPr>
            <w:r w:rsidRPr="00A878EB">
              <w:rPr>
                <w:b/>
                <w:snapToGrid w:val="0"/>
                <w:color w:val="000000"/>
                <w:sz w:val="16"/>
                <w:szCs w:val="16"/>
              </w:rPr>
              <w:t>Förslag</w:t>
            </w:r>
          </w:p>
        </w:tc>
        <w:tc>
          <w:tcPr>
            <w:tcW w:w="644" w:type="pct"/>
            <w:tcBorders>
              <w:top w:val="single" w:sz="6" w:space="0" w:color="000000"/>
              <w:bottom w:val="nil"/>
            </w:tcBorders>
          </w:tcPr>
          <w:p w:rsidR="001E7666" w:rsidRPr="00A878EB" w:rsidRDefault="001E7666" w:rsidP="004F078E">
            <w:pPr>
              <w:spacing w:before="0" w:line="200" w:lineRule="exact"/>
              <w:jc w:val="right"/>
              <w:rPr>
                <w:b/>
                <w:snapToGrid w:val="0"/>
                <w:color w:val="000000"/>
                <w:sz w:val="16"/>
                <w:szCs w:val="16"/>
              </w:rPr>
            </w:pPr>
            <w:r w:rsidRPr="00A878EB">
              <w:rPr>
                <w:b/>
                <w:snapToGrid w:val="0"/>
                <w:color w:val="000000"/>
                <w:sz w:val="16"/>
                <w:szCs w:val="16"/>
              </w:rPr>
              <w:t>Beräknat</w:t>
            </w:r>
          </w:p>
        </w:tc>
        <w:tc>
          <w:tcPr>
            <w:tcW w:w="644" w:type="pct"/>
            <w:tcBorders>
              <w:top w:val="single" w:sz="6" w:space="0" w:color="000000"/>
              <w:bottom w:val="nil"/>
            </w:tcBorders>
          </w:tcPr>
          <w:p w:rsidR="001E7666" w:rsidRPr="00A878EB" w:rsidRDefault="001E7666" w:rsidP="004F078E">
            <w:pPr>
              <w:spacing w:before="0" w:line="200" w:lineRule="exact"/>
              <w:jc w:val="right"/>
              <w:rPr>
                <w:b/>
                <w:snapToGrid w:val="0"/>
                <w:color w:val="000000"/>
                <w:sz w:val="16"/>
                <w:szCs w:val="16"/>
              </w:rPr>
            </w:pPr>
            <w:r w:rsidRPr="00A878EB">
              <w:rPr>
                <w:b/>
                <w:snapToGrid w:val="0"/>
                <w:color w:val="000000"/>
                <w:sz w:val="16"/>
                <w:szCs w:val="16"/>
              </w:rPr>
              <w:t>Beräknat</w:t>
            </w:r>
          </w:p>
        </w:tc>
      </w:tr>
      <w:tr w:rsidR="001E7666" w:rsidRPr="00A878EB">
        <w:trPr>
          <w:trHeight w:val="20"/>
        </w:trPr>
        <w:tc>
          <w:tcPr>
            <w:tcW w:w="2607" w:type="pct"/>
            <w:tcBorders>
              <w:top w:val="nil"/>
              <w:bottom w:val="single" w:sz="6" w:space="0" w:color="000000"/>
            </w:tcBorders>
            <w:vAlign w:val="bottom"/>
          </w:tcPr>
          <w:p w:rsidR="001E7666" w:rsidRPr="00A878EB" w:rsidRDefault="001E7666" w:rsidP="004F078E">
            <w:pPr>
              <w:spacing w:before="0" w:line="200" w:lineRule="exact"/>
              <w:jc w:val="right"/>
              <w:rPr>
                <w:b/>
                <w:snapToGrid w:val="0"/>
                <w:color w:val="000000"/>
                <w:sz w:val="16"/>
                <w:szCs w:val="16"/>
              </w:rPr>
            </w:pPr>
          </w:p>
        </w:tc>
        <w:tc>
          <w:tcPr>
            <w:tcW w:w="1106" w:type="pct"/>
            <w:tcBorders>
              <w:top w:val="nil"/>
              <w:bottom w:val="single" w:sz="6" w:space="0" w:color="000000"/>
            </w:tcBorders>
            <w:vAlign w:val="bottom"/>
          </w:tcPr>
          <w:p w:rsidR="001E7666" w:rsidRPr="00A878EB" w:rsidRDefault="001E7666" w:rsidP="004F078E">
            <w:pPr>
              <w:spacing w:before="0" w:line="200" w:lineRule="exact"/>
              <w:jc w:val="right"/>
              <w:rPr>
                <w:b/>
                <w:snapToGrid w:val="0"/>
                <w:color w:val="000000"/>
                <w:sz w:val="16"/>
                <w:szCs w:val="16"/>
              </w:rPr>
            </w:pPr>
            <w:r w:rsidRPr="00A878EB">
              <w:rPr>
                <w:b/>
                <w:snapToGrid w:val="0"/>
                <w:color w:val="000000"/>
                <w:sz w:val="16"/>
                <w:szCs w:val="16"/>
              </w:rPr>
              <w:t>200</w:t>
            </w:r>
            <w:r w:rsidR="00A77DD2" w:rsidRPr="00A878EB">
              <w:rPr>
                <w:b/>
                <w:snapToGrid w:val="0"/>
                <w:color w:val="000000"/>
                <w:sz w:val="16"/>
                <w:szCs w:val="16"/>
              </w:rPr>
              <w:t>6</w:t>
            </w:r>
          </w:p>
        </w:tc>
        <w:tc>
          <w:tcPr>
            <w:tcW w:w="644" w:type="pct"/>
            <w:tcBorders>
              <w:top w:val="nil"/>
              <w:bottom w:val="single" w:sz="6" w:space="0" w:color="000000"/>
            </w:tcBorders>
            <w:vAlign w:val="bottom"/>
          </w:tcPr>
          <w:p w:rsidR="001E7666" w:rsidRPr="00A878EB" w:rsidRDefault="001E7666" w:rsidP="004F078E">
            <w:pPr>
              <w:spacing w:before="0" w:line="200" w:lineRule="exact"/>
              <w:jc w:val="right"/>
              <w:rPr>
                <w:b/>
                <w:snapToGrid w:val="0"/>
                <w:color w:val="000000"/>
                <w:sz w:val="16"/>
                <w:szCs w:val="16"/>
              </w:rPr>
            </w:pPr>
            <w:r w:rsidRPr="00A878EB">
              <w:rPr>
                <w:b/>
                <w:snapToGrid w:val="0"/>
                <w:color w:val="000000"/>
                <w:sz w:val="16"/>
                <w:szCs w:val="16"/>
              </w:rPr>
              <w:t>200</w:t>
            </w:r>
            <w:r w:rsidR="00A77DD2" w:rsidRPr="00A878EB">
              <w:rPr>
                <w:b/>
                <w:snapToGrid w:val="0"/>
                <w:color w:val="000000"/>
                <w:sz w:val="16"/>
                <w:szCs w:val="16"/>
              </w:rPr>
              <w:t>7</w:t>
            </w:r>
          </w:p>
        </w:tc>
        <w:tc>
          <w:tcPr>
            <w:tcW w:w="644" w:type="pct"/>
            <w:tcBorders>
              <w:top w:val="nil"/>
              <w:bottom w:val="single" w:sz="6" w:space="0" w:color="000000"/>
            </w:tcBorders>
            <w:vAlign w:val="bottom"/>
          </w:tcPr>
          <w:p w:rsidR="001E7666" w:rsidRPr="00A878EB" w:rsidRDefault="001E7666" w:rsidP="004F078E">
            <w:pPr>
              <w:spacing w:before="0" w:line="200" w:lineRule="exact"/>
              <w:jc w:val="right"/>
              <w:rPr>
                <w:b/>
                <w:snapToGrid w:val="0"/>
                <w:color w:val="000000"/>
                <w:sz w:val="16"/>
                <w:szCs w:val="16"/>
              </w:rPr>
            </w:pPr>
            <w:r w:rsidRPr="00A878EB">
              <w:rPr>
                <w:b/>
                <w:snapToGrid w:val="0"/>
                <w:color w:val="000000"/>
                <w:sz w:val="16"/>
                <w:szCs w:val="16"/>
              </w:rPr>
              <w:t>200</w:t>
            </w:r>
            <w:r w:rsidR="00A77DD2" w:rsidRPr="00A878EB">
              <w:rPr>
                <w:b/>
                <w:snapToGrid w:val="0"/>
                <w:color w:val="000000"/>
                <w:sz w:val="16"/>
                <w:szCs w:val="16"/>
              </w:rPr>
              <w:t>8</w:t>
            </w:r>
          </w:p>
        </w:tc>
      </w:tr>
      <w:tr w:rsidR="001E7666" w:rsidRPr="00A878EB">
        <w:trPr>
          <w:trHeight w:val="254"/>
        </w:trPr>
        <w:tc>
          <w:tcPr>
            <w:tcW w:w="2607" w:type="pct"/>
            <w:tcBorders>
              <w:top w:val="single" w:sz="6" w:space="0" w:color="000000"/>
              <w:bottom w:val="nil"/>
            </w:tcBorders>
          </w:tcPr>
          <w:p w:rsidR="001E7666" w:rsidRPr="00A878EB" w:rsidRDefault="00290757" w:rsidP="001E7666">
            <w:pPr>
              <w:spacing w:line="240" w:lineRule="auto"/>
              <w:rPr>
                <w:b/>
                <w:snapToGrid w:val="0"/>
                <w:color w:val="000000"/>
                <w:sz w:val="16"/>
                <w:szCs w:val="16"/>
              </w:rPr>
            </w:pPr>
            <w:r w:rsidRPr="00A878EB">
              <w:rPr>
                <w:b/>
                <w:snapToGrid w:val="0"/>
                <w:color w:val="000000"/>
                <w:sz w:val="16"/>
                <w:szCs w:val="16"/>
              </w:rPr>
              <w:t>Regeringens</w:t>
            </w:r>
            <w:r w:rsidR="001E7666" w:rsidRPr="00A878EB">
              <w:rPr>
                <w:b/>
                <w:snapToGrid w:val="0"/>
                <w:color w:val="000000"/>
                <w:sz w:val="16"/>
                <w:szCs w:val="16"/>
              </w:rPr>
              <w:t xml:space="preserve"> föreslagna ram</w:t>
            </w:r>
          </w:p>
        </w:tc>
        <w:tc>
          <w:tcPr>
            <w:tcW w:w="1106" w:type="pct"/>
            <w:tcBorders>
              <w:top w:val="single" w:sz="6" w:space="0" w:color="000000"/>
              <w:bottom w:val="nil"/>
            </w:tcBorders>
          </w:tcPr>
          <w:p w:rsidR="001E7666" w:rsidRPr="00A878EB" w:rsidRDefault="001E7666" w:rsidP="001E7666">
            <w:pPr>
              <w:spacing w:line="240" w:lineRule="auto"/>
              <w:jc w:val="right"/>
              <w:rPr>
                <w:b/>
                <w:snapToGrid w:val="0"/>
                <w:color w:val="000000"/>
                <w:sz w:val="16"/>
                <w:szCs w:val="16"/>
              </w:rPr>
            </w:pPr>
            <w:r w:rsidRPr="00A878EB">
              <w:rPr>
                <w:b/>
                <w:snapToGrid w:val="0"/>
                <w:color w:val="000000"/>
                <w:sz w:val="16"/>
                <w:szCs w:val="16"/>
              </w:rPr>
              <w:t xml:space="preserve">11 </w:t>
            </w:r>
            <w:r w:rsidR="00A77DD2" w:rsidRPr="00A878EB">
              <w:rPr>
                <w:b/>
                <w:snapToGrid w:val="0"/>
                <w:color w:val="000000"/>
                <w:sz w:val="16"/>
                <w:szCs w:val="16"/>
              </w:rPr>
              <w:t>809</w:t>
            </w:r>
          </w:p>
        </w:tc>
        <w:tc>
          <w:tcPr>
            <w:tcW w:w="644" w:type="pct"/>
            <w:tcBorders>
              <w:top w:val="single" w:sz="6" w:space="0" w:color="000000"/>
              <w:bottom w:val="nil"/>
            </w:tcBorders>
          </w:tcPr>
          <w:p w:rsidR="001E7666" w:rsidRPr="00A878EB" w:rsidRDefault="00A77DD2" w:rsidP="001E7666">
            <w:pPr>
              <w:spacing w:line="240" w:lineRule="auto"/>
              <w:jc w:val="right"/>
              <w:rPr>
                <w:b/>
                <w:snapToGrid w:val="0"/>
                <w:color w:val="000000"/>
                <w:sz w:val="16"/>
                <w:szCs w:val="16"/>
              </w:rPr>
            </w:pPr>
            <w:r w:rsidRPr="00A878EB">
              <w:rPr>
                <w:b/>
                <w:snapToGrid w:val="0"/>
                <w:color w:val="000000"/>
                <w:sz w:val="16"/>
                <w:szCs w:val="16"/>
              </w:rPr>
              <w:t>11 790</w:t>
            </w:r>
          </w:p>
        </w:tc>
        <w:tc>
          <w:tcPr>
            <w:tcW w:w="644" w:type="pct"/>
            <w:tcBorders>
              <w:top w:val="single" w:sz="6" w:space="0" w:color="000000"/>
              <w:bottom w:val="nil"/>
            </w:tcBorders>
          </w:tcPr>
          <w:p w:rsidR="001E7666" w:rsidRPr="00A878EB" w:rsidRDefault="00A77DD2" w:rsidP="001E7666">
            <w:pPr>
              <w:spacing w:line="240" w:lineRule="auto"/>
              <w:jc w:val="right"/>
              <w:rPr>
                <w:b/>
                <w:snapToGrid w:val="0"/>
                <w:color w:val="000000"/>
                <w:sz w:val="16"/>
                <w:szCs w:val="16"/>
              </w:rPr>
            </w:pPr>
            <w:r w:rsidRPr="00A878EB">
              <w:rPr>
                <w:b/>
                <w:snapToGrid w:val="0"/>
                <w:color w:val="000000"/>
                <w:sz w:val="16"/>
                <w:szCs w:val="16"/>
              </w:rPr>
              <w:t>11 142</w:t>
            </w:r>
          </w:p>
        </w:tc>
      </w:tr>
      <w:tr w:rsidR="001E7666" w:rsidRPr="00A878EB">
        <w:trPr>
          <w:trHeight w:val="254"/>
        </w:trPr>
        <w:tc>
          <w:tcPr>
            <w:tcW w:w="2607" w:type="pct"/>
            <w:tcBorders>
              <w:top w:val="nil"/>
              <w:bottom w:val="nil"/>
            </w:tcBorders>
          </w:tcPr>
          <w:p w:rsidR="001E7666" w:rsidRPr="00A878EB" w:rsidRDefault="001E7666" w:rsidP="00D85889">
            <w:pPr>
              <w:spacing w:line="240" w:lineRule="auto"/>
              <w:jc w:val="left"/>
              <w:rPr>
                <w:b/>
                <w:snapToGrid w:val="0"/>
                <w:color w:val="000000"/>
                <w:sz w:val="16"/>
                <w:szCs w:val="16"/>
              </w:rPr>
            </w:pPr>
            <w:r w:rsidRPr="00A878EB">
              <w:rPr>
                <w:b/>
                <w:snapToGrid w:val="0"/>
                <w:color w:val="000000"/>
                <w:sz w:val="16"/>
                <w:szCs w:val="16"/>
              </w:rPr>
              <w:t>Kristdemokraternas föreslagna förän</w:t>
            </w:r>
            <w:r w:rsidRPr="00A878EB">
              <w:rPr>
                <w:b/>
                <w:snapToGrid w:val="0"/>
                <w:color w:val="000000"/>
                <w:sz w:val="16"/>
                <w:szCs w:val="16"/>
              </w:rPr>
              <w:t>d</w:t>
            </w:r>
            <w:r w:rsidRPr="00A878EB">
              <w:rPr>
                <w:b/>
                <w:snapToGrid w:val="0"/>
                <w:color w:val="000000"/>
                <w:sz w:val="16"/>
                <w:szCs w:val="16"/>
              </w:rPr>
              <w:t>ringar:</w:t>
            </w:r>
          </w:p>
        </w:tc>
        <w:tc>
          <w:tcPr>
            <w:tcW w:w="1106" w:type="pct"/>
            <w:tcBorders>
              <w:top w:val="nil"/>
              <w:bottom w:val="nil"/>
            </w:tcBorders>
          </w:tcPr>
          <w:p w:rsidR="001E7666" w:rsidRPr="00A878EB" w:rsidRDefault="001E7666" w:rsidP="001E7666">
            <w:pPr>
              <w:spacing w:line="240" w:lineRule="auto"/>
              <w:jc w:val="right"/>
              <w:rPr>
                <w:b/>
                <w:snapToGrid w:val="0"/>
                <w:color w:val="000000"/>
                <w:sz w:val="16"/>
                <w:szCs w:val="16"/>
              </w:rPr>
            </w:pPr>
          </w:p>
        </w:tc>
        <w:tc>
          <w:tcPr>
            <w:tcW w:w="644" w:type="pct"/>
            <w:tcBorders>
              <w:top w:val="nil"/>
              <w:bottom w:val="nil"/>
            </w:tcBorders>
          </w:tcPr>
          <w:p w:rsidR="001E7666" w:rsidRPr="00A878EB" w:rsidRDefault="001E7666" w:rsidP="001E7666">
            <w:pPr>
              <w:spacing w:line="240" w:lineRule="auto"/>
              <w:jc w:val="right"/>
              <w:rPr>
                <w:b/>
                <w:snapToGrid w:val="0"/>
                <w:color w:val="000000"/>
                <w:sz w:val="16"/>
                <w:szCs w:val="16"/>
              </w:rPr>
            </w:pPr>
          </w:p>
        </w:tc>
        <w:tc>
          <w:tcPr>
            <w:tcW w:w="644" w:type="pct"/>
            <w:tcBorders>
              <w:top w:val="nil"/>
              <w:bottom w:val="nil"/>
            </w:tcBorders>
          </w:tcPr>
          <w:p w:rsidR="001E7666" w:rsidRPr="00A878EB" w:rsidRDefault="001E7666" w:rsidP="001E7666">
            <w:pPr>
              <w:spacing w:line="240" w:lineRule="auto"/>
              <w:jc w:val="right"/>
              <w:rPr>
                <w:b/>
                <w:snapToGrid w:val="0"/>
                <w:color w:val="000000"/>
                <w:sz w:val="16"/>
                <w:szCs w:val="16"/>
              </w:rPr>
            </w:pPr>
          </w:p>
        </w:tc>
      </w:tr>
      <w:tr w:rsidR="001E7666" w:rsidRPr="00A878EB">
        <w:trPr>
          <w:trHeight w:val="254"/>
        </w:trPr>
        <w:tc>
          <w:tcPr>
            <w:tcW w:w="2607" w:type="pct"/>
            <w:tcBorders>
              <w:top w:val="nil"/>
              <w:bottom w:val="nil"/>
            </w:tcBorders>
          </w:tcPr>
          <w:p w:rsidR="001E7666" w:rsidRPr="00A878EB" w:rsidRDefault="001E7666" w:rsidP="004F078E">
            <w:pPr>
              <w:tabs>
                <w:tab w:val="left" w:pos="403"/>
              </w:tabs>
              <w:spacing w:line="240" w:lineRule="auto"/>
              <w:jc w:val="left"/>
              <w:rPr>
                <w:snapToGrid w:val="0"/>
                <w:color w:val="000000"/>
                <w:sz w:val="16"/>
                <w:szCs w:val="16"/>
              </w:rPr>
            </w:pPr>
            <w:r w:rsidRPr="00A878EB">
              <w:rPr>
                <w:snapToGrid w:val="0"/>
                <w:color w:val="000000"/>
                <w:sz w:val="16"/>
                <w:szCs w:val="16"/>
              </w:rPr>
              <w:t xml:space="preserve"> 1:3</w:t>
            </w:r>
            <w:r w:rsidR="004F078E" w:rsidRPr="00A878EB">
              <w:rPr>
                <w:snapToGrid w:val="0"/>
                <w:color w:val="000000"/>
                <w:sz w:val="16"/>
                <w:szCs w:val="16"/>
              </w:rPr>
              <w:tab/>
            </w:r>
            <w:r w:rsidRPr="00A878EB">
              <w:rPr>
                <w:snapToGrid w:val="0"/>
                <w:color w:val="000000"/>
                <w:sz w:val="16"/>
                <w:szCs w:val="16"/>
              </w:rPr>
              <w:t xml:space="preserve"> Statskontoret</w:t>
            </w:r>
          </w:p>
        </w:tc>
        <w:tc>
          <w:tcPr>
            <w:tcW w:w="1106"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20</w:t>
            </w:r>
          </w:p>
        </w:tc>
        <w:tc>
          <w:tcPr>
            <w:tcW w:w="644"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20</w:t>
            </w:r>
          </w:p>
        </w:tc>
        <w:tc>
          <w:tcPr>
            <w:tcW w:w="644"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2</w:t>
            </w:r>
            <w:r w:rsidR="00A77DD2" w:rsidRPr="00A878EB">
              <w:rPr>
                <w:snapToGrid w:val="0"/>
                <w:color w:val="000000"/>
                <w:sz w:val="16"/>
                <w:szCs w:val="16"/>
              </w:rPr>
              <w:t>0</w:t>
            </w:r>
          </w:p>
        </w:tc>
      </w:tr>
      <w:tr w:rsidR="001E7666" w:rsidRPr="00A878EB">
        <w:trPr>
          <w:trHeight w:val="254"/>
        </w:trPr>
        <w:tc>
          <w:tcPr>
            <w:tcW w:w="2607" w:type="pct"/>
            <w:tcBorders>
              <w:top w:val="nil"/>
              <w:bottom w:val="nil"/>
            </w:tcBorders>
          </w:tcPr>
          <w:p w:rsidR="001E7666" w:rsidRPr="00A878EB" w:rsidRDefault="004F078E" w:rsidP="004F078E">
            <w:pPr>
              <w:tabs>
                <w:tab w:val="left" w:pos="403"/>
              </w:tabs>
              <w:spacing w:line="240" w:lineRule="auto"/>
              <w:jc w:val="left"/>
              <w:rPr>
                <w:snapToGrid w:val="0"/>
                <w:color w:val="000000"/>
                <w:sz w:val="16"/>
                <w:szCs w:val="16"/>
              </w:rPr>
            </w:pPr>
            <w:r w:rsidRPr="00A878EB">
              <w:rPr>
                <w:snapToGrid w:val="0"/>
                <w:color w:val="000000"/>
                <w:sz w:val="16"/>
                <w:szCs w:val="16"/>
              </w:rPr>
              <w:t xml:space="preserve"> </w:t>
            </w:r>
            <w:r w:rsidR="001E7666" w:rsidRPr="00A878EB">
              <w:rPr>
                <w:snapToGrid w:val="0"/>
                <w:color w:val="000000"/>
                <w:sz w:val="16"/>
                <w:szCs w:val="16"/>
              </w:rPr>
              <w:t>1:5</w:t>
            </w:r>
            <w:r w:rsidRPr="00A878EB">
              <w:rPr>
                <w:snapToGrid w:val="0"/>
                <w:color w:val="000000"/>
                <w:sz w:val="16"/>
                <w:szCs w:val="16"/>
              </w:rPr>
              <w:tab/>
            </w:r>
            <w:r w:rsidR="001E7666" w:rsidRPr="00A878EB">
              <w:rPr>
                <w:snapToGrid w:val="0"/>
                <w:color w:val="000000"/>
                <w:sz w:val="16"/>
                <w:szCs w:val="16"/>
              </w:rPr>
              <w:t>SCB</w:t>
            </w:r>
          </w:p>
        </w:tc>
        <w:tc>
          <w:tcPr>
            <w:tcW w:w="1106"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40</w:t>
            </w:r>
          </w:p>
        </w:tc>
        <w:tc>
          <w:tcPr>
            <w:tcW w:w="644"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45</w:t>
            </w:r>
          </w:p>
        </w:tc>
        <w:tc>
          <w:tcPr>
            <w:tcW w:w="644"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70</w:t>
            </w:r>
          </w:p>
        </w:tc>
      </w:tr>
      <w:tr w:rsidR="001E7666" w:rsidRPr="00A878EB">
        <w:trPr>
          <w:trHeight w:val="254"/>
        </w:trPr>
        <w:tc>
          <w:tcPr>
            <w:tcW w:w="2607" w:type="pct"/>
            <w:tcBorders>
              <w:top w:val="nil"/>
              <w:bottom w:val="nil"/>
            </w:tcBorders>
          </w:tcPr>
          <w:p w:rsidR="001E7666" w:rsidRPr="00A878EB" w:rsidRDefault="004F078E" w:rsidP="004F078E">
            <w:pPr>
              <w:tabs>
                <w:tab w:val="left" w:pos="403"/>
              </w:tabs>
              <w:spacing w:line="240" w:lineRule="auto"/>
              <w:jc w:val="left"/>
              <w:rPr>
                <w:snapToGrid w:val="0"/>
                <w:color w:val="000000"/>
                <w:sz w:val="16"/>
                <w:szCs w:val="16"/>
              </w:rPr>
            </w:pPr>
            <w:r w:rsidRPr="00A878EB">
              <w:rPr>
                <w:snapToGrid w:val="0"/>
                <w:color w:val="000000"/>
                <w:sz w:val="16"/>
                <w:szCs w:val="16"/>
              </w:rPr>
              <w:t xml:space="preserve"> </w:t>
            </w:r>
            <w:r w:rsidR="001E7666" w:rsidRPr="00A878EB">
              <w:rPr>
                <w:snapToGrid w:val="0"/>
                <w:color w:val="000000"/>
                <w:sz w:val="16"/>
                <w:szCs w:val="16"/>
              </w:rPr>
              <w:t>1:6</w:t>
            </w:r>
            <w:r w:rsidRPr="00A878EB">
              <w:rPr>
                <w:snapToGrid w:val="0"/>
                <w:color w:val="000000"/>
                <w:sz w:val="16"/>
                <w:szCs w:val="16"/>
              </w:rPr>
              <w:tab/>
            </w:r>
            <w:r w:rsidR="001E7666" w:rsidRPr="00A878EB">
              <w:rPr>
                <w:snapToGrid w:val="0"/>
                <w:color w:val="000000"/>
                <w:sz w:val="16"/>
                <w:szCs w:val="16"/>
              </w:rPr>
              <w:t>Kammarkollegiet</w:t>
            </w:r>
          </w:p>
        </w:tc>
        <w:tc>
          <w:tcPr>
            <w:tcW w:w="1106"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8</w:t>
            </w:r>
          </w:p>
        </w:tc>
        <w:tc>
          <w:tcPr>
            <w:tcW w:w="644"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1</w:t>
            </w:r>
            <w:r w:rsidR="00A77DD2" w:rsidRPr="00A878EB">
              <w:rPr>
                <w:snapToGrid w:val="0"/>
                <w:color w:val="000000"/>
                <w:sz w:val="16"/>
                <w:szCs w:val="16"/>
              </w:rPr>
              <w:t>0</w:t>
            </w:r>
          </w:p>
        </w:tc>
        <w:tc>
          <w:tcPr>
            <w:tcW w:w="644"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1</w:t>
            </w:r>
            <w:r w:rsidR="00A77DD2" w:rsidRPr="00A878EB">
              <w:rPr>
                <w:snapToGrid w:val="0"/>
                <w:color w:val="000000"/>
                <w:sz w:val="16"/>
                <w:szCs w:val="16"/>
              </w:rPr>
              <w:t>0</w:t>
            </w:r>
          </w:p>
        </w:tc>
      </w:tr>
      <w:tr w:rsidR="00A77DD2" w:rsidRPr="00A878EB">
        <w:trPr>
          <w:trHeight w:val="254"/>
        </w:trPr>
        <w:tc>
          <w:tcPr>
            <w:tcW w:w="2607" w:type="pct"/>
            <w:tcBorders>
              <w:top w:val="nil"/>
              <w:bottom w:val="nil"/>
            </w:tcBorders>
          </w:tcPr>
          <w:p w:rsidR="00A77DD2" w:rsidRPr="00A878EB" w:rsidRDefault="004F078E" w:rsidP="004F078E">
            <w:pPr>
              <w:tabs>
                <w:tab w:val="left" w:pos="403"/>
              </w:tabs>
              <w:spacing w:line="240" w:lineRule="auto"/>
              <w:jc w:val="left"/>
              <w:rPr>
                <w:snapToGrid w:val="0"/>
                <w:color w:val="000000"/>
                <w:sz w:val="16"/>
                <w:szCs w:val="16"/>
              </w:rPr>
            </w:pPr>
            <w:r w:rsidRPr="00A878EB">
              <w:rPr>
                <w:snapToGrid w:val="0"/>
                <w:color w:val="000000"/>
                <w:sz w:val="16"/>
                <w:szCs w:val="16"/>
              </w:rPr>
              <w:t xml:space="preserve"> </w:t>
            </w:r>
            <w:r w:rsidR="00A77DD2" w:rsidRPr="00A878EB">
              <w:rPr>
                <w:snapToGrid w:val="0"/>
                <w:color w:val="000000"/>
                <w:sz w:val="16"/>
                <w:szCs w:val="16"/>
              </w:rPr>
              <w:t>1:7</w:t>
            </w:r>
            <w:r w:rsidRPr="00A878EB">
              <w:rPr>
                <w:snapToGrid w:val="0"/>
                <w:color w:val="000000"/>
                <w:sz w:val="16"/>
                <w:szCs w:val="16"/>
              </w:rPr>
              <w:tab/>
            </w:r>
            <w:r w:rsidR="00A77DD2" w:rsidRPr="00A878EB">
              <w:rPr>
                <w:snapToGrid w:val="0"/>
                <w:color w:val="000000"/>
                <w:sz w:val="16"/>
                <w:szCs w:val="16"/>
              </w:rPr>
              <w:t xml:space="preserve"> NOU</w:t>
            </w:r>
          </w:p>
        </w:tc>
        <w:tc>
          <w:tcPr>
            <w:tcW w:w="1106" w:type="pct"/>
            <w:tcBorders>
              <w:top w:val="nil"/>
              <w:bottom w:val="nil"/>
            </w:tcBorders>
          </w:tcPr>
          <w:p w:rsidR="00A77DD2" w:rsidRPr="00A878EB" w:rsidRDefault="00A45B14" w:rsidP="00777E8C">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4</w:t>
            </w:r>
          </w:p>
        </w:tc>
        <w:tc>
          <w:tcPr>
            <w:tcW w:w="644" w:type="pct"/>
            <w:tcBorders>
              <w:top w:val="nil"/>
              <w:bottom w:val="nil"/>
            </w:tcBorders>
          </w:tcPr>
          <w:p w:rsidR="00A77DD2" w:rsidRPr="00A878EB" w:rsidRDefault="00A45B14" w:rsidP="00777E8C">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8,3</w:t>
            </w:r>
          </w:p>
        </w:tc>
        <w:tc>
          <w:tcPr>
            <w:tcW w:w="644" w:type="pct"/>
            <w:tcBorders>
              <w:top w:val="nil"/>
              <w:bottom w:val="nil"/>
            </w:tcBorders>
          </w:tcPr>
          <w:p w:rsidR="00A77DD2" w:rsidRPr="00A878EB" w:rsidRDefault="00A45B14" w:rsidP="00777E8C">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8,5</w:t>
            </w:r>
          </w:p>
        </w:tc>
      </w:tr>
      <w:tr w:rsidR="00A77DD2" w:rsidRPr="00A878EB">
        <w:trPr>
          <w:trHeight w:val="254"/>
        </w:trPr>
        <w:tc>
          <w:tcPr>
            <w:tcW w:w="2607" w:type="pct"/>
            <w:tcBorders>
              <w:top w:val="nil"/>
              <w:bottom w:val="nil"/>
            </w:tcBorders>
          </w:tcPr>
          <w:p w:rsidR="00A77DD2" w:rsidRPr="00A878EB" w:rsidRDefault="00A77DD2" w:rsidP="004F078E">
            <w:pPr>
              <w:tabs>
                <w:tab w:val="left" w:pos="403"/>
              </w:tabs>
              <w:spacing w:line="240" w:lineRule="auto"/>
              <w:jc w:val="left"/>
              <w:rPr>
                <w:snapToGrid w:val="0"/>
                <w:color w:val="000000"/>
                <w:sz w:val="16"/>
                <w:szCs w:val="16"/>
              </w:rPr>
            </w:pPr>
            <w:r w:rsidRPr="00A878EB">
              <w:rPr>
                <w:snapToGrid w:val="0"/>
                <w:color w:val="000000"/>
                <w:sz w:val="16"/>
                <w:szCs w:val="16"/>
              </w:rPr>
              <w:t xml:space="preserve"> 1:8</w:t>
            </w:r>
            <w:r w:rsidR="004F078E" w:rsidRPr="00A878EB">
              <w:rPr>
                <w:snapToGrid w:val="0"/>
                <w:color w:val="000000"/>
                <w:sz w:val="16"/>
                <w:szCs w:val="16"/>
              </w:rPr>
              <w:tab/>
            </w:r>
            <w:r w:rsidRPr="00A878EB">
              <w:rPr>
                <w:snapToGrid w:val="0"/>
                <w:color w:val="000000"/>
                <w:sz w:val="16"/>
                <w:szCs w:val="16"/>
              </w:rPr>
              <w:t>Nya förvaltningsmy</w:t>
            </w:r>
            <w:r w:rsidRPr="00A878EB">
              <w:rPr>
                <w:snapToGrid w:val="0"/>
                <w:color w:val="000000"/>
                <w:sz w:val="16"/>
                <w:szCs w:val="16"/>
              </w:rPr>
              <w:t>n</w:t>
            </w:r>
            <w:r w:rsidRPr="00A878EB">
              <w:rPr>
                <w:snapToGrid w:val="0"/>
                <w:color w:val="000000"/>
                <w:sz w:val="16"/>
                <w:szCs w:val="16"/>
              </w:rPr>
              <w:t>digheten</w:t>
            </w:r>
          </w:p>
        </w:tc>
        <w:tc>
          <w:tcPr>
            <w:tcW w:w="1106" w:type="pct"/>
            <w:tcBorders>
              <w:top w:val="nil"/>
              <w:bottom w:val="nil"/>
            </w:tcBorders>
          </w:tcPr>
          <w:p w:rsidR="00A77DD2"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47,1</w:t>
            </w:r>
          </w:p>
        </w:tc>
        <w:tc>
          <w:tcPr>
            <w:tcW w:w="644" w:type="pct"/>
            <w:tcBorders>
              <w:top w:val="nil"/>
              <w:bottom w:val="nil"/>
            </w:tcBorders>
          </w:tcPr>
          <w:p w:rsidR="00A77DD2"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50,4</w:t>
            </w:r>
          </w:p>
        </w:tc>
        <w:tc>
          <w:tcPr>
            <w:tcW w:w="644" w:type="pct"/>
            <w:tcBorders>
              <w:top w:val="nil"/>
              <w:bottom w:val="nil"/>
            </w:tcBorders>
          </w:tcPr>
          <w:p w:rsidR="00A77DD2"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51,3</w:t>
            </w:r>
          </w:p>
        </w:tc>
      </w:tr>
      <w:tr w:rsidR="001E7666" w:rsidRPr="00A878EB">
        <w:trPr>
          <w:trHeight w:val="254"/>
        </w:trPr>
        <w:tc>
          <w:tcPr>
            <w:tcW w:w="2607" w:type="pct"/>
            <w:tcBorders>
              <w:top w:val="nil"/>
              <w:bottom w:val="nil"/>
            </w:tcBorders>
          </w:tcPr>
          <w:p w:rsidR="001E7666" w:rsidRPr="00A878EB" w:rsidRDefault="004F078E" w:rsidP="004F078E">
            <w:pPr>
              <w:tabs>
                <w:tab w:val="left" w:pos="403"/>
              </w:tabs>
              <w:spacing w:line="240" w:lineRule="auto"/>
              <w:jc w:val="left"/>
              <w:rPr>
                <w:snapToGrid w:val="0"/>
                <w:color w:val="000000"/>
                <w:sz w:val="16"/>
                <w:szCs w:val="16"/>
              </w:rPr>
            </w:pPr>
            <w:r w:rsidRPr="00A878EB">
              <w:rPr>
                <w:snapToGrid w:val="0"/>
                <w:color w:val="000000"/>
                <w:sz w:val="16"/>
                <w:szCs w:val="16"/>
              </w:rPr>
              <w:t xml:space="preserve"> </w:t>
            </w:r>
            <w:r w:rsidR="001E7666" w:rsidRPr="00A878EB">
              <w:rPr>
                <w:snapToGrid w:val="0"/>
                <w:color w:val="000000"/>
                <w:sz w:val="16"/>
                <w:szCs w:val="16"/>
              </w:rPr>
              <w:t>1:10</w:t>
            </w:r>
            <w:r w:rsidRPr="00A878EB">
              <w:rPr>
                <w:snapToGrid w:val="0"/>
                <w:color w:val="000000"/>
                <w:sz w:val="16"/>
                <w:szCs w:val="16"/>
              </w:rPr>
              <w:tab/>
            </w:r>
            <w:r w:rsidR="001E7666" w:rsidRPr="00A878EB">
              <w:rPr>
                <w:snapToGrid w:val="0"/>
                <w:color w:val="000000"/>
                <w:sz w:val="16"/>
                <w:szCs w:val="16"/>
              </w:rPr>
              <w:t>Ekonomiska rådet</w:t>
            </w:r>
          </w:p>
        </w:tc>
        <w:tc>
          <w:tcPr>
            <w:tcW w:w="1106"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2</w:t>
            </w:r>
          </w:p>
        </w:tc>
        <w:tc>
          <w:tcPr>
            <w:tcW w:w="644"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2</w:t>
            </w:r>
          </w:p>
        </w:tc>
        <w:tc>
          <w:tcPr>
            <w:tcW w:w="644"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2</w:t>
            </w:r>
          </w:p>
        </w:tc>
      </w:tr>
      <w:tr w:rsidR="00A77DD2" w:rsidRPr="00A878EB">
        <w:trPr>
          <w:trHeight w:val="254"/>
        </w:trPr>
        <w:tc>
          <w:tcPr>
            <w:tcW w:w="2607" w:type="pct"/>
            <w:tcBorders>
              <w:top w:val="nil"/>
              <w:bottom w:val="nil"/>
            </w:tcBorders>
          </w:tcPr>
          <w:p w:rsidR="00A77DD2" w:rsidRPr="00A878EB" w:rsidRDefault="004F078E" w:rsidP="004F078E">
            <w:pPr>
              <w:tabs>
                <w:tab w:val="left" w:pos="403"/>
              </w:tabs>
              <w:spacing w:line="240" w:lineRule="auto"/>
              <w:jc w:val="left"/>
              <w:rPr>
                <w:snapToGrid w:val="0"/>
                <w:color w:val="000000"/>
                <w:sz w:val="16"/>
                <w:szCs w:val="16"/>
              </w:rPr>
            </w:pPr>
            <w:r w:rsidRPr="00A878EB">
              <w:rPr>
                <w:snapToGrid w:val="0"/>
                <w:color w:val="000000"/>
                <w:sz w:val="16"/>
                <w:szCs w:val="16"/>
              </w:rPr>
              <w:t xml:space="preserve"> </w:t>
            </w:r>
            <w:r w:rsidR="00A77DD2" w:rsidRPr="00A878EB">
              <w:rPr>
                <w:snapToGrid w:val="0"/>
                <w:color w:val="000000"/>
                <w:sz w:val="16"/>
                <w:szCs w:val="16"/>
              </w:rPr>
              <w:t>1:12</w:t>
            </w:r>
            <w:r w:rsidRPr="00A878EB">
              <w:rPr>
                <w:snapToGrid w:val="0"/>
                <w:color w:val="000000"/>
                <w:sz w:val="16"/>
                <w:szCs w:val="16"/>
              </w:rPr>
              <w:tab/>
            </w:r>
            <w:r w:rsidR="00A77DD2" w:rsidRPr="00A878EB">
              <w:rPr>
                <w:snapToGrid w:val="0"/>
                <w:color w:val="000000"/>
                <w:sz w:val="16"/>
                <w:szCs w:val="16"/>
              </w:rPr>
              <w:t>Statliga kompetensöve</w:t>
            </w:r>
            <w:r w:rsidR="00A77DD2" w:rsidRPr="00A878EB">
              <w:rPr>
                <w:snapToGrid w:val="0"/>
                <w:color w:val="000000"/>
                <w:sz w:val="16"/>
                <w:szCs w:val="16"/>
              </w:rPr>
              <w:t>r</w:t>
            </w:r>
            <w:r w:rsidR="00A77DD2" w:rsidRPr="00A878EB">
              <w:rPr>
                <w:snapToGrid w:val="0"/>
                <w:color w:val="000000"/>
                <w:sz w:val="16"/>
                <w:szCs w:val="16"/>
              </w:rPr>
              <w:t>föringsjobb</w:t>
            </w:r>
          </w:p>
        </w:tc>
        <w:tc>
          <w:tcPr>
            <w:tcW w:w="1106" w:type="pct"/>
            <w:tcBorders>
              <w:top w:val="nil"/>
              <w:bottom w:val="nil"/>
            </w:tcBorders>
          </w:tcPr>
          <w:p w:rsidR="00A77DD2"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360</w:t>
            </w:r>
          </w:p>
        </w:tc>
        <w:tc>
          <w:tcPr>
            <w:tcW w:w="644" w:type="pct"/>
            <w:tcBorders>
              <w:top w:val="nil"/>
              <w:bottom w:val="nil"/>
            </w:tcBorders>
          </w:tcPr>
          <w:p w:rsidR="00A77DD2"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360</w:t>
            </w:r>
          </w:p>
        </w:tc>
        <w:tc>
          <w:tcPr>
            <w:tcW w:w="644" w:type="pct"/>
            <w:tcBorders>
              <w:top w:val="nil"/>
              <w:bottom w:val="nil"/>
            </w:tcBorders>
          </w:tcPr>
          <w:p w:rsidR="00A77DD2" w:rsidRPr="00A878EB" w:rsidRDefault="00A77DD2" w:rsidP="001E7666">
            <w:pPr>
              <w:spacing w:line="240" w:lineRule="auto"/>
              <w:jc w:val="right"/>
              <w:rPr>
                <w:snapToGrid w:val="0"/>
                <w:color w:val="000000"/>
                <w:sz w:val="16"/>
                <w:szCs w:val="16"/>
              </w:rPr>
            </w:pPr>
            <w:r w:rsidRPr="00A878EB">
              <w:rPr>
                <w:snapToGrid w:val="0"/>
                <w:color w:val="000000"/>
                <w:sz w:val="16"/>
                <w:szCs w:val="16"/>
              </w:rPr>
              <w:t>0</w:t>
            </w:r>
          </w:p>
        </w:tc>
      </w:tr>
      <w:tr w:rsidR="001E7666" w:rsidRPr="00A878EB">
        <w:trPr>
          <w:trHeight w:val="254"/>
        </w:trPr>
        <w:tc>
          <w:tcPr>
            <w:tcW w:w="2607" w:type="pct"/>
            <w:tcBorders>
              <w:top w:val="nil"/>
              <w:bottom w:val="nil"/>
            </w:tcBorders>
            <w:vAlign w:val="bottom"/>
          </w:tcPr>
          <w:p w:rsidR="001E7666" w:rsidRPr="00A878EB" w:rsidRDefault="004F078E" w:rsidP="004F078E">
            <w:pPr>
              <w:tabs>
                <w:tab w:val="left" w:pos="403"/>
              </w:tabs>
              <w:spacing w:line="240" w:lineRule="auto"/>
              <w:ind w:left="403" w:hanging="403"/>
              <w:jc w:val="left"/>
              <w:rPr>
                <w:snapToGrid w:val="0"/>
                <w:color w:val="000000"/>
                <w:sz w:val="16"/>
                <w:szCs w:val="16"/>
              </w:rPr>
            </w:pPr>
            <w:r w:rsidRPr="00A878EB">
              <w:rPr>
                <w:snapToGrid w:val="0"/>
                <w:color w:val="000000"/>
                <w:sz w:val="16"/>
                <w:szCs w:val="16"/>
              </w:rPr>
              <w:t xml:space="preserve"> 2:3</w:t>
            </w:r>
            <w:r w:rsidRPr="00A878EB">
              <w:rPr>
                <w:snapToGrid w:val="0"/>
                <w:color w:val="000000"/>
                <w:sz w:val="16"/>
                <w:szCs w:val="16"/>
              </w:rPr>
              <w:tab/>
            </w:r>
            <w:r w:rsidR="00C4580C" w:rsidRPr="00A878EB">
              <w:rPr>
                <w:snapToGrid w:val="0"/>
                <w:color w:val="000000"/>
                <w:sz w:val="16"/>
                <w:szCs w:val="16"/>
              </w:rPr>
              <w:t>Riksgäldskontorets förvaltningskos</w:t>
            </w:r>
            <w:r w:rsidR="00C4580C" w:rsidRPr="00A878EB">
              <w:rPr>
                <w:snapToGrid w:val="0"/>
                <w:color w:val="000000"/>
                <w:sz w:val="16"/>
                <w:szCs w:val="16"/>
              </w:rPr>
              <w:t>t</w:t>
            </w:r>
            <w:r w:rsidR="00C4580C" w:rsidRPr="00A878EB">
              <w:rPr>
                <w:snapToGrid w:val="0"/>
                <w:color w:val="000000"/>
                <w:sz w:val="16"/>
                <w:szCs w:val="16"/>
              </w:rPr>
              <w:t>nader</w:t>
            </w:r>
          </w:p>
        </w:tc>
        <w:tc>
          <w:tcPr>
            <w:tcW w:w="1106" w:type="pct"/>
            <w:tcBorders>
              <w:top w:val="nil"/>
              <w:bottom w:val="nil"/>
            </w:tcBorders>
            <w:vAlign w:val="bottom"/>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13</w:t>
            </w:r>
          </w:p>
        </w:tc>
        <w:tc>
          <w:tcPr>
            <w:tcW w:w="644" w:type="pct"/>
            <w:tcBorders>
              <w:top w:val="nil"/>
              <w:bottom w:val="nil"/>
            </w:tcBorders>
            <w:vAlign w:val="bottom"/>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13</w:t>
            </w:r>
          </w:p>
        </w:tc>
        <w:tc>
          <w:tcPr>
            <w:tcW w:w="644" w:type="pct"/>
            <w:tcBorders>
              <w:top w:val="nil"/>
              <w:bottom w:val="nil"/>
            </w:tcBorders>
            <w:vAlign w:val="bottom"/>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13</w:t>
            </w:r>
          </w:p>
        </w:tc>
      </w:tr>
      <w:tr w:rsidR="001E7666" w:rsidRPr="00A878EB">
        <w:trPr>
          <w:trHeight w:val="254"/>
        </w:trPr>
        <w:tc>
          <w:tcPr>
            <w:tcW w:w="2607" w:type="pct"/>
            <w:tcBorders>
              <w:top w:val="nil"/>
              <w:bottom w:val="nil"/>
            </w:tcBorders>
          </w:tcPr>
          <w:p w:rsidR="001E7666" w:rsidRPr="00A878EB" w:rsidRDefault="004F078E" w:rsidP="004F078E">
            <w:pPr>
              <w:tabs>
                <w:tab w:val="left" w:pos="403"/>
              </w:tabs>
              <w:spacing w:line="240" w:lineRule="auto"/>
              <w:jc w:val="left"/>
              <w:rPr>
                <w:snapToGrid w:val="0"/>
                <w:color w:val="000000"/>
                <w:sz w:val="16"/>
                <w:szCs w:val="16"/>
              </w:rPr>
            </w:pPr>
            <w:r w:rsidRPr="00A878EB">
              <w:rPr>
                <w:snapToGrid w:val="0"/>
                <w:color w:val="000000"/>
                <w:sz w:val="16"/>
                <w:szCs w:val="16"/>
              </w:rPr>
              <w:t xml:space="preserve"> </w:t>
            </w:r>
            <w:r w:rsidR="001E7666" w:rsidRPr="00A878EB">
              <w:rPr>
                <w:snapToGrid w:val="0"/>
                <w:color w:val="000000"/>
                <w:sz w:val="16"/>
                <w:szCs w:val="16"/>
              </w:rPr>
              <w:t>90:1</w:t>
            </w:r>
            <w:r w:rsidRPr="00A878EB">
              <w:rPr>
                <w:snapToGrid w:val="0"/>
                <w:color w:val="000000"/>
                <w:sz w:val="16"/>
                <w:szCs w:val="16"/>
              </w:rPr>
              <w:tab/>
            </w:r>
            <w:r w:rsidR="001E7666" w:rsidRPr="00A878EB">
              <w:rPr>
                <w:snapToGrid w:val="0"/>
                <w:color w:val="000000"/>
                <w:sz w:val="16"/>
                <w:szCs w:val="16"/>
              </w:rPr>
              <w:t>Riksrevisionen</w:t>
            </w:r>
          </w:p>
        </w:tc>
        <w:tc>
          <w:tcPr>
            <w:tcW w:w="1106"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2</w:t>
            </w:r>
            <w:r w:rsidR="001E7666" w:rsidRPr="00A878EB">
              <w:rPr>
                <w:snapToGrid w:val="0"/>
                <w:color w:val="000000"/>
                <w:sz w:val="16"/>
                <w:szCs w:val="16"/>
              </w:rPr>
              <w:t>0</w:t>
            </w:r>
          </w:p>
        </w:tc>
        <w:tc>
          <w:tcPr>
            <w:tcW w:w="644"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2</w:t>
            </w:r>
            <w:r w:rsidR="00A77DD2" w:rsidRPr="00A878EB">
              <w:rPr>
                <w:snapToGrid w:val="0"/>
                <w:color w:val="000000"/>
                <w:sz w:val="16"/>
                <w:szCs w:val="16"/>
              </w:rPr>
              <w:t>5</w:t>
            </w:r>
          </w:p>
        </w:tc>
        <w:tc>
          <w:tcPr>
            <w:tcW w:w="644" w:type="pct"/>
            <w:tcBorders>
              <w:top w:val="nil"/>
              <w:bottom w:val="nil"/>
            </w:tcBorders>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30</w:t>
            </w:r>
          </w:p>
        </w:tc>
      </w:tr>
      <w:tr w:rsidR="001E7666" w:rsidRPr="00A878EB">
        <w:trPr>
          <w:trHeight w:val="254"/>
        </w:trPr>
        <w:tc>
          <w:tcPr>
            <w:tcW w:w="2607" w:type="pct"/>
            <w:tcBorders>
              <w:top w:val="nil"/>
              <w:bottom w:val="nil"/>
            </w:tcBorders>
            <w:vAlign w:val="bottom"/>
          </w:tcPr>
          <w:p w:rsidR="001E7666" w:rsidRPr="00A878EB" w:rsidRDefault="004F078E" w:rsidP="004F078E">
            <w:pPr>
              <w:tabs>
                <w:tab w:val="left" w:pos="403"/>
              </w:tabs>
              <w:spacing w:line="240" w:lineRule="auto"/>
              <w:ind w:left="403" w:hanging="403"/>
              <w:jc w:val="left"/>
              <w:rPr>
                <w:snapToGrid w:val="0"/>
                <w:color w:val="000000"/>
                <w:sz w:val="16"/>
                <w:szCs w:val="16"/>
              </w:rPr>
            </w:pPr>
            <w:r w:rsidRPr="00A878EB">
              <w:rPr>
                <w:snapToGrid w:val="0"/>
                <w:color w:val="000000"/>
                <w:sz w:val="16"/>
                <w:szCs w:val="16"/>
              </w:rPr>
              <w:t xml:space="preserve"> 90:2</w:t>
            </w:r>
            <w:r w:rsidRPr="00A878EB">
              <w:rPr>
                <w:snapToGrid w:val="0"/>
                <w:color w:val="000000"/>
                <w:sz w:val="16"/>
                <w:szCs w:val="16"/>
              </w:rPr>
              <w:tab/>
            </w:r>
            <w:r w:rsidR="001E7666" w:rsidRPr="00A878EB">
              <w:rPr>
                <w:snapToGrid w:val="0"/>
                <w:color w:val="000000"/>
                <w:sz w:val="16"/>
                <w:szCs w:val="16"/>
              </w:rPr>
              <w:t>Försök med trängselskatter i Stoc</w:t>
            </w:r>
            <w:r w:rsidR="001E7666" w:rsidRPr="00A878EB">
              <w:rPr>
                <w:snapToGrid w:val="0"/>
                <w:color w:val="000000"/>
                <w:sz w:val="16"/>
                <w:szCs w:val="16"/>
              </w:rPr>
              <w:t>k</w:t>
            </w:r>
            <w:r w:rsidR="001E7666" w:rsidRPr="00A878EB">
              <w:rPr>
                <w:snapToGrid w:val="0"/>
                <w:color w:val="000000"/>
                <w:sz w:val="16"/>
                <w:szCs w:val="16"/>
              </w:rPr>
              <w:t>holm</w:t>
            </w:r>
          </w:p>
        </w:tc>
        <w:tc>
          <w:tcPr>
            <w:tcW w:w="1106" w:type="pct"/>
            <w:tcBorders>
              <w:top w:val="nil"/>
              <w:bottom w:val="nil"/>
            </w:tcBorders>
            <w:vAlign w:val="bottom"/>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1E7666" w:rsidRPr="00A878EB">
              <w:rPr>
                <w:snapToGrid w:val="0"/>
                <w:color w:val="000000"/>
                <w:sz w:val="16"/>
                <w:szCs w:val="16"/>
              </w:rPr>
              <w:t xml:space="preserve">1 </w:t>
            </w:r>
            <w:r w:rsidR="00A77DD2" w:rsidRPr="00A878EB">
              <w:rPr>
                <w:snapToGrid w:val="0"/>
                <w:color w:val="000000"/>
                <w:sz w:val="16"/>
                <w:szCs w:val="16"/>
              </w:rPr>
              <w:t>359</w:t>
            </w:r>
          </w:p>
        </w:tc>
        <w:tc>
          <w:tcPr>
            <w:tcW w:w="644" w:type="pct"/>
            <w:tcBorders>
              <w:top w:val="nil"/>
              <w:bottom w:val="nil"/>
            </w:tcBorders>
            <w:vAlign w:val="bottom"/>
          </w:tcPr>
          <w:p w:rsidR="001E7666" w:rsidRPr="00A878EB" w:rsidRDefault="00A45B14" w:rsidP="001E7666">
            <w:pPr>
              <w:spacing w:line="240" w:lineRule="auto"/>
              <w:jc w:val="right"/>
              <w:rPr>
                <w:snapToGrid w:val="0"/>
                <w:color w:val="000000"/>
                <w:sz w:val="16"/>
                <w:szCs w:val="16"/>
              </w:rPr>
            </w:pPr>
            <w:r w:rsidRPr="00A878EB">
              <w:rPr>
                <w:snapToGrid w:val="0"/>
                <w:color w:val="000000"/>
                <w:sz w:val="16"/>
                <w:szCs w:val="16"/>
              </w:rPr>
              <w:t>–</w:t>
            </w:r>
            <w:r w:rsidR="00A77DD2" w:rsidRPr="00A878EB">
              <w:rPr>
                <w:snapToGrid w:val="0"/>
                <w:color w:val="000000"/>
                <w:sz w:val="16"/>
                <w:szCs w:val="16"/>
              </w:rPr>
              <w:t>930</w:t>
            </w:r>
          </w:p>
        </w:tc>
        <w:tc>
          <w:tcPr>
            <w:tcW w:w="644" w:type="pct"/>
            <w:tcBorders>
              <w:top w:val="nil"/>
              <w:bottom w:val="nil"/>
            </w:tcBorders>
            <w:vAlign w:val="bottom"/>
          </w:tcPr>
          <w:p w:rsidR="001E7666" w:rsidRPr="00A878EB" w:rsidRDefault="001E7666" w:rsidP="001E7666">
            <w:pPr>
              <w:spacing w:line="240" w:lineRule="auto"/>
              <w:jc w:val="right"/>
              <w:rPr>
                <w:snapToGrid w:val="0"/>
                <w:color w:val="000000"/>
                <w:sz w:val="16"/>
                <w:szCs w:val="16"/>
              </w:rPr>
            </w:pPr>
            <w:r w:rsidRPr="00A878EB">
              <w:rPr>
                <w:snapToGrid w:val="0"/>
                <w:color w:val="000000"/>
                <w:sz w:val="16"/>
                <w:szCs w:val="16"/>
              </w:rPr>
              <w:t>0</w:t>
            </w:r>
          </w:p>
        </w:tc>
      </w:tr>
      <w:tr w:rsidR="001E7666" w:rsidRPr="00A878EB">
        <w:trPr>
          <w:trHeight w:val="254"/>
        </w:trPr>
        <w:tc>
          <w:tcPr>
            <w:tcW w:w="2607" w:type="pct"/>
            <w:tcBorders>
              <w:top w:val="nil"/>
              <w:bottom w:val="nil"/>
            </w:tcBorders>
          </w:tcPr>
          <w:p w:rsidR="001E7666" w:rsidRPr="00A878EB" w:rsidRDefault="001E7666" w:rsidP="004F078E">
            <w:pPr>
              <w:tabs>
                <w:tab w:val="left" w:pos="390"/>
              </w:tabs>
              <w:spacing w:line="240" w:lineRule="auto"/>
              <w:rPr>
                <w:b/>
                <w:snapToGrid w:val="0"/>
                <w:color w:val="000000"/>
                <w:sz w:val="16"/>
                <w:szCs w:val="16"/>
              </w:rPr>
            </w:pPr>
            <w:r w:rsidRPr="00A878EB">
              <w:rPr>
                <w:b/>
                <w:snapToGrid w:val="0"/>
                <w:color w:val="000000"/>
                <w:sz w:val="16"/>
                <w:szCs w:val="16"/>
              </w:rPr>
              <w:t>Summa anslagsförändringar</w:t>
            </w:r>
          </w:p>
        </w:tc>
        <w:tc>
          <w:tcPr>
            <w:tcW w:w="1106" w:type="pct"/>
            <w:tcBorders>
              <w:top w:val="nil"/>
              <w:bottom w:val="nil"/>
            </w:tcBorders>
          </w:tcPr>
          <w:p w:rsidR="001E7666" w:rsidRPr="00A878EB" w:rsidRDefault="00A45B14" w:rsidP="001E7666">
            <w:pPr>
              <w:spacing w:line="240" w:lineRule="auto"/>
              <w:jc w:val="right"/>
              <w:rPr>
                <w:b/>
                <w:snapToGrid w:val="0"/>
                <w:color w:val="000000"/>
                <w:sz w:val="16"/>
                <w:szCs w:val="16"/>
              </w:rPr>
            </w:pPr>
            <w:r w:rsidRPr="00A878EB">
              <w:rPr>
                <w:b/>
                <w:snapToGrid w:val="0"/>
                <w:color w:val="000000"/>
                <w:sz w:val="16"/>
                <w:szCs w:val="16"/>
              </w:rPr>
              <w:t>–</w:t>
            </w:r>
            <w:r w:rsidR="00A77DD2" w:rsidRPr="00A878EB">
              <w:rPr>
                <w:b/>
                <w:snapToGrid w:val="0"/>
                <w:color w:val="000000"/>
                <w:sz w:val="16"/>
                <w:szCs w:val="16"/>
              </w:rPr>
              <w:t>1</w:t>
            </w:r>
            <w:r w:rsidR="00E72DCE" w:rsidRPr="00A878EB">
              <w:rPr>
                <w:b/>
                <w:snapToGrid w:val="0"/>
                <w:color w:val="000000"/>
                <w:sz w:val="16"/>
                <w:szCs w:val="16"/>
              </w:rPr>
              <w:t> </w:t>
            </w:r>
            <w:r w:rsidR="00A77DD2" w:rsidRPr="00A878EB">
              <w:rPr>
                <w:b/>
                <w:snapToGrid w:val="0"/>
                <w:color w:val="000000"/>
                <w:sz w:val="16"/>
                <w:szCs w:val="16"/>
              </w:rPr>
              <w:t>873,0</w:t>
            </w:r>
          </w:p>
        </w:tc>
        <w:tc>
          <w:tcPr>
            <w:tcW w:w="644" w:type="pct"/>
            <w:tcBorders>
              <w:top w:val="nil"/>
              <w:bottom w:val="nil"/>
            </w:tcBorders>
          </w:tcPr>
          <w:p w:rsidR="001E7666" w:rsidRPr="00A878EB" w:rsidRDefault="00A45B14" w:rsidP="001E7666">
            <w:pPr>
              <w:spacing w:line="240" w:lineRule="auto"/>
              <w:jc w:val="right"/>
              <w:rPr>
                <w:b/>
                <w:snapToGrid w:val="0"/>
                <w:color w:val="000000"/>
                <w:sz w:val="16"/>
                <w:szCs w:val="16"/>
              </w:rPr>
            </w:pPr>
            <w:r w:rsidRPr="00A878EB">
              <w:rPr>
                <w:b/>
                <w:snapToGrid w:val="0"/>
                <w:color w:val="000000"/>
                <w:sz w:val="16"/>
                <w:szCs w:val="16"/>
              </w:rPr>
              <w:t>–</w:t>
            </w:r>
            <w:r w:rsidR="00A77DD2" w:rsidRPr="00A878EB">
              <w:rPr>
                <w:b/>
                <w:snapToGrid w:val="0"/>
                <w:color w:val="000000"/>
                <w:sz w:val="16"/>
                <w:szCs w:val="16"/>
              </w:rPr>
              <w:t>1</w:t>
            </w:r>
            <w:r w:rsidR="00E72DCE" w:rsidRPr="00A878EB">
              <w:rPr>
                <w:b/>
                <w:snapToGrid w:val="0"/>
                <w:color w:val="000000"/>
                <w:sz w:val="16"/>
                <w:szCs w:val="16"/>
              </w:rPr>
              <w:t> </w:t>
            </w:r>
            <w:r w:rsidR="00A77DD2" w:rsidRPr="00A878EB">
              <w:rPr>
                <w:b/>
                <w:snapToGrid w:val="0"/>
                <w:color w:val="000000"/>
                <w:sz w:val="16"/>
                <w:szCs w:val="16"/>
              </w:rPr>
              <w:t>463,6</w:t>
            </w:r>
          </w:p>
        </w:tc>
        <w:tc>
          <w:tcPr>
            <w:tcW w:w="644" w:type="pct"/>
            <w:tcBorders>
              <w:top w:val="nil"/>
              <w:bottom w:val="nil"/>
            </w:tcBorders>
          </w:tcPr>
          <w:p w:rsidR="001E7666" w:rsidRPr="00A878EB" w:rsidRDefault="00A45B14" w:rsidP="001E7666">
            <w:pPr>
              <w:spacing w:line="240" w:lineRule="auto"/>
              <w:jc w:val="right"/>
              <w:rPr>
                <w:b/>
                <w:snapToGrid w:val="0"/>
                <w:color w:val="000000"/>
                <w:sz w:val="16"/>
                <w:szCs w:val="16"/>
              </w:rPr>
            </w:pPr>
            <w:r w:rsidRPr="00A878EB">
              <w:rPr>
                <w:b/>
                <w:snapToGrid w:val="0"/>
                <w:color w:val="000000"/>
                <w:sz w:val="16"/>
                <w:szCs w:val="16"/>
              </w:rPr>
              <w:t>–</w:t>
            </w:r>
            <w:r w:rsidR="00A77DD2" w:rsidRPr="00A878EB">
              <w:rPr>
                <w:b/>
                <w:snapToGrid w:val="0"/>
                <w:color w:val="000000"/>
                <w:sz w:val="16"/>
                <w:szCs w:val="16"/>
              </w:rPr>
              <w:t>204,</w:t>
            </w:r>
            <w:r w:rsidR="00290757" w:rsidRPr="00A878EB">
              <w:rPr>
                <w:b/>
                <w:snapToGrid w:val="0"/>
                <w:color w:val="000000"/>
                <w:sz w:val="16"/>
                <w:szCs w:val="16"/>
              </w:rPr>
              <w:t>8</w:t>
            </w:r>
          </w:p>
        </w:tc>
      </w:tr>
      <w:tr w:rsidR="001E7666" w:rsidRPr="00A878EB">
        <w:trPr>
          <w:trHeight w:val="254"/>
        </w:trPr>
        <w:tc>
          <w:tcPr>
            <w:tcW w:w="2607" w:type="pct"/>
            <w:tcBorders>
              <w:top w:val="nil"/>
              <w:bottom w:val="single" w:sz="6" w:space="0" w:color="auto"/>
            </w:tcBorders>
          </w:tcPr>
          <w:p w:rsidR="001E7666" w:rsidRPr="00A878EB" w:rsidRDefault="001E7666" w:rsidP="001E7666">
            <w:pPr>
              <w:spacing w:line="240" w:lineRule="auto"/>
              <w:rPr>
                <w:b/>
                <w:snapToGrid w:val="0"/>
                <w:color w:val="000000"/>
                <w:sz w:val="16"/>
                <w:szCs w:val="16"/>
              </w:rPr>
            </w:pPr>
            <w:r w:rsidRPr="00A878EB">
              <w:rPr>
                <w:b/>
                <w:snapToGrid w:val="0"/>
                <w:color w:val="000000"/>
                <w:sz w:val="16"/>
                <w:szCs w:val="16"/>
              </w:rPr>
              <w:t>Kristdemokraternas totala ram</w:t>
            </w:r>
          </w:p>
        </w:tc>
        <w:tc>
          <w:tcPr>
            <w:tcW w:w="1106" w:type="pct"/>
            <w:tcBorders>
              <w:top w:val="nil"/>
              <w:bottom w:val="single" w:sz="6" w:space="0" w:color="auto"/>
            </w:tcBorders>
          </w:tcPr>
          <w:p w:rsidR="001E7666" w:rsidRPr="00A878EB" w:rsidRDefault="001E7666" w:rsidP="001E7666">
            <w:pPr>
              <w:spacing w:line="240" w:lineRule="auto"/>
              <w:jc w:val="right"/>
              <w:rPr>
                <w:b/>
                <w:snapToGrid w:val="0"/>
                <w:color w:val="000000"/>
                <w:sz w:val="16"/>
                <w:szCs w:val="16"/>
              </w:rPr>
            </w:pPr>
            <w:r w:rsidRPr="00A878EB">
              <w:rPr>
                <w:b/>
                <w:snapToGrid w:val="0"/>
                <w:color w:val="000000"/>
                <w:sz w:val="16"/>
                <w:szCs w:val="16"/>
              </w:rPr>
              <w:t xml:space="preserve">9 </w:t>
            </w:r>
            <w:r w:rsidR="00A77DD2" w:rsidRPr="00A878EB">
              <w:rPr>
                <w:b/>
                <w:snapToGrid w:val="0"/>
                <w:color w:val="000000"/>
                <w:sz w:val="16"/>
                <w:szCs w:val="16"/>
              </w:rPr>
              <w:t>935,9</w:t>
            </w:r>
          </w:p>
        </w:tc>
        <w:tc>
          <w:tcPr>
            <w:tcW w:w="644" w:type="pct"/>
            <w:tcBorders>
              <w:top w:val="nil"/>
              <w:bottom w:val="single" w:sz="6" w:space="0" w:color="auto"/>
            </w:tcBorders>
          </w:tcPr>
          <w:p w:rsidR="001E7666" w:rsidRPr="00A878EB" w:rsidRDefault="00A77DD2" w:rsidP="001E7666">
            <w:pPr>
              <w:spacing w:line="240" w:lineRule="auto"/>
              <w:jc w:val="right"/>
              <w:rPr>
                <w:b/>
                <w:snapToGrid w:val="0"/>
                <w:color w:val="000000"/>
                <w:sz w:val="16"/>
                <w:szCs w:val="16"/>
              </w:rPr>
            </w:pPr>
            <w:r w:rsidRPr="00A878EB">
              <w:rPr>
                <w:b/>
                <w:snapToGrid w:val="0"/>
                <w:color w:val="000000"/>
                <w:sz w:val="16"/>
                <w:szCs w:val="16"/>
              </w:rPr>
              <w:t>10 326,2</w:t>
            </w:r>
          </w:p>
        </w:tc>
        <w:tc>
          <w:tcPr>
            <w:tcW w:w="644" w:type="pct"/>
            <w:tcBorders>
              <w:top w:val="nil"/>
              <w:bottom w:val="single" w:sz="6" w:space="0" w:color="auto"/>
            </w:tcBorders>
          </w:tcPr>
          <w:p w:rsidR="001E7666" w:rsidRPr="00A878EB" w:rsidRDefault="001E7666" w:rsidP="001E7666">
            <w:pPr>
              <w:spacing w:line="240" w:lineRule="auto"/>
              <w:jc w:val="right"/>
              <w:rPr>
                <w:b/>
                <w:snapToGrid w:val="0"/>
                <w:color w:val="000000"/>
                <w:sz w:val="16"/>
                <w:szCs w:val="16"/>
              </w:rPr>
            </w:pPr>
            <w:r w:rsidRPr="00A878EB">
              <w:rPr>
                <w:b/>
                <w:snapToGrid w:val="0"/>
                <w:color w:val="000000"/>
                <w:sz w:val="16"/>
                <w:szCs w:val="16"/>
              </w:rPr>
              <w:t xml:space="preserve">10 </w:t>
            </w:r>
            <w:r w:rsidR="00A77DD2" w:rsidRPr="00A878EB">
              <w:rPr>
                <w:b/>
                <w:snapToGrid w:val="0"/>
                <w:color w:val="000000"/>
                <w:sz w:val="16"/>
                <w:szCs w:val="16"/>
              </w:rPr>
              <w:t>937,2</w:t>
            </w:r>
          </w:p>
        </w:tc>
      </w:tr>
    </w:tbl>
    <w:p w:rsidR="001E7666" w:rsidRPr="00A878EB" w:rsidRDefault="001E7666" w:rsidP="001E7666">
      <w:pPr>
        <w:pStyle w:val="Rubrik2"/>
      </w:pPr>
      <w:bookmarkStart w:id="25" w:name="_Toc83915242"/>
      <w:bookmarkStart w:id="26" w:name="_Toc120848054"/>
      <w:r w:rsidRPr="00A878EB">
        <w:t>Effektivisering och utveckling av statlig verksamhet</w:t>
      </w:r>
      <w:bookmarkEnd w:id="25"/>
      <w:bookmarkEnd w:id="26"/>
    </w:p>
    <w:p w:rsidR="001E7666" w:rsidRPr="00A878EB" w:rsidRDefault="001E7666" w:rsidP="00883C73">
      <w:pPr>
        <w:pStyle w:val="Rubrik3"/>
        <w:numPr>
          <w:ilvl w:val="2"/>
          <w:numId w:val="0"/>
        </w:numPr>
        <w:spacing w:before="120"/>
      </w:pPr>
      <w:bookmarkStart w:id="27" w:name="_Toc83915243"/>
      <w:bookmarkStart w:id="28" w:name="_Toc120848055"/>
      <w:r w:rsidRPr="00A878EB">
        <w:t>Anslag 1:3 Statskontoret</w:t>
      </w:r>
      <w:bookmarkEnd w:id="27"/>
      <w:bookmarkEnd w:id="28"/>
    </w:p>
    <w:p w:rsidR="001E7666" w:rsidRPr="00A878EB" w:rsidRDefault="001E7666" w:rsidP="001E7666">
      <w:r w:rsidRPr="00A878EB">
        <w:t>Statskontorets specifika del av regeringens effektmål är att 1. ”bidra till en ökad effektivitet i statsförvaltningen”, 2. ”erbjuda myndigheterna stöd på IT- och teleområdet avseende inköpssamordning och tillhandahållande av rama</w:t>
      </w:r>
      <w:r w:rsidRPr="00A878EB">
        <w:t>v</w:t>
      </w:r>
      <w:r w:rsidRPr="00A878EB">
        <w:t>tal, som skapar bättre villkor och leder till sänkta kostnader”, 3. ”öka kvalit</w:t>
      </w:r>
      <w:r w:rsidRPr="00A878EB">
        <w:t>e</w:t>
      </w:r>
      <w:r w:rsidRPr="00A878EB">
        <w:t>ten i statistik om offentlig sektor”. En stor del av verksamheten, ca 40 pr</w:t>
      </w:r>
      <w:r w:rsidRPr="00A878EB">
        <w:t>o</w:t>
      </w:r>
      <w:r w:rsidRPr="00A878EB">
        <w:t>cent, är avgiftsfinansierad.</w:t>
      </w:r>
    </w:p>
    <w:p w:rsidR="001E7666" w:rsidRPr="00A878EB" w:rsidRDefault="001E7666" w:rsidP="001E7666">
      <w:pPr>
        <w:pStyle w:val="Normaltindrag"/>
      </w:pPr>
      <w:r w:rsidRPr="00A878EB">
        <w:t>En koncentration och effektivisering av statsförvaltning</w:t>
      </w:r>
      <w:r w:rsidR="00A45B14" w:rsidRPr="00A878EB">
        <w:t>en</w:t>
      </w:r>
      <w:r w:rsidRPr="00A878EB">
        <w:t xml:space="preserve"> inom hela u</w:t>
      </w:r>
      <w:r w:rsidRPr="00A878EB">
        <w:t>t</w:t>
      </w:r>
      <w:r w:rsidRPr="00A878EB">
        <w:t xml:space="preserve">giftsområdet borde genom en statlig snabbutredning prövas enligt följande riktlinjer. </w:t>
      </w:r>
    </w:p>
    <w:p w:rsidR="001E7666" w:rsidRPr="00A878EB" w:rsidRDefault="001E7666" w:rsidP="001E7666">
      <w:pPr>
        <w:pStyle w:val="PunktlistaNummer"/>
        <w:tabs>
          <w:tab w:val="clear" w:pos="360"/>
        </w:tabs>
        <w:ind w:left="227" w:hanging="227"/>
      </w:pPr>
      <w:r w:rsidRPr="00A878EB">
        <w:t>Verksamhet med inriktning på ink</w:t>
      </w:r>
      <w:r w:rsidR="00A45B14" w:rsidRPr="00A878EB">
        <w:t>öpssamordning inom IT- och tele</w:t>
      </w:r>
      <w:r w:rsidRPr="00A878EB">
        <w:t>omr</w:t>
      </w:r>
      <w:r w:rsidRPr="00A878EB">
        <w:t>å</w:t>
      </w:r>
      <w:r w:rsidRPr="00A878EB">
        <w:t xml:space="preserve">det borde kunna föras till Kammarkollegiet, som samordnar andra inköp. Upphandlingsverksamhet inom staten bör skötas av Kammarkollegiet. </w:t>
      </w:r>
    </w:p>
    <w:p w:rsidR="001E7666" w:rsidRPr="00A878EB" w:rsidRDefault="001E7666" w:rsidP="00883C73">
      <w:pPr>
        <w:pStyle w:val="PunktlistaNummer"/>
        <w:tabs>
          <w:tab w:val="clear" w:pos="360"/>
        </w:tabs>
        <w:spacing w:before="0"/>
        <w:ind w:left="227" w:hanging="227"/>
      </w:pPr>
      <w:r w:rsidRPr="00A878EB">
        <w:t xml:space="preserve">Verksamhet med inriktning på statistik om offentlig sektor borde kunna skötas av SCB. </w:t>
      </w:r>
    </w:p>
    <w:p w:rsidR="001E7666" w:rsidRPr="00A878EB" w:rsidRDefault="001E7666" w:rsidP="00883C73">
      <w:pPr>
        <w:pStyle w:val="PunktlistaNummer"/>
        <w:tabs>
          <w:tab w:val="clear" w:pos="360"/>
        </w:tabs>
        <w:spacing w:before="0"/>
        <w:ind w:left="227" w:hanging="227"/>
      </w:pPr>
      <w:r w:rsidRPr="00A878EB">
        <w:t>Verksamhet med inriktning på lokalförsörjning borde kunna övertas av Statens fastighetsverk (vars status, avkastningskrav och förändringsmö</w:t>
      </w:r>
      <w:r w:rsidRPr="00A878EB">
        <w:t>j</w:t>
      </w:r>
      <w:r w:rsidRPr="00A878EB">
        <w:t xml:space="preserve">ligheter får tas upp i särskild ordning). </w:t>
      </w:r>
    </w:p>
    <w:p w:rsidR="001E7666" w:rsidRPr="00A878EB" w:rsidRDefault="001E7666" w:rsidP="00883C73">
      <w:pPr>
        <w:pStyle w:val="PunktlistaNummer"/>
        <w:tabs>
          <w:tab w:val="clear" w:pos="360"/>
        </w:tabs>
        <w:spacing w:before="0"/>
        <w:ind w:left="227" w:hanging="227"/>
      </w:pPr>
      <w:r w:rsidRPr="00A878EB">
        <w:t>Ett vässat statskontor borde kunna samordnas (inte nödvändigtvis samgå) med t.ex. Kammarkollegiet, vilket skulle kunna leda till ytterligare effekt</w:t>
      </w:r>
      <w:r w:rsidRPr="00A878EB">
        <w:t>i</w:t>
      </w:r>
      <w:r w:rsidRPr="00A878EB">
        <w:t>viseringsvinster.</w:t>
      </w:r>
    </w:p>
    <w:p w:rsidR="001E7666" w:rsidRPr="00A878EB" w:rsidRDefault="001E7666" w:rsidP="001E7666">
      <w:r w:rsidRPr="00A878EB">
        <w:t>Mot bakgrund av ett visst anslagssparande, ett överskott från den avgiftsf</w:t>
      </w:r>
      <w:r w:rsidRPr="00A878EB">
        <w:t>i</w:t>
      </w:r>
      <w:r w:rsidRPr="00A878EB">
        <w:t>nansierade verksamheten, en bedömd effektiviseringspotential samt den ö</w:t>
      </w:r>
      <w:r w:rsidRPr="00A878EB">
        <w:t>k</w:t>
      </w:r>
      <w:r w:rsidRPr="00A878EB">
        <w:t>ning av anslaget som föreslås i budgetpropositionen, anser vi att anslaget för år 200</w:t>
      </w:r>
      <w:r w:rsidR="00B516E1" w:rsidRPr="00A878EB">
        <w:t>6</w:t>
      </w:r>
      <w:r w:rsidRPr="00A878EB">
        <w:t xml:space="preserve"> kan minskas med </w:t>
      </w:r>
      <w:r w:rsidR="00B516E1" w:rsidRPr="00A878EB">
        <w:t>20</w:t>
      </w:r>
      <w:r w:rsidRPr="00A878EB">
        <w:t xml:space="preserve"> miljoner kronor. </w:t>
      </w:r>
      <w:r w:rsidR="00B516E1" w:rsidRPr="00A878EB">
        <w:t>Även f</w:t>
      </w:r>
      <w:r w:rsidRPr="00A878EB">
        <w:t xml:space="preserve">ör år 2007 beräknas anslagsminskningen till 20 miljoner kronor </w:t>
      </w:r>
      <w:r w:rsidR="00A45B14" w:rsidRPr="00A878EB">
        <w:t xml:space="preserve">jämfört med </w:t>
      </w:r>
      <w:r w:rsidRPr="00A878EB">
        <w:t>regeringens förslag.</w:t>
      </w:r>
    </w:p>
    <w:p w:rsidR="001E7666" w:rsidRPr="00A878EB" w:rsidRDefault="00C4580C" w:rsidP="00B15E5F">
      <w:pPr>
        <w:pStyle w:val="Rubrik3"/>
        <w:numPr>
          <w:ilvl w:val="0"/>
          <w:numId w:val="0"/>
        </w:numPr>
      </w:pPr>
      <w:bookmarkStart w:id="29" w:name="_Toc83915244"/>
      <w:bookmarkStart w:id="30" w:name="_Toc120848056"/>
      <w:r w:rsidRPr="00A878EB">
        <w:t>Anslag 1:5 Statistiska centralbyrån (SCB)</w:t>
      </w:r>
      <w:bookmarkEnd w:id="29"/>
      <w:bookmarkEnd w:id="30"/>
      <w:r w:rsidRPr="00A878EB">
        <w:t xml:space="preserve"> </w:t>
      </w:r>
    </w:p>
    <w:p w:rsidR="001E7666" w:rsidRPr="00A878EB" w:rsidRDefault="001E7666" w:rsidP="001E7666">
      <w:r w:rsidRPr="00A878EB">
        <w:t>Uppdraget för SCB är att medelst statistik bidra till ökade kunskaper om til</w:t>
      </w:r>
      <w:r w:rsidRPr="00A878EB">
        <w:t>l</w:t>
      </w:r>
      <w:r w:rsidRPr="00A878EB">
        <w:t>stånd</w:t>
      </w:r>
      <w:r w:rsidR="00B516E1" w:rsidRPr="00A878EB">
        <w:t>et</w:t>
      </w:r>
      <w:r w:rsidRPr="00A878EB">
        <w:t xml:space="preserve"> och utveckling</w:t>
      </w:r>
      <w:r w:rsidR="00B516E1" w:rsidRPr="00A878EB">
        <w:t>en</w:t>
      </w:r>
      <w:r w:rsidRPr="00A878EB">
        <w:t xml:space="preserve"> inom en rad samhällsområden. Omkring hälften av verksamheten är avgiftsfinansierad. Det totala beräknade beloppet som disp</w:t>
      </w:r>
      <w:r w:rsidRPr="00A878EB">
        <w:t>o</w:t>
      </w:r>
      <w:r w:rsidRPr="00A878EB">
        <w:t xml:space="preserve">neras av SCB är 885 miljoner kronor. </w:t>
      </w:r>
    </w:p>
    <w:p w:rsidR="001E7666" w:rsidRPr="00A878EB" w:rsidRDefault="001E7666" w:rsidP="00883C73">
      <w:pPr>
        <w:pStyle w:val="Normaltindrag"/>
      </w:pPr>
      <w:r w:rsidRPr="00A878EB">
        <w:t>SCB:s nuvarande organisation rymmer betydande rollkonflikter. SCB</w:t>
      </w:r>
      <w:r w:rsidR="00A45B14" w:rsidRPr="00A878EB">
        <w:t>:s ansvar innefattar</w:t>
      </w:r>
      <w:r w:rsidRPr="00A878EB">
        <w:t>:</w:t>
      </w:r>
    </w:p>
    <w:p w:rsidR="001E7666" w:rsidRPr="00A878EB" w:rsidRDefault="001E7666" w:rsidP="00E72DCE">
      <w:pPr>
        <w:pStyle w:val="PunktlistaNummer"/>
        <w:numPr>
          <w:ilvl w:val="0"/>
          <w:numId w:val="15"/>
        </w:numPr>
        <w:tabs>
          <w:tab w:val="clear" w:pos="360"/>
        </w:tabs>
        <w:ind w:left="227" w:hanging="227"/>
      </w:pPr>
      <w:r w:rsidRPr="00A878EB">
        <w:rPr>
          <w:i/>
        </w:rPr>
        <w:t>myndighetsuppgifter</w:t>
      </w:r>
      <w:r w:rsidR="00657FD5" w:rsidRPr="00A878EB">
        <w:t>, t.</w:t>
      </w:r>
      <w:r w:rsidRPr="00A878EB">
        <w:t>ex</w:t>
      </w:r>
      <w:r w:rsidR="00657FD5" w:rsidRPr="00A878EB">
        <w:t>.</w:t>
      </w:r>
      <w:r w:rsidRPr="00A878EB">
        <w:t xml:space="preserve"> systemansvar för Sveriges </w:t>
      </w:r>
      <w:r w:rsidR="00A45B14" w:rsidRPr="00A878EB">
        <w:t>officiella sta</w:t>
      </w:r>
      <w:r w:rsidRPr="00A878EB">
        <w:t>tistik (</w:t>
      </w:r>
      <w:r w:rsidR="00A45B14" w:rsidRPr="00A878EB">
        <w:t>Sos</w:t>
      </w:r>
      <w:r w:rsidRPr="00A878EB">
        <w:t>)</w:t>
      </w:r>
      <w:r w:rsidR="00B516E1" w:rsidRPr="00A878EB">
        <w:t>,</w:t>
      </w:r>
      <w:r w:rsidRPr="00A878EB">
        <w:t xml:space="preserve"> tillsynsorgan och kvalitetskontrollant för </w:t>
      </w:r>
      <w:r w:rsidR="00A45B14" w:rsidRPr="00A878EB">
        <w:t>Sos</w:t>
      </w:r>
      <w:r w:rsidRPr="00A878EB">
        <w:t>, normgiv</w:t>
      </w:r>
      <w:r w:rsidR="00657FD5" w:rsidRPr="00A878EB">
        <w:t>are och sta</w:t>
      </w:r>
      <w:r w:rsidR="00657FD5" w:rsidRPr="00A878EB">
        <w:t>n</w:t>
      </w:r>
      <w:r w:rsidR="00657FD5" w:rsidRPr="00A878EB">
        <w:t xml:space="preserve">dardiserare för </w:t>
      </w:r>
      <w:r w:rsidR="00A45B14" w:rsidRPr="00A878EB">
        <w:t>Sos</w:t>
      </w:r>
      <w:r w:rsidR="00657FD5" w:rsidRPr="00A878EB">
        <w:t>,</w:t>
      </w:r>
    </w:p>
    <w:p w:rsidR="001E7666" w:rsidRPr="00A878EB" w:rsidRDefault="001E7666" w:rsidP="00E72DCE">
      <w:pPr>
        <w:pStyle w:val="PunktlistaNummer"/>
        <w:tabs>
          <w:tab w:val="clear" w:pos="360"/>
        </w:tabs>
        <w:spacing w:before="0"/>
        <w:ind w:left="227" w:hanging="227"/>
      </w:pPr>
      <w:r w:rsidRPr="00A878EB">
        <w:rPr>
          <w:i/>
        </w:rPr>
        <w:t>stabsuppgifter</w:t>
      </w:r>
      <w:r w:rsidRPr="00A878EB">
        <w:t xml:space="preserve"> åt exempelvis Regeringskansliet och statistikansvariga myndigheter, t.ex. som statistikutvecklare</w:t>
      </w:r>
      <w:r w:rsidR="00657FD5" w:rsidRPr="00A878EB">
        <w:t>, metodutvecklare, serviceorgan,</w:t>
      </w:r>
    </w:p>
    <w:p w:rsidR="001E7666" w:rsidRPr="00A878EB" w:rsidRDefault="001E7666" w:rsidP="00E72DCE">
      <w:pPr>
        <w:pStyle w:val="PunktlistaNummer"/>
        <w:tabs>
          <w:tab w:val="clear" w:pos="360"/>
        </w:tabs>
        <w:spacing w:before="0"/>
        <w:ind w:left="227" w:hanging="227"/>
      </w:pPr>
      <w:r w:rsidRPr="00A878EB">
        <w:rPr>
          <w:i/>
        </w:rPr>
        <w:t>serviceuppgifter</w:t>
      </w:r>
      <w:r w:rsidRPr="00A878EB">
        <w:t xml:space="preserve"> (statistikproducent för egen del och för andra, rådgivare, konsult, systemleverantö</w:t>
      </w:r>
      <w:r w:rsidR="00657FD5" w:rsidRPr="00A878EB">
        <w:t>r, partner och vidareförädlare),</w:t>
      </w:r>
    </w:p>
    <w:p w:rsidR="001E7666" w:rsidRPr="00A878EB" w:rsidRDefault="00C4580C" w:rsidP="00E72DCE">
      <w:pPr>
        <w:pStyle w:val="PunktlistaNummer"/>
        <w:tabs>
          <w:tab w:val="clear" w:pos="360"/>
        </w:tabs>
        <w:spacing w:before="0"/>
        <w:ind w:left="227" w:hanging="227"/>
      </w:pPr>
      <w:r w:rsidRPr="00A878EB">
        <w:rPr>
          <w:i/>
        </w:rPr>
        <w:t>beställaruppgifter</w:t>
      </w:r>
      <w:r w:rsidRPr="00A878EB">
        <w:t xml:space="preserve"> som ansvarig finansiär i egenskap av statistikansvarig myndighet</w:t>
      </w:r>
      <w:r w:rsidR="00657FD5" w:rsidRPr="00A878EB">
        <w:t>.</w:t>
      </w:r>
    </w:p>
    <w:p w:rsidR="001E7666" w:rsidRPr="00A878EB" w:rsidRDefault="001E7666" w:rsidP="00883C73">
      <w:r w:rsidRPr="00A878EB">
        <w:t>Mot denna bakgrund anser vi att en statlig utredning bör tillsättas med inrik</w:t>
      </w:r>
      <w:r w:rsidRPr="00A878EB">
        <w:t>t</w:t>
      </w:r>
      <w:r w:rsidRPr="00A878EB">
        <w:t>ningen att omorganisera SCB. Den under riksdagsåret 1993/94 beslutade statistikreformen innebar en relativt omfattande delegering av ansvar och styrning av statlig statistik från Statistiska centralbyrån (SCB) till s.k. stat</w:t>
      </w:r>
      <w:r w:rsidRPr="00A878EB">
        <w:t>i</w:t>
      </w:r>
      <w:r w:rsidRPr="00A878EB">
        <w:t>stikansvariga myndigheter. Avgränsade sektorsområden eller statistik med en huvudanvändare fördelades till sektormyndigheter, vilka fick ett beställara</w:t>
      </w:r>
      <w:r w:rsidRPr="00A878EB">
        <w:t>n</w:t>
      </w:r>
      <w:r w:rsidRPr="00A878EB">
        <w:t>svar. En delning skulle kunna innebära att en del får myndighetsuppgifter, en del stabsuppgifter med bl.a. ansvar för databaser och produktion av anslagsf</w:t>
      </w:r>
      <w:r w:rsidRPr="00A878EB">
        <w:t>i</w:t>
      </w:r>
      <w:r w:rsidRPr="00A878EB">
        <w:t>nansierad officiell basstatistik och en del organiseras till ett fristående stat</w:t>
      </w:r>
      <w:r w:rsidRPr="00A878EB">
        <w:t>i</w:t>
      </w:r>
      <w:r w:rsidRPr="00A878EB">
        <w:t>stikbolag på samma villkor som andra produktionsbolag. Utöver detta borde det bildas ett råd för Sveriges officiella statistik. Det skall vara en egen my</w:t>
      </w:r>
      <w:r w:rsidRPr="00A878EB">
        <w:t>n</w:t>
      </w:r>
      <w:r w:rsidRPr="00A878EB">
        <w:t xml:space="preserve">dighet och därmed helt självständigt från SCB. </w:t>
      </w:r>
    </w:p>
    <w:p w:rsidR="001E7666" w:rsidRPr="00A878EB" w:rsidRDefault="001E7666" w:rsidP="001E7666">
      <w:pPr>
        <w:pStyle w:val="Normaltindrag"/>
      </w:pPr>
      <w:r w:rsidRPr="00A878EB">
        <w:t>Vi räknar med ett effektiviseringskrav på knappt 5 procent av den totala omslutningen för år 200</w:t>
      </w:r>
      <w:r w:rsidR="00B516E1" w:rsidRPr="00A878EB">
        <w:t>6</w:t>
      </w:r>
      <w:r w:rsidRPr="00A878EB">
        <w:t>, vilket innebär en minskning av anslaget med 40 miljoner kronor. För år</w:t>
      </w:r>
      <w:r w:rsidR="00A45B14" w:rsidRPr="00A878EB">
        <w:t>en</w:t>
      </w:r>
      <w:r w:rsidRPr="00A878EB">
        <w:t xml:space="preserve"> 200</w:t>
      </w:r>
      <w:r w:rsidR="00B516E1" w:rsidRPr="00A878EB">
        <w:t>7</w:t>
      </w:r>
      <w:r w:rsidRPr="00A878EB">
        <w:t xml:space="preserve"> och 200</w:t>
      </w:r>
      <w:r w:rsidR="00B516E1" w:rsidRPr="00A878EB">
        <w:t>8</w:t>
      </w:r>
      <w:r w:rsidRPr="00A878EB">
        <w:t xml:space="preserve"> beräknas anslagen preliminärt min</w:t>
      </w:r>
      <w:r w:rsidRPr="00A878EB">
        <w:t>s</w:t>
      </w:r>
      <w:r w:rsidRPr="00A878EB">
        <w:t xml:space="preserve">kas med 45 respektive 70 miljoner kronor jämfört med regeringens förslag. </w:t>
      </w:r>
    </w:p>
    <w:p w:rsidR="001E7666" w:rsidRPr="00A878EB" w:rsidRDefault="001E7666" w:rsidP="00B15E5F">
      <w:pPr>
        <w:pStyle w:val="Rubrik3"/>
        <w:numPr>
          <w:ilvl w:val="0"/>
          <w:numId w:val="0"/>
        </w:numPr>
      </w:pPr>
      <w:bookmarkStart w:id="31" w:name="_Toc120848057"/>
      <w:r w:rsidRPr="00A878EB">
        <w:t>Anslag 1:6 Kammarkollegiet</w:t>
      </w:r>
      <w:bookmarkEnd w:id="31"/>
    </w:p>
    <w:p w:rsidR="001E7666" w:rsidRPr="00A878EB" w:rsidRDefault="001E7666" w:rsidP="001E7666">
      <w:pPr>
        <w:rPr>
          <w:b/>
        </w:rPr>
      </w:pPr>
      <w:r w:rsidRPr="00A878EB">
        <w:t>Kammarkollegiet (KK) säljer stöd till myndigheter gällande administrativ service, det statliga försäkringssystemet, fond- och förmögenhetsförvaltning och fordringsbevakning. Myndighetsutövning gäller arvsfondsärenden, arvs-, gåvo- och stämpelskatt, auktorisation av tolkar och översättare, inköpssa</w:t>
      </w:r>
      <w:r w:rsidRPr="00A878EB">
        <w:t>m</w:t>
      </w:r>
      <w:r w:rsidRPr="00A878EB">
        <w:t>ordning, kanslifunktion och resegarantier. Omkring 70 procent av verksamh</w:t>
      </w:r>
      <w:r w:rsidRPr="00A878EB">
        <w:t>e</w:t>
      </w:r>
      <w:r w:rsidRPr="00A878EB">
        <w:t>ten är avgiftsfinansierad. Totalt disponerar Kammarkollegiet ett 40-tal anslag inom 12 utgiftsområden för olika ändamål.</w:t>
      </w:r>
    </w:p>
    <w:p w:rsidR="001E7666" w:rsidRPr="00A878EB" w:rsidRDefault="001E7666" w:rsidP="001E7666">
      <w:pPr>
        <w:pStyle w:val="Normaltindrag"/>
      </w:pPr>
      <w:r w:rsidRPr="00A878EB">
        <w:t>Kristdemokraterna har under en längre tid förordat en ökning av avgiftsf</w:t>
      </w:r>
      <w:r w:rsidRPr="00A878EB">
        <w:t>i</w:t>
      </w:r>
      <w:r w:rsidRPr="00A878EB">
        <w:t xml:space="preserve">nansieringen, men vi kan dessvärre se att denna minskat under senare år (från </w:t>
      </w:r>
      <w:r w:rsidR="00657FD5" w:rsidRPr="00A878EB">
        <w:t>80 procent</w:t>
      </w:r>
      <w:r w:rsidRPr="00A878EB">
        <w:t xml:space="preserve"> till ca 70 </w:t>
      </w:r>
      <w:r w:rsidR="00657FD5" w:rsidRPr="00A878EB">
        <w:t>procent</w:t>
      </w:r>
      <w:r w:rsidRPr="00A878EB">
        <w:t>). Enligt effektmålen i statsliggaren är ett mål ”att ge sina kunder likvärdig eller bättre service, både kostnads- och kvalitetsmä</w:t>
      </w:r>
      <w:r w:rsidRPr="00A878EB">
        <w:t>s</w:t>
      </w:r>
      <w:r w:rsidRPr="00A878EB">
        <w:t>sigt, jämfört med den privata sektorn på de områden där kollegiet har till uppgift att erbjuda ett statligt producerat alternativ till den privata markn</w:t>
      </w:r>
      <w:r w:rsidRPr="00A878EB">
        <w:t>a</w:t>
      </w:r>
      <w:r w:rsidRPr="00A878EB">
        <w:t>den”. Citatet påkallar behovet av en översyn</w:t>
      </w:r>
      <w:r w:rsidR="00F32086" w:rsidRPr="00A878EB">
        <w:t xml:space="preserve"> av</w:t>
      </w:r>
      <w:r w:rsidRPr="00A878EB">
        <w:t xml:space="preserve"> huruvida verksamheter som konkurrerar med privata alternativ också drar nytta av det statliga anslaget. Den konkurrensutsatta verksamheten bör med jämna mellanrum upphandlas. Vidare bör det undersökas huruvida hanteringen av arvs-, gåvo- och stämpe</w:t>
      </w:r>
      <w:r w:rsidRPr="00A878EB">
        <w:t>l</w:t>
      </w:r>
      <w:r w:rsidRPr="00A878EB">
        <w:t xml:space="preserve">skatt bör överföras till Riksskatteverket. Vidare borde en samordning (inte nödvändigtvis samgående) med t.ex. Statskontoret kunna leda till ytterligare effektiviseringsvinster. </w:t>
      </w:r>
    </w:p>
    <w:p w:rsidR="001E7666" w:rsidRPr="00A878EB" w:rsidRDefault="001E7666" w:rsidP="001E7666">
      <w:pPr>
        <w:pStyle w:val="Normaltindrag"/>
      </w:pPr>
      <w:r w:rsidRPr="00A878EB">
        <w:t>Anslaget kan minskas med 8 miljoner kronor år 200</w:t>
      </w:r>
      <w:r w:rsidR="00B516E1" w:rsidRPr="00A878EB">
        <w:t>6</w:t>
      </w:r>
      <w:r w:rsidRPr="00A878EB">
        <w:t xml:space="preserve"> och 1</w:t>
      </w:r>
      <w:r w:rsidR="00B516E1" w:rsidRPr="00A878EB">
        <w:t>0</w:t>
      </w:r>
      <w:r w:rsidRPr="00A878EB">
        <w:t xml:space="preserve"> miljoner kr</w:t>
      </w:r>
      <w:r w:rsidRPr="00A878EB">
        <w:t>o</w:t>
      </w:r>
      <w:r w:rsidRPr="00A878EB">
        <w:t xml:space="preserve">nor år 2007. Det motsvarar ca </w:t>
      </w:r>
      <w:r w:rsidR="00B516E1" w:rsidRPr="00A878EB">
        <w:t>2,5</w:t>
      </w:r>
      <w:r w:rsidR="00F32086" w:rsidRPr="00A878EB">
        <w:t>–</w:t>
      </w:r>
      <w:r w:rsidRPr="00A878EB">
        <w:t>3 procent av den totala egna verksamhet</w:t>
      </w:r>
      <w:r w:rsidRPr="00A878EB">
        <w:t>s</w:t>
      </w:r>
      <w:r w:rsidRPr="00A878EB">
        <w:t xml:space="preserve">omsättningen. </w:t>
      </w:r>
    </w:p>
    <w:p w:rsidR="001E7666" w:rsidRPr="00A878EB" w:rsidRDefault="001E7666" w:rsidP="00B15E5F">
      <w:pPr>
        <w:pStyle w:val="Rubrik3"/>
        <w:numPr>
          <w:ilvl w:val="0"/>
          <w:numId w:val="0"/>
        </w:numPr>
      </w:pPr>
      <w:bookmarkStart w:id="32" w:name="_Toc83915245"/>
      <w:bookmarkStart w:id="33" w:name="_Toc120848058"/>
      <w:r w:rsidRPr="00A878EB">
        <w:t>Anslag 1:7 Nämnden för offentlig upphandling</w:t>
      </w:r>
      <w:bookmarkEnd w:id="32"/>
      <w:bookmarkEnd w:id="33"/>
    </w:p>
    <w:p w:rsidR="001E7666" w:rsidRPr="00A878EB" w:rsidRDefault="001E7666" w:rsidP="001E7666">
      <w:r w:rsidRPr="00A878EB">
        <w:t xml:space="preserve">Uppdraget för Nämnden för offentlig upphandling (NOU) är att </w:t>
      </w:r>
      <w:r w:rsidR="00B516E1" w:rsidRPr="00A878EB">
        <w:t xml:space="preserve">genom </w:t>
      </w:r>
      <w:r w:rsidRPr="00A878EB">
        <w:t>til</w:t>
      </w:r>
      <w:r w:rsidRPr="00A878EB">
        <w:t>l</w:t>
      </w:r>
      <w:r w:rsidRPr="00A878EB">
        <w:t>syn, utveckling och information effektivisera den offentliga upphandlingen. Verksamheten är inte avgiftsfinansierad. Anslaget är på blygsamma 8 milj</w:t>
      </w:r>
      <w:r w:rsidRPr="00A878EB">
        <w:t>o</w:t>
      </w:r>
      <w:r w:rsidRPr="00A878EB">
        <w:t xml:space="preserve">ner kronor. Med tanke på att det samlade värdet av all offentlig upphandling i Sverige uppskattningsvis uppgår till </w:t>
      </w:r>
      <w:r w:rsidR="00B516E1" w:rsidRPr="00A878EB">
        <w:t xml:space="preserve">omkring </w:t>
      </w:r>
      <w:r w:rsidRPr="00A878EB">
        <w:t>20 procent av BNP är det av stor betydelse att statsmakterna skapar ett institutionellt och legalt ramverk som borgar för öppenhet, konkurrens, affärsmässighet och objektivitet. Kritik har framförts mot den nuvarande ordningen, som i stor utsträckning kan fö</w:t>
      </w:r>
      <w:r w:rsidRPr="00A878EB">
        <w:t>r</w:t>
      </w:r>
      <w:r w:rsidRPr="00A878EB">
        <w:t xml:space="preserve">klaras av begränsade resurser, olämplig myndighetsstruktur och avsaknad av sanktionsmöjligheter. De begränsade resurserna belyses av att Nämnden för offentlig upphandling (NOU) med ca 10 anställda utifrån lagen om offentlig upphandling (LOU) ska utöva tillsyn över ca 10 000 upphandlande enheter, som årligen gör ca 200 000 förenklade upphandlingar, 3 500 direktivstyrda upphandlingar samt ett stort antal direktupphandlingar. </w:t>
      </w:r>
    </w:p>
    <w:p w:rsidR="001E7666" w:rsidRPr="00A878EB" w:rsidRDefault="001E7666" w:rsidP="001E7666">
      <w:pPr>
        <w:pStyle w:val="Normaltindrag"/>
      </w:pPr>
      <w:r w:rsidRPr="00A878EB">
        <w:t>Vi menar således att NOU snarast och i samband med en resursförstär</w:t>
      </w:r>
      <w:r w:rsidRPr="00A878EB">
        <w:t>k</w:t>
      </w:r>
      <w:r w:rsidRPr="00A878EB">
        <w:t>ning bör övergå till att vara en självständig del av Konkurrensverket. En sa</w:t>
      </w:r>
      <w:r w:rsidRPr="00A878EB">
        <w:t>m</w:t>
      </w:r>
      <w:r w:rsidRPr="00A878EB">
        <w:t>lokalisering torde vara nödvändig för att minska fasta kostnader som i</w:t>
      </w:r>
      <w:r w:rsidR="00F32086" w:rsidRPr="00A878EB">
        <w:t xml:space="preserve"> </w:t>
      </w:r>
      <w:r w:rsidRPr="00A878EB">
        <w:t>stället kan fördelas till själva verksamheten. Fördelen med en samordning är att statsmakterna signalerar och fokuserar på den stora betydelsen av tillsynen över den offentliga upphandlingen. En samordning med Konkurrensverket måste ta till</w:t>
      </w:r>
      <w:r w:rsidR="00F32086" w:rsidRPr="00A878EB">
        <w:t xml:space="preserve"> </w:t>
      </w:r>
      <w:r w:rsidRPr="00A878EB">
        <w:t>vara den allmänt erkända kompetens och erfarenhet som nu finns hos personalen inom NOU. Ett samgående med Konkurrensverket visar klart och entydigt att upphandlingslagen i första hand är en konkurrenslagstiftning. Med hänsyn till den specifika arten av ärenden och de frågor som ska han</w:t>
      </w:r>
      <w:r w:rsidRPr="00A878EB">
        <w:t>d</w:t>
      </w:r>
      <w:r w:rsidRPr="00A878EB">
        <w:t xml:space="preserve">läggas är det dock lämpligt att verksamheten inom Konkurrensverkets ramar ges ett stort mått av självständighet. Samtidigt bör marknadsfunktionen och delar av utvecklingsfunktionen separeras från den självständiga delen med kontrollfunktionen. </w:t>
      </w:r>
    </w:p>
    <w:p w:rsidR="001E7666" w:rsidRPr="00A878EB" w:rsidRDefault="00657FD5" w:rsidP="001E7666">
      <w:pPr>
        <w:pStyle w:val="Normaltindrag"/>
      </w:pPr>
      <w:r w:rsidRPr="00A878EB">
        <w:t>Kristdemokraterna</w:t>
      </w:r>
      <w:r w:rsidR="001E7666" w:rsidRPr="00A878EB">
        <w:t xml:space="preserve"> föreslår att verksamheten år 2005 påbörjar en samor</w:t>
      </w:r>
      <w:r w:rsidR="001E7666" w:rsidRPr="00A878EB">
        <w:t>d</w:t>
      </w:r>
      <w:r w:rsidR="001E7666" w:rsidRPr="00A878EB">
        <w:t>ning med Konkurrensverket. Vi vill förstärka NOU från dagens ca 8 miljoner kronor med 3 miljoner kronor till 11 miljoner kronor i ett första steg. Detta tillskott belastar således utgiftsområde 24 på Konkurrensverkets anslag (38:16). Anslaget på utgiftsområde 2 minskas med 4 miljoner kronor år 200</w:t>
      </w:r>
      <w:r w:rsidR="00797B8C" w:rsidRPr="00A878EB">
        <w:t>6</w:t>
      </w:r>
      <w:r w:rsidR="001E7666" w:rsidRPr="00A878EB">
        <w:t xml:space="preserve"> till ca 4 miljoner kronor, vilket täcker första halvårets behov. För år</w:t>
      </w:r>
      <w:r w:rsidR="00F32086" w:rsidRPr="00A878EB">
        <w:t>en</w:t>
      </w:r>
      <w:r w:rsidR="001E7666" w:rsidRPr="00A878EB">
        <w:t xml:space="preserve"> 200</w:t>
      </w:r>
      <w:r w:rsidR="00797B8C" w:rsidRPr="00A878EB">
        <w:t>7</w:t>
      </w:r>
      <w:r w:rsidR="001E7666" w:rsidRPr="00A878EB">
        <w:t xml:space="preserve"> och 200</w:t>
      </w:r>
      <w:r w:rsidR="00797B8C" w:rsidRPr="00A878EB">
        <w:t>8</w:t>
      </w:r>
      <w:r w:rsidR="001E7666" w:rsidRPr="00A878EB">
        <w:t xml:space="preserve"> är anslaget helt avvecklat under detta utgiftsområde. I stället rese</w:t>
      </w:r>
      <w:r w:rsidR="001E7666" w:rsidRPr="00A878EB">
        <w:t>r</w:t>
      </w:r>
      <w:r w:rsidR="001E7666" w:rsidRPr="00A878EB">
        <w:t>veras medel för NOU:s verksamhet under Konkurrensverkets anslag på totalt 11 miljoner kronor per år.</w:t>
      </w:r>
    </w:p>
    <w:p w:rsidR="001E7666" w:rsidRPr="00A878EB" w:rsidRDefault="001E7666" w:rsidP="00B15E5F">
      <w:pPr>
        <w:pStyle w:val="Rubrik3"/>
        <w:numPr>
          <w:ilvl w:val="0"/>
          <w:numId w:val="0"/>
        </w:numPr>
      </w:pPr>
      <w:bookmarkStart w:id="34" w:name="_Toc83915247"/>
      <w:bookmarkStart w:id="35" w:name="_Toc120848059"/>
      <w:r w:rsidRPr="00A878EB">
        <w:t>Anslag 1:9 Ekonomiska rådet</w:t>
      </w:r>
      <w:bookmarkEnd w:id="34"/>
      <w:bookmarkEnd w:id="35"/>
    </w:p>
    <w:p w:rsidR="001E7666" w:rsidRPr="00A878EB" w:rsidRDefault="001E7666" w:rsidP="001E7666">
      <w:r w:rsidRPr="00A878EB">
        <w:t xml:space="preserve">Uppdraget är att ”initiera forskning och utredningsarbete av särskilt intresse för den ekonomiska politikens utformning”. Anslaget är på ca 2,1 miljoner kronor. </w:t>
      </w:r>
    </w:p>
    <w:p w:rsidR="001E7666" w:rsidRPr="00A878EB" w:rsidRDefault="001E7666" w:rsidP="001E7666">
      <w:pPr>
        <w:pStyle w:val="Normaltindrag"/>
      </w:pPr>
      <w:r w:rsidRPr="00A878EB">
        <w:t xml:space="preserve">Verksamheten är angelägen, men vi gör bedömningen att dylika satsningar kan rymmas under andra anslag som </w:t>
      </w:r>
      <w:r w:rsidR="00F32086" w:rsidRPr="00A878EB">
        <w:t xml:space="preserve">Regeringskansliet </w:t>
      </w:r>
      <w:r w:rsidRPr="00A878EB">
        <w:t xml:space="preserve">disponerar, t.ex. den anslagspost (90:5 ap.13) på ca 1 miljard kronor som </w:t>
      </w:r>
      <w:r w:rsidR="00F32086" w:rsidRPr="00A878EB">
        <w:t xml:space="preserve">Regeringskansliet </w:t>
      </w:r>
      <w:r w:rsidRPr="00A878EB">
        <w:t>disp</w:t>
      </w:r>
      <w:r w:rsidRPr="00A878EB">
        <w:t>o</w:t>
      </w:r>
      <w:r w:rsidRPr="00A878EB">
        <w:t xml:space="preserve">nerar för ”gemensamma ändamål”. Besparingen blir </w:t>
      </w:r>
      <w:r w:rsidR="00F32086" w:rsidRPr="00A878EB">
        <w:t>c</w:t>
      </w:r>
      <w:r w:rsidR="00797B8C" w:rsidRPr="00A878EB">
        <w:t xml:space="preserve">a 2,5 </w:t>
      </w:r>
      <w:r w:rsidRPr="00A878EB">
        <w:t xml:space="preserve">miljoner kronor </w:t>
      </w:r>
      <w:r w:rsidR="00797B8C" w:rsidRPr="00A878EB">
        <w:t xml:space="preserve">per år </w:t>
      </w:r>
      <w:r w:rsidRPr="00A878EB">
        <w:t>för åren 2006</w:t>
      </w:r>
      <w:r w:rsidR="00F32086" w:rsidRPr="00A878EB">
        <w:t>–</w:t>
      </w:r>
      <w:r w:rsidR="00797B8C" w:rsidRPr="00A878EB">
        <w:t>08</w:t>
      </w:r>
      <w:r w:rsidRPr="00A878EB">
        <w:t>.</w:t>
      </w:r>
    </w:p>
    <w:p w:rsidR="001E7666" w:rsidRPr="00A878EB" w:rsidRDefault="001E7666" w:rsidP="001E7666">
      <w:pPr>
        <w:pStyle w:val="Rubrik2"/>
      </w:pPr>
      <w:bookmarkStart w:id="36" w:name="_Toc83915248"/>
      <w:bookmarkStart w:id="37" w:name="_Toc120848060"/>
      <w:r w:rsidRPr="00A878EB">
        <w:t>Det finansiella systemet</w:t>
      </w:r>
      <w:bookmarkEnd w:id="36"/>
      <w:bookmarkEnd w:id="37"/>
    </w:p>
    <w:p w:rsidR="001E7666" w:rsidRPr="00A878EB" w:rsidRDefault="001E7666" w:rsidP="00883C73">
      <w:pPr>
        <w:pStyle w:val="Rubrik3"/>
        <w:numPr>
          <w:ilvl w:val="2"/>
          <w:numId w:val="0"/>
        </w:numPr>
        <w:spacing w:before="120"/>
      </w:pPr>
      <w:bookmarkStart w:id="38" w:name="_Toc83915249"/>
      <w:bookmarkStart w:id="39" w:name="_Toc120848061"/>
      <w:r w:rsidRPr="00A878EB">
        <w:t>Anslag 2:1 Finansinspektionen</w:t>
      </w:r>
      <w:bookmarkEnd w:id="38"/>
      <w:bookmarkEnd w:id="39"/>
    </w:p>
    <w:p w:rsidR="001E7666" w:rsidRPr="00A878EB" w:rsidRDefault="001E7666" w:rsidP="001E7666">
      <w:r w:rsidRPr="00A878EB">
        <w:t xml:space="preserve">Det övergripande målet </w:t>
      </w:r>
      <w:r w:rsidR="00F32086" w:rsidRPr="00A878EB">
        <w:t xml:space="preserve">för </w:t>
      </w:r>
      <w:r w:rsidRPr="00A878EB">
        <w:t>Finansinspektionen (FI) är att bidra till stabilitet, effektivitet och ett gott konsumentskydd i den finansiella sektorn. FI:s del av effektmålet är att bidra till stabilitet i det finansiella systemet genom tillsyn av finansiella institut, bidra till konsumentskydd inom det finansiella systemet genom tillsyn av stabiliteten i enskilda institut, genom utarbetande och up</w:t>
      </w:r>
      <w:r w:rsidRPr="00A878EB">
        <w:t>p</w:t>
      </w:r>
      <w:r w:rsidRPr="00A878EB">
        <w:t>följning av regler för instituten, information och klagomålshantering samt genom behandling av klagomål av principiell karaktär.</w:t>
      </w:r>
    </w:p>
    <w:p w:rsidR="001E7666" w:rsidRPr="00A878EB" w:rsidRDefault="001E7666" w:rsidP="001E7666">
      <w:pPr>
        <w:pStyle w:val="Normaltindrag"/>
      </w:pPr>
      <w:r w:rsidRPr="00A878EB">
        <w:t>Institut under FI:s tillsyn betalar årligen avgifter enligt förordning 1995:1116. I uppgifterna ingår att ta in avgifter som motsvarar kostnaderna. Finansinspektionen har dock som andra statliga myndigheter ett ramanslag för sin verksamhet, och intäkterna betalas in till statskassan. Tillsynsavgifte</w:t>
      </w:r>
      <w:r w:rsidRPr="00A878EB">
        <w:t>r</w:t>
      </w:r>
      <w:r w:rsidRPr="00A878EB">
        <w:t>na anpassas varje år till inspektionens anslag och varierar således. Det är inte möjligt att varje år ”träffa mitt i prick”, så vissa år tas in för lite tillsynsavgi</w:t>
      </w:r>
      <w:r w:rsidRPr="00A878EB">
        <w:t>f</w:t>
      </w:r>
      <w:r w:rsidRPr="00A878EB">
        <w:t>ter och andra år för mycket. Den avgiftsstruktur som gäller för Finansinspe</w:t>
      </w:r>
      <w:r w:rsidRPr="00A878EB">
        <w:t>k</w:t>
      </w:r>
      <w:r w:rsidRPr="00A878EB">
        <w:t>tionen innebär att ett resurstillskott inte påverkar statskassan eftersom ett ökat ramanslag innebär ökade avgifter för institut under tillsyn som sedan ska redovisas på inkomsttitel.</w:t>
      </w:r>
    </w:p>
    <w:p w:rsidR="001E7666" w:rsidRPr="00A878EB" w:rsidRDefault="001E7666" w:rsidP="001E7666">
      <w:pPr>
        <w:pStyle w:val="Normaltindrag"/>
      </w:pPr>
      <w:r w:rsidRPr="00A878EB">
        <w:t>Kristdemokraterna har läge förordat att Finansinspektionen som tillsyn</w:t>
      </w:r>
      <w:r w:rsidRPr="00A878EB">
        <w:t>s</w:t>
      </w:r>
      <w:r w:rsidRPr="00A878EB">
        <w:t>myndighet bör få debitera finansinstituten direkt för sin verksamhet och a</w:t>
      </w:r>
      <w:r w:rsidRPr="00A878EB">
        <w:t>n</w:t>
      </w:r>
      <w:r w:rsidRPr="00A878EB">
        <w:t>vända dessa medel utan att de måste gå omvägen via statsbudgeten, liknande den modell som tillämpas i Storbritannien. Man kan också jämföra ett sådant system med det som svenska kommuner redan använder i delar av sin til</w:t>
      </w:r>
      <w:r w:rsidRPr="00A878EB">
        <w:t>l</w:t>
      </w:r>
      <w:r w:rsidRPr="00A878EB">
        <w:t>synsverksamhet. Utvecklingen inom finansmarknaderna ställer höga krav på alla aktörer, inklusive FI. Den snabba tillväxten och kraftigt ökande komple</w:t>
      </w:r>
      <w:r w:rsidRPr="00A878EB">
        <w:t>x</w:t>
      </w:r>
      <w:r w:rsidRPr="00A878EB">
        <w:t>iteten inom finanssektorn ställer också allt högre krav på moral och regele</w:t>
      </w:r>
      <w:r w:rsidRPr="00A878EB">
        <w:t>f</w:t>
      </w:r>
      <w:r w:rsidRPr="00A878EB">
        <w:t xml:space="preserve">terlevnad. Det ligger i den finansiella marknadens eget intresse att lagar och regler efterföljs. Annars undergrävs marknadens funktionssätt. </w:t>
      </w:r>
    </w:p>
    <w:p w:rsidR="001E7666" w:rsidRPr="00A878EB" w:rsidRDefault="001E7666" w:rsidP="001E7666">
      <w:pPr>
        <w:pStyle w:val="Normaltindrag"/>
      </w:pPr>
      <w:r w:rsidRPr="00A878EB">
        <w:t xml:space="preserve">Det är därför välkommet att regeringen nu, efter förslag från Utredningen om Finansinspektionens roll och resurser (SOU 2003:22), föreslår att vissa avgifter för tillstånd och anmälningar hos Finansinspektionen ska </w:t>
      </w:r>
      <w:r w:rsidR="00F32086" w:rsidRPr="00A878EB">
        <w:t>få dispon</w:t>
      </w:r>
      <w:r w:rsidR="00F32086" w:rsidRPr="00A878EB">
        <w:t>e</w:t>
      </w:r>
      <w:r w:rsidR="00F32086" w:rsidRPr="00A878EB">
        <w:t>ras direkt av FI (dv</w:t>
      </w:r>
      <w:r w:rsidRPr="00A878EB">
        <w:t>s. redovisas mot Finansinspektionens ramanslag). Därig</w:t>
      </w:r>
      <w:r w:rsidRPr="00A878EB">
        <w:t>e</w:t>
      </w:r>
      <w:r w:rsidRPr="00A878EB">
        <w:t>nom kan denna del av verksamheten effektiviseras och utvecklas lättare och anpassas snabbare till ändrade krav. Denna del utgör dock endast en mindre del av den totala verksamheten.</w:t>
      </w:r>
    </w:p>
    <w:p w:rsidR="001E7666" w:rsidRPr="00A878EB" w:rsidRDefault="001E7666" w:rsidP="001E7666">
      <w:pPr>
        <w:pStyle w:val="Normaltindrag"/>
      </w:pPr>
      <w:r w:rsidRPr="00A878EB">
        <w:t>Finansinspektionen kommer därför, även efter den nu föreslagna förän</w:t>
      </w:r>
      <w:r w:rsidRPr="00A878EB">
        <w:t>d</w:t>
      </w:r>
      <w:r w:rsidRPr="00A878EB">
        <w:t>ringen, inte ha de muskler som behövs för att klara sitt uppdrag. Det brister främst i finansieringsmöjligheterna och därmed även i förmågan att rekrytera erforderlig kompetens. FI:s verksamhetsvolym skulle med vårt föreslagna avgiftssystem bli en direkt avspegling av finansmarknadens förmåga att ”r</w:t>
      </w:r>
      <w:r w:rsidRPr="00A878EB">
        <w:t>e</w:t>
      </w:r>
      <w:r w:rsidRPr="00A878EB">
        <w:t>glera sig själv”. En balans mellan avgifter och FI:s verksamhet upprättas, som korresponderar med å ena sidan regler och tillsyn och å andra sidan den ver</w:t>
      </w:r>
      <w:r w:rsidRPr="00A878EB">
        <w:t>k</w:t>
      </w:r>
      <w:r w:rsidRPr="00A878EB">
        <w:t>liga efterlevnaden på marknaden. Genom att låta FI själv förfoga över sina intäkter ges också en möjlighet till snabb förnyelse och expansion när så är nödvändigt utan att gå omvägen via statsbudgeten. Detta är den enda rimliga utvecklingen om FI ska bli en verklig marknadskontrollant. Komplexiteten i marknaden samt antalet insidertransaktioner och kurspåverkande manipul</w:t>
      </w:r>
      <w:r w:rsidRPr="00A878EB">
        <w:t>a</w:t>
      </w:r>
      <w:r w:rsidRPr="00A878EB">
        <w:t>tioner tenderar enligt flera bedömare att öka. Nyhetsrapporteringen har und</w:t>
      </w:r>
      <w:r w:rsidR="00E72DCE" w:rsidRPr="00A878EB">
        <w:t>er senare år uppmärksammat allt</w:t>
      </w:r>
      <w:r w:rsidRPr="00A878EB">
        <w:t>fler misstänkta oegentligheter på finansmarkn</w:t>
      </w:r>
      <w:r w:rsidRPr="00A878EB">
        <w:t>a</w:t>
      </w:r>
      <w:r w:rsidRPr="00A878EB">
        <w:t>den som insiderbrott eller vårdslös rådgivning till privatpersoner. Endast ett fåtal fall har hamnat i domstol.</w:t>
      </w:r>
    </w:p>
    <w:p w:rsidR="001E7666" w:rsidRPr="00A878EB" w:rsidRDefault="001E7666" w:rsidP="001E7666">
      <w:pPr>
        <w:pStyle w:val="Normaltindrag"/>
      </w:pPr>
      <w:r w:rsidRPr="00A878EB">
        <w:t>I samband med att den gemensamma marknaden utvecklas inom det fina</w:t>
      </w:r>
      <w:r w:rsidRPr="00A878EB">
        <w:t>n</w:t>
      </w:r>
      <w:r w:rsidRPr="00A878EB">
        <w:t xml:space="preserve">siella området bör även en samordning vad gäller dessa berörda områden ske inom EU och övriga världen. </w:t>
      </w:r>
    </w:p>
    <w:p w:rsidR="001E7666" w:rsidRPr="00A878EB" w:rsidRDefault="001E7666" w:rsidP="001E7666">
      <w:pPr>
        <w:pStyle w:val="Normaltindrag"/>
      </w:pPr>
      <w:r w:rsidRPr="00A878EB">
        <w:t>För den kommande treårsperioden föreslår vi inga förändringar av ansl</w:t>
      </w:r>
      <w:r w:rsidRPr="00A878EB">
        <w:t>a</w:t>
      </w:r>
      <w:r w:rsidRPr="00A878EB">
        <w:t>get. Regeringen bör dock återkomma med förslag om en mer ändamålsenlig finansiering för Fina</w:t>
      </w:r>
      <w:r w:rsidR="00F32086" w:rsidRPr="00A878EB">
        <w:t>nsinspektionen enligt ovan, dv</w:t>
      </w:r>
      <w:r w:rsidRPr="00A878EB">
        <w:t>s. en utvidgning av försl</w:t>
      </w:r>
      <w:r w:rsidRPr="00A878EB">
        <w:t>a</w:t>
      </w:r>
      <w:r w:rsidRPr="00A878EB">
        <w:t>g</w:t>
      </w:r>
      <w:r w:rsidR="00F32086" w:rsidRPr="00A878EB">
        <w:t>et</w:t>
      </w:r>
      <w:r w:rsidRPr="00A878EB">
        <w:t xml:space="preserve"> om utökad rätt att disponera avgiftsintäkter. Vid ett frikopplande av FI:s verksamhet från statsbudgeten bör naturligtvis utgiftstaket justeras ned mo</w:t>
      </w:r>
      <w:r w:rsidRPr="00A878EB">
        <w:t>t</w:t>
      </w:r>
      <w:r w:rsidRPr="00A878EB">
        <w:t>svarade nuvarande nivå på utgiftsanslaget.</w:t>
      </w:r>
    </w:p>
    <w:p w:rsidR="001E7666" w:rsidRPr="00A878EB" w:rsidRDefault="001E7666" w:rsidP="001E7666">
      <w:pPr>
        <w:pStyle w:val="Normaltindrag"/>
      </w:pPr>
      <w:r w:rsidRPr="00A878EB">
        <w:t>En aldrig så kompetent finansinspektion är dock inte tillräcklig så länge möjligheterna till påföljd inte utvidgas och etiken inte upprätthålls. Därtill behöver det ordinarie rättsväse</w:t>
      </w:r>
      <w:r w:rsidRPr="00A878EB">
        <w:t>n</w:t>
      </w:r>
      <w:r w:rsidRPr="00A878EB">
        <w:t>det stärkas även på finansmarknadsområdet.</w:t>
      </w:r>
    </w:p>
    <w:p w:rsidR="001E7666" w:rsidRPr="00A878EB" w:rsidRDefault="001E7666" w:rsidP="00B15E5F">
      <w:pPr>
        <w:pStyle w:val="Rubrik3"/>
        <w:numPr>
          <w:ilvl w:val="0"/>
          <w:numId w:val="0"/>
        </w:numPr>
      </w:pPr>
      <w:bookmarkStart w:id="40" w:name="_Toc83915250"/>
      <w:bookmarkStart w:id="41" w:name="_Toc120848062"/>
      <w:r w:rsidRPr="00A878EB">
        <w:t>Anslag 2:3 Riksgäldskontoret: Förvaltningskostnader</w:t>
      </w:r>
      <w:bookmarkEnd w:id="40"/>
      <w:bookmarkEnd w:id="41"/>
      <w:r w:rsidRPr="00A878EB">
        <w:t xml:space="preserve">  </w:t>
      </w:r>
    </w:p>
    <w:p w:rsidR="001E7666" w:rsidRPr="00A878EB" w:rsidRDefault="001E7666" w:rsidP="001E7666">
      <w:pPr>
        <w:rPr>
          <w:b/>
        </w:rPr>
      </w:pPr>
      <w:r w:rsidRPr="00A878EB">
        <w:t>Riksgäldskontoret ska genom tillförlitliga prognoser över statens lånebehov och en välutvecklad upplåningsstrategi bidra till att statens långsiktiga lån</w:t>
      </w:r>
      <w:r w:rsidRPr="00A878EB">
        <w:t>e</w:t>
      </w:r>
      <w:r w:rsidRPr="00A878EB">
        <w:t xml:space="preserve">kostnader minimeras. </w:t>
      </w:r>
    </w:p>
    <w:p w:rsidR="001E7666" w:rsidRPr="00A878EB" w:rsidRDefault="001E7666" w:rsidP="001E7666">
      <w:pPr>
        <w:pStyle w:val="Normaltindrag"/>
      </w:pPr>
      <w:r w:rsidRPr="00A878EB">
        <w:t>Vi anser mot bakgrund av ett relativt högt anslagssparande, och en bedömd effektiviseringspotential, att anslaget kan minskas med 13 miljoner kronor per år från år 200</w:t>
      </w:r>
      <w:r w:rsidR="00797B8C" w:rsidRPr="00A878EB">
        <w:t>6</w:t>
      </w:r>
      <w:r w:rsidRPr="00A878EB">
        <w:t xml:space="preserve">. Det innebär en minskning med knappt </w:t>
      </w:r>
      <w:r w:rsidR="00F32086" w:rsidRPr="00A878EB">
        <w:t>5</w:t>
      </w:r>
      <w:r w:rsidRPr="00A878EB">
        <w:t xml:space="preserve"> procent av förval</w:t>
      </w:r>
      <w:r w:rsidRPr="00A878EB">
        <w:t>t</w:t>
      </w:r>
      <w:r w:rsidRPr="00A878EB">
        <w:t>ningsanslaget.</w:t>
      </w:r>
    </w:p>
    <w:p w:rsidR="001E7666" w:rsidRPr="00A878EB" w:rsidRDefault="001E7666" w:rsidP="001E7666">
      <w:pPr>
        <w:pStyle w:val="Rubrik2"/>
      </w:pPr>
      <w:bookmarkStart w:id="42" w:name="_Toc83915251"/>
      <w:bookmarkStart w:id="43" w:name="_Toc120848063"/>
      <w:r w:rsidRPr="00A878EB">
        <w:t>Anslag som inte tillhör något politikområde</w:t>
      </w:r>
      <w:bookmarkEnd w:id="42"/>
      <w:bookmarkEnd w:id="43"/>
    </w:p>
    <w:p w:rsidR="001E7666" w:rsidRPr="00A878EB" w:rsidRDefault="001E7666" w:rsidP="00883C73">
      <w:pPr>
        <w:pStyle w:val="Rubrik3"/>
        <w:numPr>
          <w:ilvl w:val="2"/>
          <w:numId w:val="0"/>
        </w:numPr>
        <w:spacing w:before="120"/>
      </w:pPr>
      <w:bookmarkStart w:id="44" w:name="_Toc83915252"/>
      <w:bookmarkStart w:id="45" w:name="_Toc120848064"/>
      <w:r w:rsidRPr="00A878EB">
        <w:t>Anslag 90:1 Riksrevisionen</w:t>
      </w:r>
      <w:bookmarkEnd w:id="44"/>
      <w:bookmarkEnd w:id="45"/>
      <w:r w:rsidRPr="00A878EB">
        <w:t xml:space="preserve"> </w:t>
      </w:r>
    </w:p>
    <w:p w:rsidR="001E7666" w:rsidRPr="00A878EB" w:rsidRDefault="001E7666" w:rsidP="001E7666">
      <w:r w:rsidRPr="00A878EB">
        <w:t>Riksrevisionen ska granska, utvärdera och ompröva statens verksamhet samt förbättra redovisningsarbetet i statens förvaltning. Omkring 30 procent av verksamheten är avgiftsfinansierad, men Riksrevisionen får inte disponera dessa intäkter</w:t>
      </w:r>
      <w:r w:rsidR="00F32086" w:rsidRPr="00A878EB">
        <w:t>.</w:t>
      </w:r>
    </w:p>
    <w:p w:rsidR="008A19D3" w:rsidRPr="00A878EB" w:rsidRDefault="001E7666" w:rsidP="008A19D3">
      <w:pPr>
        <w:pStyle w:val="Normaltindrag"/>
      </w:pPr>
      <w:r w:rsidRPr="00A878EB">
        <w:t>Kristdemokraterna har varit pådrivande för den nya och oberoende rev</w:t>
      </w:r>
      <w:r w:rsidRPr="00A878EB">
        <w:t>i</w:t>
      </w:r>
      <w:r w:rsidRPr="00A878EB">
        <w:t xml:space="preserve">sionsmyndighet under riksdagen som sedan </w:t>
      </w:r>
      <w:r w:rsidR="008A19D3" w:rsidRPr="00A878EB">
        <w:t>1</w:t>
      </w:r>
      <w:r w:rsidRPr="00A878EB">
        <w:t xml:space="preserve"> juli 2003  etablerats i enlighet med förslaget 1999/2000:RS1 Riksdagen och den statliga revisionen. Vi a</w:t>
      </w:r>
      <w:r w:rsidRPr="00A878EB">
        <w:t>v</w:t>
      </w:r>
      <w:r w:rsidRPr="00A878EB">
        <w:t>såg emellertid inte att den nya myndigheten, som är en sammanslagning av tidigare Riksdagens revisorer och Riksrevisionsverket, skulle bli dyrare än de två myndigheterna tidigare var tillsammans. Snarare ansåg vi att vissa sa</w:t>
      </w:r>
      <w:r w:rsidRPr="00A878EB">
        <w:t>m</w:t>
      </w:r>
      <w:r w:rsidRPr="00A878EB">
        <w:t>ordningsvinster borde uppstå. De två tidigare myndigheterna hade år 2002 en sammanlagd budget (anslag på statsbudgeten) på 184,4 miljoner kronor. He</w:t>
      </w:r>
      <w:r w:rsidRPr="00A878EB">
        <w:t>l</w:t>
      </w:r>
      <w:r w:rsidRPr="00A878EB">
        <w:t>årsnivån på anslaget för Riksrevisionen budgeteras till ca 2</w:t>
      </w:r>
      <w:r w:rsidR="00797B8C" w:rsidRPr="00A878EB">
        <w:t>80</w:t>
      </w:r>
      <w:r w:rsidRPr="00A878EB">
        <w:t xml:space="preserve"> miljoner kronor från år 200</w:t>
      </w:r>
      <w:r w:rsidR="00797B8C" w:rsidRPr="00A878EB">
        <w:t>6</w:t>
      </w:r>
      <w:r w:rsidRPr="00A878EB">
        <w:t>. Det innebär att, även om man tar hänsyn till pris</w:t>
      </w:r>
      <w:r w:rsidR="00F32086" w:rsidRPr="00A878EB">
        <w:t>-</w:t>
      </w:r>
      <w:r w:rsidRPr="00A878EB">
        <w:t xml:space="preserve"> och löneo</w:t>
      </w:r>
      <w:r w:rsidRPr="00A878EB">
        <w:t>m</w:t>
      </w:r>
      <w:r w:rsidRPr="00A878EB">
        <w:t>räkningar från år</w:t>
      </w:r>
      <w:r w:rsidR="00F32086" w:rsidRPr="00A878EB">
        <w:t>en</w:t>
      </w:r>
      <w:r w:rsidRPr="00A878EB">
        <w:t xml:space="preserve"> 2002 till 2004, kostnaden för Riksrevisionen är ca 70 miljoner kronor högre än för de två tidigare myndigheterna tillsammans. En del av denna ökning beror på en ökad ambitionsnivå.</w:t>
      </w:r>
    </w:p>
    <w:p w:rsidR="001E7666" w:rsidRPr="00A878EB" w:rsidRDefault="001E7666" w:rsidP="008A19D3">
      <w:pPr>
        <w:pStyle w:val="Normaltindrag"/>
      </w:pPr>
      <w:r w:rsidRPr="00A878EB">
        <w:t xml:space="preserve">Mot denna bakgrund bedömer vi att Riksrevisionen, som bl.a. har ansvar </w:t>
      </w:r>
      <w:r w:rsidR="00F32086" w:rsidRPr="00A878EB">
        <w:t xml:space="preserve">för </w:t>
      </w:r>
      <w:r w:rsidRPr="00A878EB">
        <w:t>att granska effektiviteten i statsförvaltningen, själv bör ha möjlighet att klara ett effektivisering</w:t>
      </w:r>
      <w:r w:rsidR="00797B8C" w:rsidRPr="00A878EB">
        <w:t>s</w:t>
      </w:r>
      <w:r w:rsidRPr="00A878EB">
        <w:t xml:space="preserve">krav </w:t>
      </w:r>
      <w:r w:rsidR="00797B8C" w:rsidRPr="00A878EB">
        <w:t xml:space="preserve">över en treårsperiod på drygt 9 procent. Därför minskas anslaget för år 2006 med 20 miljoner kronor, för år 2007 med 25 miljoner kronor och för år 2008 med 30 miljoner kronor </w:t>
      </w:r>
      <w:r w:rsidRPr="00A878EB">
        <w:t>jämfört med rege</w:t>
      </w:r>
      <w:r w:rsidRPr="00A878EB">
        <w:t>r</w:t>
      </w:r>
      <w:r w:rsidRPr="00A878EB">
        <w:t>ingens förslag.</w:t>
      </w:r>
    </w:p>
    <w:p w:rsidR="001E7666" w:rsidRPr="00A878EB" w:rsidRDefault="001E7666" w:rsidP="00C03579">
      <w:pPr>
        <w:pStyle w:val="Rubrik3"/>
        <w:numPr>
          <w:ilvl w:val="0"/>
          <w:numId w:val="0"/>
        </w:numPr>
      </w:pPr>
      <w:bookmarkStart w:id="46" w:name="_Toc83915253"/>
      <w:bookmarkStart w:id="47" w:name="_Toc120848065"/>
      <w:r w:rsidRPr="00A878EB">
        <w:t>Anslag 90:2 Försöksverksamhet med trängselskatt i Stockholm</w:t>
      </w:r>
      <w:bookmarkEnd w:id="46"/>
      <w:bookmarkEnd w:id="47"/>
    </w:p>
    <w:p w:rsidR="001E7666" w:rsidRPr="00A878EB" w:rsidRDefault="001E7666" w:rsidP="001E7666">
      <w:r w:rsidRPr="00A878EB">
        <w:t xml:space="preserve">Med anledning av regeringens proposition 2003/04:145 </w:t>
      </w:r>
      <w:r w:rsidRPr="00A878EB">
        <w:rPr>
          <w:i/>
        </w:rPr>
        <w:t>Trängselskatt</w:t>
      </w:r>
      <w:r w:rsidRPr="00A878EB">
        <w:t xml:space="preserve"> inlä</w:t>
      </w:r>
      <w:r w:rsidRPr="00A878EB">
        <w:t>m</w:t>
      </w:r>
      <w:r w:rsidRPr="00A878EB">
        <w:t>nad</w:t>
      </w:r>
      <w:r w:rsidR="00F32086" w:rsidRPr="00A878EB">
        <w:t>e Kristdemokraterna motion Sk36</w:t>
      </w:r>
      <w:r w:rsidRPr="00A878EB">
        <w:t xml:space="preserve">. I den motionen redogjorde </w:t>
      </w:r>
      <w:r w:rsidR="00171D07" w:rsidRPr="00A878EB">
        <w:t>partiet</w:t>
      </w:r>
      <w:r w:rsidRPr="00A878EB">
        <w:t xml:space="preserve"> för sitt principiella ställningstagande i frågan om trängselskatter. Kristdemokr</w:t>
      </w:r>
      <w:r w:rsidRPr="00A878EB">
        <w:t>a</w:t>
      </w:r>
      <w:r w:rsidRPr="00A878EB">
        <w:t>terna har inte ändrat uppfattning sedan dess utan anser alltjämt att trän</w:t>
      </w:r>
      <w:r w:rsidRPr="00A878EB">
        <w:t>g</w:t>
      </w:r>
      <w:r w:rsidRPr="00A878EB">
        <w:t xml:space="preserve">selskatter inte ska införas i Stockholm, ej heller försök med sådana. Vi anför följande principiella skäl för vårt ställningstagande: </w:t>
      </w:r>
    </w:p>
    <w:p w:rsidR="001E7666" w:rsidRPr="00A878EB" w:rsidRDefault="001E7666" w:rsidP="001E7666">
      <w:pPr>
        <w:pStyle w:val="PunktlistaBomb"/>
        <w:tabs>
          <w:tab w:val="clear" w:pos="360"/>
        </w:tabs>
        <w:rPr>
          <w:snapToGrid w:val="0"/>
        </w:rPr>
      </w:pPr>
      <w:r w:rsidRPr="00A878EB">
        <w:rPr>
          <w:b/>
          <w:snapToGrid w:val="0"/>
        </w:rPr>
        <w:t xml:space="preserve">Det kommunala självstyret: </w:t>
      </w:r>
      <w:r w:rsidRPr="00A878EB">
        <w:rPr>
          <w:snapToGrid w:val="0"/>
        </w:rPr>
        <w:t>När en majoritet i en kommun/region up</w:t>
      </w:r>
      <w:r w:rsidRPr="00A878EB">
        <w:rPr>
          <w:snapToGrid w:val="0"/>
        </w:rPr>
        <w:t>p</w:t>
      </w:r>
      <w:r w:rsidRPr="00A878EB">
        <w:rPr>
          <w:snapToGrid w:val="0"/>
        </w:rPr>
        <w:t>stått för en trä</w:t>
      </w:r>
      <w:r w:rsidR="00F32086" w:rsidRPr="00A878EB">
        <w:rPr>
          <w:snapToGrid w:val="0"/>
        </w:rPr>
        <w:t>ngselskatt låter man införa denn</w:t>
      </w:r>
      <w:r w:rsidRPr="00A878EB">
        <w:rPr>
          <w:snapToGrid w:val="0"/>
        </w:rPr>
        <w:t>a genom riksdagsbeslut. Men vad händer utifall att den rådande majoriteten genom kommunala val eller andra omständigheter förbyts till en minoritet? Den nya majoriteten kanske då beslutar att avskaffa trängselskatten som riksdagen infört? Kommer riksdagen då automatiskt att besluta om ett avskaffande eller kommer man att motsätta sig den nya kommunala majoriteten? Exemplet visar hur viktig den kommunala självstyrelsen är och att den principen upprätthålls.</w:t>
      </w:r>
    </w:p>
    <w:p w:rsidR="001E7666" w:rsidRPr="00A878EB" w:rsidRDefault="001E7666" w:rsidP="00883C73">
      <w:pPr>
        <w:pStyle w:val="PunktlistaBomb"/>
        <w:tabs>
          <w:tab w:val="clear" w:pos="360"/>
        </w:tabs>
        <w:spacing w:before="0"/>
        <w:rPr>
          <w:snapToGrid w:val="0"/>
        </w:rPr>
      </w:pPr>
      <w:r w:rsidRPr="00A878EB">
        <w:rPr>
          <w:b/>
          <w:snapToGrid w:val="0"/>
        </w:rPr>
        <w:t xml:space="preserve">Stockholm: </w:t>
      </w:r>
      <w:r w:rsidRPr="00A878EB">
        <w:rPr>
          <w:snapToGrid w:val="0"/>
        </w:rPr>
        <w:t>Väl fungerande transporter inom Stockholmsregionen är en avgörande förutsättning för en positiv utveckling i Sverige i sin helhet. Regionen svarar för en fjärdedel av landets totala bruttonationalprodukt. Stockholm har dessutom en stark koncentration av myndigheter, huvu</w:t>
      </w:r>
      <w:r w:rsidRPr="00A878EB">
        <w:rPr>
          <w:snapToGrid w:val="0"/>
        </w:rPr>
        <w:t>d</w:t>
      </w:r>
      <w:r w:rsidRPr="00A878EB">
        <w:rPr>
          <w:snapToGrid w:val="0"/>
        </w:rPr>
        <w:t>kontor och institutioner. I regionen uppstår och etablerar sig därför närin</w:t>
      </w:r>
      <w:r w:rsidRPr="00A878EB">
        <w:rPr>
          <w:snapToGrid w:val="0"/>
        </w:rPr>
        <w:t>g</w:t>
      </w:r>
      <w:r w:rsidRPr="00A878EB">
        <w:rPr>
          <w:snapToGrid w:val="0"/>
        </w:rPr>
        <w:t>ar som annars inte skulle finnas i Sverige. Det gäller att ta till</w:t>
      </w:r>
      <w:r w:rsidR="00F32086" w:rsidRPr="00A878EB">
        <w:rPr>
          <w:snapToGrid w:val="0"/>
        </w:rPr>
        <w:t xml:space="preserve"> </w:t>
      </w:r>
      <w:r w:rsidRPr="00A878EB">
        <w:rPr>
          <w:snapToGrid w:val="0"/>
        </w:rPr>
        <w:t>vara de mö</w:t>
      </w:r>
      <w:r w:rsidRPr="00A878EB">
        <w:rPr>
          <w:snapToGrid w:val="0"/>
        </w:rPr>
        <w:t>j</w:t>
      </w:r>
      <w:r w:rsidRPr="00A878EB">
        <w:rPr>
          <w:snapToGrid w:val="0"/>
        </w:rPr>
        <w:t>ligheter som här bjuds</w:t>
      </w:r>
      <w:r w:rsidR="00F32086" w:rsidRPr="00A878EB">
        <w:rPr>
          <w:snapToGrid w:val="0"/>
        </w:rPr>
        <w:t>,</w:t>
      </w:r>
      <w:r w:rsidRPr="00A878EB">
        <w:rPr>
          <w:snapToGrid w:val="0"/>
        </w:rPr>
        <w:t xml:space="preserve"> och då ligger det i hela landets intresse att Stoc</w:t>
      </w:r>
      <w:r w:rsidRPr="00A878EB">
        <w:rPr>
          <w:snapToGrid w:val="0"/>
        </w:rPr>
        <w:t>k</w:t>
      </w:r>
      <w:r w:rsidRPr="00A878EB">
        <w:rPr>
          <w:snapToGrid w:val="0"/>
        </w:rPr>
        <w:t>holmsregionen kan utvecklas. Transportsystemet spelar i det samma</w:t>
      </w:r>
      <w:r w:rsidRPr="00A878EB">
        <w:rPr>
          <w:snapToGrid w:val="0"/>
        </w:rPr>
        <w:t>n</w:t>
      </w:r>
      <w:r w:rsidRPr="00A878EB">
        <w:rPr>
          <w:snapToGrid w:val="0"/>
        </w:rPr>
        <w:t xml:space="preserve">hanget en avgörande roll. Befolkningen i Stockholms län har ökat med </w:t>
      </w:r>
      <w:r w:rsidR="008A19D3" w:rsidRPr="00A878EB">
        <w:rPr>
          <w:snapToGrid w:val="0"/>
        </w:rPr>
        <w:t xml:space="preserve">mer än </w:t>
      </w:r>
      <w:r w:rsidRPr="00A878EB">
        <w:rPr>
          <w:snapToGrid w:val="0"/>
        </w:rPr>
        <w:t>1</w:t>
      </w:r>
      <w:r w:rsidR="008A19D3" w:rsidRPr="00A878EB">
        <w:rPr>
          <w:snapToGrid w:val="0"/>
        </w:rPr>
        <w:t>5</w:t>
      </w:r>
      <w:r w:rsidRPr="00A878EB">
        <w:rPr>
          <w:snapToGrid w:val="0"/>
        </w:rPr>
        <w:t>0 000 personer sedan 1995, vilket medfört ett ökat behov av transpo</w:t>
      </w:r>
      <w:r w:rsidRPr="00A878EB">
        <w:rPr>
          <w:snapToGrid w:val="0"/>
        </w:rPr>
        <w:t>r</w:t>
      </w:r>
      <w:r w:rsidRPr="00A878EB">
        <w:rPr>
          <w:snapToGrid w:val="0"/>
        </w:rPr>
        <w:t>ter som i dagsläget långt ifrån tillgodoses. I Stockholmsregionen har det, särskilt under de senaste åren, uppstått skillnader i utvecklingen mellan olika länsdelar. Bristen på fungerande transporter bär ett stort ansvar för den tilltagande ekonomiska segregationen. Regionens uppdelning tar sig framför</w:t>
      </w:r>
      <w:r w:rsidR="00F32086" w:rsidRPr="00A878EB">
        <w:rPr>
          <w:snapToGrid w:val="0"/>
        </w:rPr>
        <w:t xml:space="preserve"> </w:t>
      </w:r>
      <w:r w:rsidRPr="00A878EB">
        <w:rPr>
          <w:snapToGrid w:val="0"/>
        </w:rPr>
        <w:t>allt uttryck i att dess norra del utvecklas betydligt starkare än den södra. En orsak till detta är att inget kapacitetstillskott för den genomgåe</w:t>
      </w:r>
      <w:r w:rsidRPr="00A878EB">
        <w:rPr>
          <w:snapToGrid w:val="0"/>
        </w:rPr>
        <w:t>n</w:t>
      </w:r>
      <w:r w:rsidRPr="00A878EB">
        <w:rPr>
          <w:snapToGrid w:val="0"/>
        </w:rPr>
        <w:t>de nord-sydliga trafiken har skett sedan Essingeleden invigdes 1967. S</w:t>
      </w:r>
      <w:r w:rsidRPr="00A878EB">
        <w:rPr>
          <w:snapToGrid w:val="0"/>
        </w:rPr>
        <w:t>e</w:t>
      </w:r>
      <w:r w:rsidRPr="00A878EB">
        <w:rPr>
          <w:snapToGrid w:val="0"/>
        </w:rPr>
        <w:t xml:space="preserve">dan dess har länets befolkning ökat med </w:t>
      </w:r>
      <w:r w:rsidR="008A19D3" w:rsidRPr="00A878EB">
        <w:rPr>
          <w:snapToGrid w:val="0"/>
        </w:rPr>
        <w:t xml:space="preserve">drygt 400 </w:t>
      </w:r>
      <w:r w:rsidRPr="00A878EB">
        <w:rPr>
          <w:snapToGrid w:val="0"/>
        </w:rPr>
        <w:t>000 invånare. Kolle</w:t>
      </w:r>
      <w:r w:rsidRPr="00A878EB">
        <w:rPr>
          <w:snapToGrid w:val="0"/>
        </w:rPr>
        <w:t>k</w:t>
      </w:r>
      <w:r w:rsidRPr="00A878EB">
        <w:rPr>
          <w:snapToGrid w:val="0"/>
        </w:rPr>
        <w:t>tivtrafiken i Stockholmsregionen är mycket hårt ansträngd. Olika former av kapacitetsbrist hämmar pendeltågen, tunnelbanan och bussarna. Den enskilt största kapacitetsbristen i kollektivtrafiken är passagen förbi Ri</w:t>
      </w:r>
      <w:r w:rsidRPr="00A878EB">
        <w:rPr>
          <w:snapToGrid w:val="0"/>
        </w:rPr>
        <w:t>d</w:t>
      </w:r>
      <w:r w:rsidRPr="00A878EB">
        <w:rPr>
          <w:snapToGrid w:val="0"/>
        </w:rPr>
        <w:t xml:space="preserve">darholmen. Den s.k. </w:t>
      </w:r>
      <w:r w:rsidR="008A19D3" w:rsidRPr="00A878EB">
        <w:rPr>
          <w:snapToGrid w:val="0"/>
        </w:rPr>
        <w:t>”g</w:t>
      </w:r>
      <w:r w:rsidRPr="00A878EB">
        <w:rPr>
          <w:snapToGrid w:val="0"/>
        </w:rPr>
        <w:t>etingmidjan</w:t>
      </w:r>
      <w:r w:rsidR="008A19D3" w:rsidRPr="00A878EB">
        <w:rPr>
          <w:snapToGrid w:val="0"/>
        </w:rPr>
        <w:t>”</w:t>
      </w:r>
      <w:r w:rsidRPr="00A878EB">
        <w:rPr>
          <w:snapToGrid w:val="0"/>
        </w:rPr>
        <w:t xml:space="preserve"> är inte enbart ett problem för pende</w:t>
      </w:r>
      <w:r w:rsidRPr="00A878EB">
        <w:rPr>
          <w:snapToGrid w:val="0"/>
        </w:rPr>
        <w:t>l</w:t>
      </w:r>
      <w:r w:rsidRPr="00A878EB">
        <w:rPr>
          <w:snapToGrid w:val="0"/>
        </w:rPr>
        <w:t xml:space="preserve">tågstrafiken, utan i lika hög grad för fjärrtågen. Effekten av den föreslagna trängselskatten för Stockholmsregionens näringsliv är inte utredd. </w:t>
      </w:r>
    </w:p>
    <w:p w:rsidR="001E7666" w:rsidRPr="00A878EB" w:rsidRDefault="001E7666" w:rsidP="00883C73">
      <w:pPr>
        <w:pStyle w:val="PunktlistaBomb"/>
        <w:tabs>
          <w:tab w:val="clear" w:pos="360"/>
        </w:tabs>
        <w:spacing w:before="0"/>
        <w:rPr>
          <w:snapToGrid w:val="0"/>
        </w:rPr>
      </w:pPr>
      <w:r w:rsidRPr="00A878EB">
        <w:rPr>
          <w:b/>
          <w:snapToGrid w:val="0"/>
        </w:rPr>
        <w:t xml:space="preserve">Stockholms </w:t>
      </w:r>
      <w:r w:rsidR="00B4370F" w:rsidRPr="00A878EB">
        <w:rPr>
          <w:b/>
          <w:snapToGrid w:val="0"/>
        </w:rPr>
        <w:t>trängselskattsförsök</w:t>
      </w:r>
      <w:r w:rsidRPr="00A878EB">
        <w:rPr>
          <w:b/>
          <w:snapToGrid w:val="0"/>
        </w:rPr>
        <w:t>:</w:t>
      </w:r>
      <w:r w:rsidRPr="00A878EB">
        <w:rPr>
          <w:snapToGrid w:val="0"/>
        </w:rPr>
        <w:t xml:space="preserve"> </w:t>
      </w:r>
      <w:r w:rsidR="00B4370F" w:rsidRPr="00A878EB">
        <w:rPr>
          <w:snapToGrid w:val="0"/>
        </w:rPr>
        <w:t>Kristdemokraterna har ända från bö</w:t>
      </w:r>
      <w:r w:rsidR="00B4370F" w:rsidRPr="00A878EB">
        <w:rPr>
          <w:snapToGrid w:val="0"/>
        </w:rPr>
        <w:t>r</w:t>
      </w:r>
      <w:r w:rsidR="00B4370F" w:rsidRPr="00A878EB">
        <w:rPr>
          <w:snapToGrid w:val="0"/>
        </w:rPr>
        <w:t xml:space="preserve">jan </w:t>
      </w:r>
      <w:r w:rsidR="005E7200" w:rsidRPr="00A878EB">
        <w:rPr>
          <w:snapToGrid w:val="0"/>
        </w:rPr>
        <w:t>kritiserat</w:t>
      </w:r>
      <w:r w:rsidR="00B4370F" w:rsidRPr="00A878EB">
        <w:rPr>
          <w:snapToGrid w:val="0"/>
        </w:rPr>
        <w:t xml:space="preserve"> försöket med trängselskatter i Stockholm</w:t>
      </w:r>
      <w:r w:rsidR="00F32086" w:rsidRPr="00A878EB">
        <w:rPr>
          <w:snapToGrid w:val="0"/>
        </w:rPr>
        <w:t>, i</w:t>
      </w:r>
      <w:r w:rsidR="008A19D3" w:rsidRPr="00A878EB">
        <w:rPr>
          <w:snapToGrid w:val="0"/>
        </w:rPr>
        <w:t>nte minst</w:t>
      </w:r>
      <w:r w:rsidR="00B4370F" w:rsidRPr="00A878EB">
        <w:rPr>
          <w:snapToGrid w:val="0"/>
        </w:rPr>
        <w:t xml:space="preserve"> för att trän</w:t>
      </w:r>
      <w:r w:rsidR="00B4370F" w:rsidRPr="00A878EB">
        <w:rPr>
          <w:snapToGrid w:val="0"/>
        </w:rPr>
        <w:t>g</w:t>
      </w:r>
      <w:r w:rsidR="00B4370F" w:rsidRPr="00A878EB">
        <w:rPr>
          <w:snapToGrid w:val="0"/>
        </w:rPr>
        <w:t>selskatter skapar nya pålagor för redan hårt trängda bilister utan att ge någon som helst förbättring av den bristande infrastrukturen som skapar trängsel</w:t>
      </w:r>
      <w:r w:rsidR="00F32086" w:rsidRPr="00A878EB">
        <w:rPr>
          <w:snapToGrid w:val="0"/>
        </w:rPr>
        <w:t xml:space="preserve"> men </w:t>
      </w:r>
      <w:r w:rsidR="00B4370F" w:rsidRPr="00A878EB">
        <w:rPr>
          <w:snapToGrid w:val="0"/>
        </w:rPr>
        <w:t>också för att försöket är mycket dyrbart för skattebetalarna. Ko</w:t>
      </w:r>
      <w:r w:rsidR="005E7200" w:rsidRPr="00A878EB">
        <w:rPr>
          <w:snapToGrid w:val="0"/>
        </w:rPr>
        <w:t>stnaden för staten uppgår</w:t>
      </w:r>
      <w:r w:rsidR="00B4370F" w:rsidRPr="00A878EB">
        <w:rPr>
          <w:snapToGrid w:val="0"/>
        </w:rPr>
        <w:t xml:space="preserve"> enligt regeringens budgetproposition till minst </w:t>
      </w:r>
      <w:r w:rsidR="005E7200" w:rsidRPr="00A878EB">
        <w:rPr>
          <w:snapToGrid w:val="0"/>
        </w:rPr>
        <w:t>3,2</w:t>
      </w:r>
      <w:r w:rsidR="00B4370F" w:rsidRPr="00A878EB">
        <w:rPr>
          <w:snapToGrid w:val="0"/>
        </w:rPr>
        <w:t xml:space="preserve"> miljarder </w:t>
      </w:r>
      <w:r w:rsidR="00F32086" w:rsidRPr="00A878EB">
        <w:rPr>
          <w:snapToGrid w:val="0"/>
        </w:rPr>
        <w:t xml:space="preserve">kronor </w:t>
      </w:r>
      <w:r w:rsidR="00B4370F" w:rsidRPr="00A878EB">
        <w:rPr>
          <w:snapToGrid w:val="0"/>
        </w:rPr>
        <w:t>för år</w:t>
      </w:r>
      <w:r w:rsidR="00F32086" w:rsidRPr="00A878EB">
        <w:rPr>
          <w:snapToGrid w:val="0"/>
        </w:rPr>
        <w:t>en</w:t>
      </w:r>
      <w:r w:rsidR="00B4370F" w:rsidRPr="00A878EB">
        <w:rPr>
          <w:snapToGrid w:val="0"/>
        </w:rPr>
        <w:t xml:space="preserve"> 200</w:t>
      </w:r>
      <w:r w:rsidR="005E7200" w:rsidRPr="00A878EB">
        <w:rPr>
          <w:snapToGrid w:val="0"/>
        </w:rPr>
        <w:t>5</w:t>
      </w:r>
      <w:r w:rsidR="00F32086" w:rsidRPr="00A878EB">
        <w:rPr>
          <w:snapToGrid w:val="0"/>
        </w:rPr>
        <w:t>–</w:t>
      </w:r>
      <w:r w:rsidR="00B4370F" w:rsidRPr="00A878EB">
        <w:rPr>
          <w:snapToGrid w:val="0"/>
        </w:rPr>
        <w:t>07</w:t>
      </w:r>
      <w:r w:rsidR="005E7200" w:rsidRPr="00A878EB">
        <w:rPr>
          <w:snapToGrid w:val="0"/>
        </w:rPr>
        <w:t xml:space="preserve">, efter </w:t>
      </w:r>
      <w:r w:rsidR="00F32086" w:rsidRPr="00A878EB">
        <w:rPr>
          <w:snapToGrid w:val="0"/>
        </w:rPr>
        <w:t xml:space="preserve">att </w:t>
      </w:r>
      <w:r w:rsidR="005E7200" w:rsidRPr="00A878EB">
        <w:rPr>
          <w:snapToGrid w:val="0"/>
        </w:rPr>
        <w:t>intäkterna räknats av</w:t>
      </w:r>
      <w:r w:rsidR="00B4370F" w:rsidRPr="00A878EB">
        <w:rPr>
          <w:snapToGrid w:val="0"/>
        </w:rPr>
        <w:t xml:space="preserve">. </w:t>
      </w:r>
      <w:r w:rsidRPr="00A878EB">
        <w:rPr>
          <w:snapToGrid w:val="0"/>
        </w:rPr>
        <w:t>Ha</w:t>
      </w:r>
      <w:r w:rsidRPr="00A878EB">
        <w:rPr>
          <w:snapToGrid w:val="0"/>
        </w:rPr>
        <w:t>n</w:t>
      </w:r>
      <w:r w:rsidRPr="00A878EB">
        <w:rPr>
          <w:snapToGrid w:val="0"/>
        </w:rPr>
        <w:t xml:space="preserve">teringen av </w:t>
      </w:r>
      <w:r w:rsidR="00B4370F" w:rsidRPr="00A878EB">
        <w:rPr>
          <w:snapToGrid w:val="0"/>
        </w:rPr>
        <w:t>trän</w:t>
      </w:r>
      <w:r w:rsidR="00B4370F" w:rsidRPr="00A878EB">
        <w:rPr>
          <w:snapToGrid w:val="0"/>
        </w:rPr>
        <w:t>g</w:t>
      </w:r>
      <w:r w:rsidR="00B4370F" w:rsidRPr="00A878EB">
        <w:rPr>
          <w:snapToGrid w:val="0"/>
        </w:rPr>
        <w:t xml:space="preserve">selskattsfrågan </w:t>
      </w:r>
      <w:r w:rsidRPr="00A878EB">
        <w:rPr>
          <w:snapToGrid w:val="0"/>
        </w:rPr>
        <w:t>brister också i</w:t>
      </w:r>
      <w:r w:rsidR="00F32086" w:rsidRPr="00A878EB">
        <w:rPr>
          <w:snapToGrid w:val="0"/>
        </w:rPr>
        <w:t xml:space="preserve"> </w:t>
      </w:r>
      <w:r w:rsidRPr="00A878EB">
        <w:rPr>
          <w:snapToGrid w:val="0"/>
        </w:rPr>
        <w:t xml:space="preserve">fråga om den kommunala självstyrelse som Kristdemokraterna slår vakt om. </w:t>
      </w:r>
      <w:r w:rsidR="00B4370F" w:rsidRPr="00A878EB">
        <w:rPr>
          <w:snapToGrid w:val="0"/>
        </w:rPr>
        <w:t xml:space="preserve">Trängselskatter </w:t>
      </w:r>
      <w:r w:rsidRPr="00A878EB">
        <w:rPr>
          <w:snapToGrid w:val="0"/>
        </w:rPr>
        <w:t>ska e</w:t>
      </w:r>
      <w:r w:rsidRPr="00A878EB">
        <w:rPr>
          <w:snapToGrid w:val="0"/>
        </w:rPr>
        <w:t>n</w:t>
      </w:r>
      <w:r w:rsidRPr="00A878EB">
        <w:rPr>
          <w:snapToGrid w:val="0"/>
        </w:rPr>
        <w:t>ligt nu gällande regler beslutas av en kommun eller region och därefter möjliggöras av regering och riksdag. Vad gäller försöket i Stockholm är det uppenbart att initiativordningen varit den omvända. Socialdemokrate</w:t>
      </w:r>
      <w:r w:rsidRPr="00A878EB">
        <w:rPr>
          <w:snapToGrid w:val="0"/>
        </w:rPr>
        <w:t>r</w:t>
      </w:r>
      <w:r w:rsidRPr="00A878EB">
        <w:rPr>
          <w:snapToGrid w:val="0"/>
        </w:rPr>
        <w:t>na har på nationell nivå utnyttjat frågan som lockbete i regerings- och bu</w:t>
      </w:r>
      <w:r w:rsidRPr="00A878EB">
        <w:rPr>
          <w:snapToGrid w:val="0"/>
        </w:rPr>
        <w:t>d</w:t>
      </w:r>
      <w:r w:rsidRPr="00A878EB">
        <w:rPr>
          <w:snapToGrid w:val="0"/>
        </w:rPr>
        <w:t>getförhandlingar och därefter uppdragit åt kommunpolitikerna att present</w:t>
      </w:r>
      <w:r w:rsidRPr="00A878EB">
        <w:rPr>
          <w:snapToGrid w:val="0"/>
        </w:rPr>
        <w:t>e</w:t>
      </w:r>
      <w:r w:rsidRPr="00A878EB">
        <w:rPr>
          <w:snapToGrid w:val="0"/>
        </w:rPr>
        <w:t>ra ett förslag som går stick i stäv med partiets vallöften. Det är orimligt att staten ska finansiera en åtgärd som kommun/region beslutar att införa. Kristdemokraterna anser därför att rege</w:t>
      </w:r>
      <w:r w:rsidRPr="00A878EB">
        <w:rPr>
          <w:snapToGrid w:val="0"/>
        </w:rPr>
        <w:t>r</w:t>
      </w:r>
      <w:r w:rsidRPr="00A878EB">
        <w:rPr>
          <w:snapToGrid w:val="0"/>
        </w:rPr>
        <w:t xml:space="preserve">ingens förslag till anslag 90:2 bör avslås. </w:t>
      </w:r>
      <w:r w:rsidR="005E7200" w:rsidRPr="00A878EB">
        <w:rPr>
          <w:snapToGrid w:val="0"/>
        </w:rPr>
        <w:t xml:space="preserve">Vi tillgodoräknar oss inte heller intäkten för försöket </w:t>
      </w:r>
      <w:r w:rsidR="00797B8C" w:rsidRPr="00A878EB">
        <w:rPr>
          <w:snapToGrid w:val="0"/>
        </w:rPr>
        <w:t>på statens i</w:t>
      </w:r>
      <w:r w:rsidR="00797B8C" w:rsidRPr="00A878EB">
        <w:rPr>
          <w:snapToGrid w:val="0"/>
        </w:rPr>
        <w:t>n</w:t>
      </w:r>
      <w:r w:rsidR="00797B8C" w:rsidRPr="00A878EB">
        <w:rPr>
          <w:snapToGrid w:val="0"/>
        </w:rPr>
        <w:t>täktssida</w:t>
      </w:r>
      <w:r w:rsidR="008A19D3" w:rsidRPr="00A878EB">
        <w:rPr>
          <w:snapToGrid w:val="0"/>
        </w:rPr>
        <w:t>.</w:t>
      </w:r>
      <w:r w:rsidRPr="00A878EB">
        <w:rPr>
          <w:snapToGrid w:val="0"/>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2086" w:rsidRPr="00A878EB">
        <w:tblPrEx>
          <w:tblCellMar>
            <w:top w:w="0" w:type="dxa"/>
            <w:bottom w:w="0" w:type="dxa"/>
          </w:tblCellMar>
        </w:tblPrEx>
        <w:trPr>
          <w:cantSplit/>
        </w:trPr>
        <w:tc>
          <w:tcPr>
            <w:tcW w:w="3046" w:type="dxa"/>
          </w:tcPr>
          <w:p w:rsidR="00F32086" w:rsidRPr="00A878EB" w:rsidRDefault="001E7666" w:rsidP="00F32086">
            <w:pPr>
              <w:pStyle w:val="UnderskriftDatum"/>
              <w:spacing w:before="240"/>
            </w:pPr>
            <w:r w:rsidRPr="00A878EB">
              <w:t xml:space="preserve"> </w:t>
            </w:r>
            <w:r w:rsidR="00F32086" w:rsidRPr="00A878EB">
              <w:t>Stockholm den 5 oktober 2005</w:t>
            </w:r>
          </w:p>
        </w:tc>
        <w:tc>
          <w:tcPr>
            <w:tcW w:w="3047" w:type="dxa"/>
          </w:tcPr>
          <w:p w:rsidR="00F32086" w:rsidRPr="00A878EB" w:rsidRDefault="00F32086" w:rsidP="00F32086">
            <w:pPr>
              <w:pStyle w:val="Underskrifter"/>
              <w:spacing w:before="240"/>
            </w:pPr>
          </w:p>
        </w:tc>
      </w:tr>
      <w:tr w:rsidR="00F32086" w:rsidRPr="00A878EB">
        <w:tblPrEx>
          <w:tblCellMar>
            <w:top w:w="0" w:type="dxa"/>
            <w:bottom w:w="0" w:type="dxa"/>
          </w:tblCellMar>
        </w:tblPrEx>
        <w:trPr>
          <w:cantSplit/>
        </w:trPr>
        <w:tc>
          <w:tcPr>
            <w:tcW w:w="3046" w:type="dxa"/>
          </w:tcPr>
          <w:p w:rsidR="00F32086" w:rsidRPr="00A878EB" w:rsidRDefault="00F32086" w:rsidP="00F32086">
            <w:pPr>
              <w:pStyle w:val="Underskrifter"/>
            </w:pPr>
            <w:r w:rsidRPr="00A878EB">
              <w:t>Else-Marie Lindgren (kd)</w:t>
            </w:r>
          </w:p>
        </w:tc>
        <w:tc>
          <w:tcPr>
            <w:tcW w:w="3047" w:type="dxa"/>
          </w:tcPr>
          <w:p w:rsidR="00F32086" w:rsidRPr="00A878EB" w:rsidRDefault="00F32086" w:rsidP="00F32086">
            <w:pPr>
              <w:pStyle w:val="Underskrifter"/>
            </w:pPr>
          </w:p>
        </w:tc>
      </w:tr>
      <w:tr w:rsidR="00F32086" w:rsidRPr="00A878EB">
        <w:tblPrEx>
          <w:tblCellMar>
            <w:top w:w="0" w:type="dxa"/>
            <w:bottom w:w="0" w:type="dxa"/>
          </w:tblCellMar>
        </w:tblPrEx>
        <w:trPr>
          <w:cantSplit/>
        </w:trPr>
        <w:tc>
          <w:tcPr>
            <w:tcW w:w="3046" w:type="dxa"/>
          </w:tcPr>
          <w:p w:rsidR="00F32086" w:rsidRPr="00A878EB" w:rsidRDefault="00F32086" w:rsidP="00F32086">
            <w:pPr>
              <w:pStyle w:val="Underskrifter"/>
            </w:pPr>
            <w:r w:rsidRPr="00A878EB">
              <w:t>Mats Odell (kd)</w:t>
            </w:r>
          </w:p>
        </w:tc>
        <w:tc>
          <w:tcPr>
            <w:tcW w:w="3047" w:type="dxa"/>
          </w:tcPr>
          <w:p w:rsidR="00F32086" w:rsidRPr="00A878EB" w:rsidRDefault="00F32086" w:rsidP="00F32086">
            <w:pPr>
              <w:pStyle w:val="Underskrifter"/>
            </w:pPr>
            <w:r w:rsidRPr="00A878EB">
              <w:t>Lars Lindén (kd)</w:t>
            </w:r>
          </w:p>
        </w:tc>
      </w:tr>
      <w:tr w:rsidR="00F32086" w:rsidRPr="00A878EB">
        <w:tblPrEx>
          <w:tblCellMar>
            <w:top w:w="0" w:type="dxa"/>
            <w:bottom w:w="0" w:type="dxa"/>
          </w:tblCellMar>
        </w:tblPrEx>
        <w:trPr>
          <w:cantSplit/>
        </w:trPr>
        <w:tc>
          <w:tcPr>
            <w:tcW w:w="3046" w:type="dxa"/>
          </w:tcPr>
          <w:p w:rsidR="00F32086" w:rsidRPr="00A878EB" w:rsidRDefault="00F32086" w:rsidP="00F32086">
            <w:pPr>
              <w:pStyle w:val="Underskrifter"/>
            </w:pPr>
            <w:r w:rsidRPr="00A878EB">
              <w:t>Stefan Attefall (kd)</w:t>
            </w:r>
          </w:p>
        </w:tc>
        <w:tc>
          <w:tcPr>
            <w:tcW w:w="3047" w:type="dxa"/>
          </w:tcPr>
          <w:p w:rsidR="00F32086" w:rsidRPr="00A878EB" w:rsidRDefault="00F32086" w:rsidP="00F32086">
            <w:pPr>
              <w:pStyle w:val="Underskrifter"/>
            </w:pPr>
            <w:r w:rsidRPr="00A878EB">
              <w:t>Maria Larsson (kd)</w:t>
            </w:r>
          </w:p>
        </w:tc>
      </w:tr>
      <w:tr w:rsidR="00F32086" w:rsidRPr="00A878EB">
        <w:tblPrEx>
          <w:tblCellMar>
            <w:top w:w="0" w:type="dxa"/>
            <w:bottom w:w="0" w:type="dxa"/>
          </w:tblCellMar>
        </w:tblPrEx>
        <w:trPr>
          <w:cantSplit/>
        </w:trPr>
        <w:tc>
          <w:tcPr>
            <w:tcW w:w="3046" w:type="dxa"/>
          </w:tcPr>
          <w:p w:rsidR="00F32086" w:rsidRPr="00A878EB" w:rsidRDefault="00F32086" w:rsidP="00F32086">
            <w:pPr>
              <w:pStyle w:val="Underskrifter"/>
            </w:pPr>
            <w:r w:rsidRPr="00A878EB">
              <w:t>Mikael Oscarsson (kd)</w:t>
            </w:r>
          </w:p>
        </w:tc>
        <w:tc>
          <w:tcPr>
            <w:tcW w:w="3047" w:type="dxa"/>
          </w:tcPr>
          <w:p w:rsidR="00F32086" w:rsidRPr="00A878EB" w:rsidRDefault="00F32086" w:rsidP="00F32086">
            <w:pPr>
              <w:pStyle w:val="Underskrifter"/>
            </w:pPr>
            <w:r w:rsidRPr="00A878EB">
              <w:t>Annelie Enochson (kd)</w:t>
            </w:r>
          </w:p>
        </w:tc>
      </w:tr>
      <w:tr w:rsidR="00F32086" w:rsidRPr="00A878EB">
        <w:tblPrEx>
          <w:tblCellMar>
            <w:top w:w="0" w:type="dxa"/>
            <w:bottom w:w="0" w:type="dxa"/>
          </w:tblCellMar>
        </w:tblPrEx>
        <w:trPr>
          <w:cantSplit/>
        </w:trPr>
        <w:tc>
          <w:tcPr>
            <w:tcW w:w="3046" w:type="dxa"/>
          </w:tcPr>
          <w:p w:rsidR="00F32086" w:rsidRPr="00A878EB" w:rsidRDefault="00F32086" w:rsidP="00F32086">
            <w:pPr>
              <w:pStyle w:val="Underskrifter"/>
            </w:pPr>
            <w:r w:rsidRPr="00A878EB">
              <w:t>Per Landgren (kd)</w:t>
            </w:r>
          </w:p>
        </w:tc>
        <w:tc>
          <w:tcPr>
            <w:tcW w:w="3047" w:type="dxa"/>
          </w:tcPr>
          <w:p w:rsidR="00F32086" w:rsidRPr="00A878EB" w:rsidRDefault="00F32086" w:rsidP="00F32086">
            <w:pPr>
              <w:pStyle w:val="Underskrifter"/>
            </w:pPr>
            <w:r w:rsidRPr="00A878EB">
              <w:t>Lars Gustafsson (kd)</w:t>
            </w:r>
          </w:p>
        </w:tc>
      </w:tr>
    </w:tbl>
    <w:p w:rsidR="00797B8C" w:rsidRPr="00A878EB" w:rsidRDefault="00797B8C" w:rsidP="00F32086">
      <w:pPr>
        <w:pStyle w:val="Normaltindrag"/>
      </w:pPr>
    </w:p>
    <w:sectPr w:rsidR="00797B8C" w:rsidRPr="00A878EB" w:rsidSect="00F320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3EB" w:rsidRPr="00A878EB" w:rsidRDefault="00D723EB">
      <w:r w:rsidRPr="00A878EB">
        <w:separator/>
      </w:r>
    </w:p>
  </w:endnote>
  <w:endnote w:type="continuationSeparator" w:id="0">
    <w:p w:rsidR="00D723EB" w:rsidRPr="00A878EB" w:rsidRDefault="00D723EB">
      <w:r w:rsidRPr="00A87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DCE" w:rsidRPr="00A878EB" w:rsidRDefault="00A878EB" w:rsidP="00F32086">
    <w:pPr>
      <w:pStyle w:val="Sidfot"/>
    </w:pPr>
    <w:r w:rsidRPr="00A878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5264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DCE" w:rsidRDefault="00E72DCE">
                          <w:pPr>
                            <w:pStyle w:val="NormalS5sidnrV"/>
                          </w:pPr>
                          <w:r>
                            <w:fldChar w:fldCharType="begin"/>
                          </w:r>
                          <w:r>
                            <w:instrText xml:space="preserve"> PAGE *\charformat</w:instrText>
                          </w:r>
                          <w:r>
                            <w:fldChar w:fldCharType="separate"/>
                          </w:r>
                          <w:r w:rsidR="00B15E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2DCE" w:rsidRDefault="00E72DCE">
                    <w:pPr>
                      <w:pStyle w:val="NormalS5sidnrV"/>
                    </w:pPr>
                    <w:r>
                      <w:fldChar w:fldCharType="begin"/>
                    </w:r>
                    <w:r>
                      <w:instrText xml:space="preserve"> PAGE *\charformat</w:instrText>
                    </w:r>
                    <w:r>
                      <w:fldChar w:fldCharType="separate"/>
                    </w:r>
                    <w:r w:rsidR="00B15E5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DCE" w:rsidRPr="00A878EB" w:rsidRDefault="00A878EB" w:rsidP="00F32086">
    <w:pPr>
      <w:pStyle w:val="Sidfot"/>
    </w:pPr>
    <w:r w:rsidRPr="00A878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239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DCE" w:rsidRDefault="00E72DCE">
                          <w:pPr>
                            <w:pStyle w:val="NormalS5sidnrH"/>
                            <w:ind w:right="0"/>
                          </w:pPr>
                          <w:r>
                            <w:fldChar w:fldCharType="begin"/>
                          </w:r>
                          <w:r>
                            <w:instrText xml:space="preserve"> PAGE *\charformat</w:instrText>
                          </w:r>
                          <w:r>
                            <w:fldChar w:fldCharType="separate"/>
                          </w:r>
                          <w:r w:rsidR="00B15E5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2DCE" w:rsidRDefault="00E72DCE">
                    <w:pPr>
                      <w:pStyle w:val="NormalS5sidnrH"/>
                      <w:ind w:right="0"/>
                    </w:pPr>
                    <w:r>
                      <w:fldChar w:fldCharType="begin"/>
                    </w:r>
                    <w:r>
                      <w:instrText xml:space="preserve"> PAGE *\charformat</w:instrText>
                    </w:r>
                    <w:r>
                      <w:fldChar w:fldCharType="separate"/>
                    </w:r>
                    <w:r w:rsidR="00B15E5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DCE" w:rsidRPr="00A878EB" w:rsidRDefault="00A878EB" w:rsidP="00F32086">
    <w:pPr>
      <w:pStyle w:val="Sidfot"/>
    </w:pPr>
    <w:r w:rsidRPr="00A878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809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DCE" w:rsidRDefault="00E72DCE">
                          <w:pPr>
                            <w:pStyle w:val="NormalS5sidnrH"/>
                            <w:ind w:right="0"/>
                          </w:pPr>
                          <w:r>
                            <w:fldChar w:fldCharType="begin"/>
                          </w:r>
                          <w:r>
                            <w:instrText xml:space="preserve"> PAGE *\charformat</w:instrText>
                          </w:r>
                          <w:r>
                            <w:fldChar w:fldCharType="separate"/>
                          </w:r>
                          <w:r w:rsidR="00B15E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2DCE" w:rsidRDefault="00E72DCE">
                    <w:pPr>
                      <w:pStyle w:val="NormalS5sidnrH"/>
                      <w:ind w:right="0"/>
                    </w:pPr>
                    <w:r>
                      <w:fldChar w:fldCharType="begin"/>
                    </w:r>
                    <w:r>
                      <w:instrText xml:space="preserve"> PAGE *\charformat</w:instrText>
                    </w:r>
                    <w:r>
                      <w:fldChar w:fldCharType="separate"/>
                    </w:r>
                    <w:r w:rsidR="00B15E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3EB" w:rsidRPr="00A878EB" w:rsidRDefault="00D723EB">
      <w:r w:rsidRPr="00A878EB">
        <w:separator/>
      </w:r>
    </w:p>
  </w:footnote>
  <w:footnote w:type="continuationSeparator" w:id="0">
    <w:p w:rsidR="00D723EB" w:rsidRPr="00A878EB" w:rsidRDefault="00D723EB">
      <w:r w:rsidRPr="00A878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DCE" w:rsidRPr="00A878EB" w:rsidRDefault="00A878EB" w:rsidP="00F32086">
    <w:pPr>
      <w:pStyle w:val="Sidhuvud"/>
    </w:pPr>
    <w:r w:rsidRPr="00A878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424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DCE" w:rsidRDefault="00E72DCE">
                          <w:pPr>
                            <w:pStyle w:val="KantRubrikS5V"/>
                          </w:pPr>
                          <w:r>
                            <w:fldChar w:fldCharType="begin"/>
                          </w:r>
                          <w:r>
                            <w:instrText xml:space="preserve"> DOCPROPERTY "YearUser" *\charformat </w:instrText>
                          </w:r>
                          <w:r>
                            <w:fldChar w:fldCharType="separate"/>
                          </w:r>
                          <w:r w:rsidR="00B15E5F">
                            <w:t>2005/06</w:t>
                          </w:r>
                          <w:r>
                            <w:fldChar w:fldCharType="end"/>
                          </w:r>
                          <w:r>
                            <w:t>:</w:t>
                          </w:r>
                          <w:r>
                            <w:fldChar w:fldCharType="begin"/>
                          </w:r>
                          <w:r>
                            <w:instrText xml:space="preserve"> DOCPROPERTY "Motionsnummer" *\charformat </w:instrText>
                          </w:r>
                          <w:r>
                            <w:fldChar w:fldCharType="separate"/>
                          </w:r>
                          <w:r w:rsidR="00B15E5F">
                            <w:t>Fi306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2DCE" w:rsidRDefault="00E72DCE">
                    <w:pPr>
                      <w:pStyle w:val="KantRubrikS5V"/>
                    </w:pPr>
                    <w:r>
                      <w:fldChar w:fldCharType="begin"/>
                    </w:r>
                    <w:r>
                      <w:instrText xml:space="preserve"> DOCPROPERTY "YearUser" *\charformat </w:instrText>
                    </w:r>
                    <w:r>
                      <w:fldChar w:fldCharType="separate"/>
                    </w:r>
                    <w:r w:rsidR="00B15E5F">
                      <w:t>2005/06</w:t>
                    </w:r>
                    <w:r>
                      <w:fldChar w:fldCharType="end"/>
                    </w:r>
                    <w:r>
                      <w:t>:</w:t>
                    </w:r>
                    <w:r>
                      <w:fldChar w:fldCharType="begin"/>
                    </w:r>
                    <w:r>
                      <w:instrText xml:space="preserve"> DOCPROPERTY "Motionsnummer" *\charformat </w:instrText>
                    </w:r>
                    <w:r>
                      <w:fldChar w:fldCharType="separate"/>
                    </w:r>
                    <w:r w:rsidR="00B15E5F">
                      <w:t>Fi306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DCE" w:rsidRPr="00A878EB" w:rsidRDefault="00A878EB" w:rsidP="00F32086">
    <w:pPr>
      <w:pStyle w:val="Sidhuvud"/>
    </w:pPr>
    <w:r w:rsidRPr="00A878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91922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DCE" w:rsidRDefault="00E72DCE">
                          <w:pPr>
                            <w:pStyle w:val="KantRubrikS5H"/>
                            <w:ind w:right="0"/>
                          </w:pPr>
                          <w:r>
                            <w:fldChar w:fldCharType="begin"/>
                          </w:r>
                          <w:r>
                            <w:instrText xml:space="preserve"> DOCPROPERTY "YearUser" *\charformat </w:instrText>
                          </w:r>
                          <w:r>
                            <w:fldChar w:fldCharType="separate"/>
                          </w:r>
                          <w:r w:rsidR="00B15E5F">
                            <w:t>2005/06</w:t>
                          </w:r>
                          <w:r>
                            <w:fldChar w:fldCharType="end"/>
                          </w:r>
                          <w:r>
                            <w:t>:</w:t>
                          </w:r>
                          <w:r>
                            <w:fldChar w:fldCharType="begin"/>
                          </w:r>
                          <w:r>
                            <w:instrText xml:space="preserve"> DOCPROPERTY "Motionsnummer" *\charformat </w:instrText>
                          </w:r>
                          <w:r>
                            <w:fldChar w:fldCharType="separate"/>
                          </w:r>
                          <w:r w:rsidR="00B15E5F">
                            <w:t>Fi306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2DCE" w:rsidRDefault="00E72DCE">
                    <w:pPr>
                      <w:pStyle w:val="KantRubrikS5H"/>
                      <w:ind w:right="0"/>
                    </w:pPr>
                    <w:r>
                      <w:fldChar w:fldCharType="begin"/>
                    </w:r>
                    <w:r>
                      <w:instrText xml:space="preserve"> DOCPROPERTY "YearUser" *\charformat </w:instrText>
                    </w:r>
                    <w:r>
                      <w:fldChar w:fldCharType="separate"/>
                    </w:r>
                    <w:r w:rsidR="00B15E5F">
                      <w:t>2005/06</w:t>
                    </w:r>
                    <w:r>
                      <w:fldChar w:fldCharType="end"/>
                    </w:r>
                    <w:r>
                      <w:t>:</w:t>
                    </w:r>
                    <w:r>
                      <w:fldChar w:fldCharType="begin"/>
                    </w:r>
                    <w:r>
                      <w:instrText xml:space="preserve"> DOCPROPERTY "Motionsnummer" *\charformat </w:instrText>
                    </w:r>
                    <w:r>
                      <w:fldChar w:fldCharType="separate"/>
                    </w:r>
                    <w:r w:rsidR="00B15E5F">
                      <w:t>Fi306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DCE" w:rsidRPr="00A878EB" w:rsidRDefault="00E72DCE">
    <w:pPr>
      <w:pStyle w:val="FSHNormal"/>
      <w:tabs>
        <w:tab w:val="right" w:pos="5840"/>
      </w:tabs>
    </w:pPr>
    <w:r w:rsidRPr="00A878EB">
      <w:br/>
    </w:r>
    <w:r w:rsidRPr="00A878EB">
      <w:fldChar w:fldCharType="begin" w:fldLock="1"/>
    </w:r>
    <w:r w:rsidRPr="00A878EB">
      <w:instrText xml:space="preserve"> DOCPROPERTY</w:instrText>
    </w:r>
    <w:r w:rsidRPr="00A878EB">
      <w:rPr>
        <w:sz w:val="18"/>
      </w:rPr>
      <w:instrText xml:space="preserve"> "YearUser" *\charformat </w:instrText>
    </w:r>
    <w:r w:rsidRPr="00A878EB">
      <w:fldChar w:fldCharType="separate"/>
    </w:r>
    <w:r w:rsidR="00B15E5F" w:rsidRPr="00A878EB">
      <w:t>2005/06</w:t>
    </w:r>
    <w:r w:rsidRPr="00A878EB">
      <w:fldChar w:fldCharType="end"/>
    </w:r>
    <w:r w:rsidRPr="00A878EB">
      <w:t xml:space="preserve"> </w:t>
    </w:r>
    <w:r w:rsidRPr="00A878EB">
      <w:tab/>
      <w:t xml:space="preserve">mnr: </w:t>
    </w:r>
    <w:r w:rsidRPr="00A878EB">
      <w:fldChar w:fldCharType="begin" w:fldLock="1"/>
    </w:r>
    <w:r w:rsidRPr="00A878EB">
      <w:instrText xml:space="preserve"> DOCPROPERTY</w:instrText>
    </w:r>
    <w:r w:rsidRPr="00A878EB">
      <w:rPr>
        <w:sz w:val="18"/>
      </w:rPr>
      <w:instrText xml:space="preserve"> "Motionsnummer" *\charformat </w:instrText>
    </w:r>
    <w:r w:rsidRPr="00A878EB">
      <w:fldChar w:fldCharType="separate"/>
    </w:r>
    <w:r w:rsidR="00B15E5F" w:rsidRPr="00A878EB">
      <w:t>Fi306</w:t>
    </w:r>
    <w:r w:rsidRPr="00A878EB">
      <w:fldChar w:fldCharType="end"/>
    </w:r>
    <w:r w:rsidRPr="00A878EB">
      <w:br/>
    </w:r>
    <w:r w:rsidRPr="00A878EB">
      <w:fldChar w:fldCharType="begin" w:fldLock="1"/>
    </w:r>
    <w:r w:rsidRPr="00A878EB">
      <w:instrText xml:space="preserve"> DOCPROPERTY</w:instrText>
    </w:r>
    <w:r w:rsidRPr="00A878EB">
      <w:rPr>
        <w:sz w:val="18"/>
      </w:rPr>
      <w:instrText xml:space="preserve"> "Samling" *\charformat </w:instrText>
    </w:r>
    <w:r w:rsidRPr="00A878EB">
      <w:fldChar w:fldCharType="end"/>
    </w:r>
    <w:r w:rsidRPr="00A878EB">
      <w:tab/>
      <w:t xml:space="preserve">pnr: </w:t>
    </w:r>
    <w:r w:rsidRPr="00A878EB">
      <w:fldChar w:fldCharType="begin" w:fldLock="1"/>
    </w:r>
    <w:r w:rsidRPr="00A878EB">
      <w:instrText xml:space="preserve"> DOCPROPERTY</w:instrText>
    </w:r>
    <w:r w:rsidRPr="00A878EB">
      <w:rPr>
        <w:sz w:val="18"/>
      </w:rPr>
      <w:instrText xml:space="preserve"> "Partinummer" *\charformat </w:instrText>
    </w:r>
    <w:r w:rsidRPr="00A878EB">
      <w:fldChar w:fldCharType="separate"/>
    </w:r>
    <w:r w:rsidR="00B15E5F" w:rsidRPr="00A878EB">
      <w:t>kd302</w:t>
    </w:r>
    <w:r w:rsidRPr="00A878EB">
      <w:fldChar w:fldCharType="end"/>
    </w:r>
  </w:p>
  <w:p w:rsidR="00E72DCE" w:rsidRPr="00A878EB" w:rsidRDefault="00E72DCE">
    <w:pPr>
      <w:pStyle w:val="FSHRub1"/>
    </w:pPr>
    <w:r w:rsidRPr="00A878EB">
      <w:t>Motion till riksdagen</w:t>
    </w:r>
    <w:r w:rsidRPr="00A878EB">
      <w:br/>
    </w:r>
    <w:r w:rsidRPr="00A878EB">
      <w:fldChar w:fldCharType="begin" w:fldLock="1"/>
    </w:r>
    <w:r w:rsidRPr="00A878EB">
      <w:instrText xml:space="preserve"> DOCPROPERTY "YearUser" *\charformat </w:instrText>
    </w:r>
    <w:r w:rsidRPr="00A878EB">
      <w:fldChar w:fldCharType="separate"/>
    </w:r>
    <w:r w:rsidR="00B15E5F" w:rsidRPr="00A878EB">
      <w:t>2005/06</w:t>
    </w:r>
    <w:r w:rsidRPr="00A878EB">
      <w:fldChar w:fldCharType="end"/>
    </w:r>
    <w:r w:rsidRPr="00A878EB">
      <w:t>:</w:t>
    </w:r>
    <w:r w:rsidRPr="00A878EB">
      <w:fldChar w:fldCharType="begin" w:fldLock="1"/>
    </w:r>
    <w:r w:rsidRPr="00A878EB">
      <w:instrText xml:space="preserve"> DOCPROPERTY "Motionsnummer" *\charformat </w:instrText>
    </w:r>
    <w:r w:rsidRPr="00A878EB">
      <w:fldChar w:fldCharType="separate"/>
    </w:r>
    <w:r w:rsidR="00B15E5F" w:rsidRPr="00A878EB">
      <w:t>Fi306</w:t>
    </w:r>
    <w:r w:rsidRPr="00A878EB">
      <w:fldChar w:fldCharType="end"/>
    </w:r>
  </w:p>
  <w:p w:rsidR="00E72DCE" w:rsidRPr="00A878EB" w:rsidRDefault="00E72DCE">
    <w:pPr>
      <w:pStyle w:val="FSHNormalS5"/>
    </w:pPr>
    <w:r w:rsidRPr="00A878EB">
      <w:fldChar w:fldCharType="begin" w:fldLock="1"/>
    </w:r>
    <w:r w:rsidRPr="00A878EB">
      <w:instrText xml:space="preserve"> DOCPROPERTY "MotionarText" *\charformat </w:instrText>
    </w:r>
    <w:r w:rsidRPr="00A878EB">
      <w:fldChar w:fldCharType="separate"/>
    </w:r>
    <w:r w:rsidR="00B15E5F" w:rsidRPr="00A878EB">
      <w:t>av Else-Marie Lindgren m.fl. (kd)</w:t>
    </w:r>
    <w:r w:rsidRPr="00A878EB">
      <w:fldChar w:fldCharType="end"/>
    </w:r>
    <w:r w:rsidRPr="00A878EB">
      <w:br/>
    </w:r>
    <w:r w:rsidRPr="00A878EB">
      <w:fldChar w:fldCharType="begin" w:fldLock="1"/>
    </w:r>
    <w:r w:rsidRPr="00A878EB">
      <w:instrText xml:space="preserve"> DOCPROPERTY "SvarFrasKort" *\charformat </w:instrText>
    </w:r>
    <w:r w:rsidRPr="00A878EB">
      <w:fldChar w:fldCharType="end"/>
    </w:r>
  </w:p>
  <w:p w:rsidR="00E72DCE" w:rsidRPr="00A878EB" w:rsidRDefault="00E72DCE">
    <w:pPr>
      <w:pStyle w:val="FSHTitel"/>
    </w:pPr>
    <w:r w:rsidRPr="00A878EB">
      <w:fldChar w:fldCharType="begin" w:fldLock="1"/>
    </w:r>
    <w:r w:rsidRPr="00A878EB">
      <w:instrText xml:space="preserve"> DOCPROPERTY</w:instrText>
    </w:r>
    <w:r w:rsidRPr="00A878EB">
      <w:rPr>
        <w:sz w:val="18"/>
      </w:rPr>
      <w:instrText xml:space="preserve"> "RubrikSvar" *\charformat </w:instrText>
    </w:r>
    <w:r w:rsidRPr="00A878EB">
      <w:fldChar w:fldCharType="separate"/>
    </w:r>
    <w:r w:rsidR="00B15E5F" w:rsidRPr="00A878EB">
      <w:t>Utgiftsområde 2 Samhällsekonomi och finansförvaltning</w:t>
    </w:r>
    <w:r w:rsidRPr="00A878EB">
      <w:fldChar w:fldCharType="end"/>
    </w:r>
  </w:p>
  <w:p w:rsidR="00E72DCE" w:rsidRPr="00A878EB" w:rsidRDefault="00E72DCE" w:rsidP="00F320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FE62AA"/>
    <w:multiLevelType w:val="multilevel"/>
    <w:tmpl w:val="0334513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D580418C"/>
    <w:lvl w:ilvl="0" w:tplc="190C615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43803188">
    <w:abstractNumId w:val="14"/>
  </w:num>
  <w:num w:numId="2" w16cid:durableId="140968841">
    <w:abstractNumId w:val="10"/>
  </w:num>
  <w:num w:numId="3" w16cid:durableId="1571236130">
    <w:abstractNumId w:val="11"/>
  </w:num>
  <w:num w:numId="4" w16cid:durableId="650528109">
    <w:abstractNumId w:val="12"/>
  </w:num>
  <w:num w:numId="5" w16cid:durableId="910231554">
    <w:abstractNumId w:val="8"/>
  </w:num>
  <w:num w:numId="6" w16cid:durableId="1646426182">
    <w:abstractNumId w:val="3"/>
  </w:num>
  <w:num w:numId="7" w16cid:durableId="1847479056">
    <w:abstractNumId w:val="2"/>
  </w:num>
  <w:num w:numId="8" w16cid:durableId="1456752635">
    <w:abstractNumId w:val="1"/>
  </w:num>
  <w:num w:numId="9" w16cid:durableId="762532527">
    <w:abstractNumId w:val="0"/>
  </w:num>
  <w:num w:numId="10" w16cid:durableId="1455440274">
    <w:abstractNumId w:val="9"/>
  </w:num>
  <w:num w:numId="11" w16cid:durableId="1030909267">
    <w:abstractNumId w:val="7"/>
  </w:num>
  <w:num w:numId="12" w16cid:durableId="1656911376">
    <w:abstractNumId w:val="6"/>
  </w:num>
  <w:num w:numId="13" w16cid:durableId="42870083">
    <w:abstractNumId w:val="5"/>
  </w:num>
  <w:num w:numId="14" w16cid:durableId="653140415">
    <w:abstractNumId w:val="4"/>
  </w:num>
  <w:num w:numId="15" w16cid:durableId="1137994981">
    <w:abstractNumId w:val="11"/>
    <w:lvlOverride w:ilvl="0">
      <w:startOverride w:val="1"/>
    </w:lvlOverride>
  </w:num>
  <w:num w:numId="16" w16cid:durableId="1533565815">
    <w:abstractNumId w:val="10"/>
  </w:num>
  <w:num w:numId="17" w16cid:durableId="652871929">
    <w:abstractNumId w:val="10"/>
  </w:num>
  <w:num w:numId="18" w16cid:durableId="1959795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9E43B0"/>
    <w:rsid w:val="000031D5"/>
    <w:rsid w:val="00015A51"/>
    <w:rsid w:val="00031AA4"/>
    <w:rsid w:val="00064BC3"/>
    <w:rsid w:val="00066775"/>
    <w:rsid w:val="00072FB9"/>
    <w:rsid w:val="00100531"/>
    <w:rsid w:val="00171D07"/>
    <w:rsid w:val="001E7666"/>
    <w:rsid w:val="00201DFB"/>
    <w:rsid w:val="00204A63"/>
    <w:rsid w:val="00212FF1"/>
    <w:rsid w:val="00230193"/>
    <w:rsid w:val="0025068A"/>
    <w:rsid w:val="002818D3"/>
    <w:rsid w:val="00290757"/>
    <w:rsid w:val="002D11A8"/>
    <w:rsid w:val="002D66C4"/>
    <w:rsid w:val="00350E37"/>
    <w:rsid w:val="00387A2D"/>
    <w:rsid w:val="00396E6E"/>
    <w:rsid w:val="003C0C9E"/>
    <w:rsid w:val="00445271"/>
    <w:rsid w:val="0046365F"/>
    <w:rsid w:val="004A0504"/>
    <w:rsid w:val="004E38D9"/>
    <w:rsid w:val="004F078E"/>
    <w:rsid w:val="00543F64"/>
    <w:rsid w:val="00575085"/>
    <w:rsid w:val="005E7200"/>
    <w:rsid w:val="00657FD5"/>
    <w:rsid w:val="006D54BF"/>
    <w:rsid w:val="006E633C"/>
    <w:rsid w:val="006F0219"/>
    <w:rsid w:val="00740D6D"/>
    <w:rsid w:val="00777E8C"/>
    <w:rsid w:val="00794149"/>
    <w:rsid w:val="00797B8C"/>
    <w:rsid w:val="007B67A7"/>
    <w:rsid w:val="007C6092"/>
    <w:rsid w:val="00883C73"/>
    <w:rsid w:val="008A19D3"/>
    <w:rsid w:val="009E43B0"/>
    <w:rsid w:val="00A053C6"/>
    <w:rsid w:val="00A06DCC"/>
    <w:rsid w:val="00A3581B"/>
    <w:rsid w:val="00A45B14"/>
    <w:rsid w:val="00A77DD2"/>
    <w:rsid w:val="00A878EB"/>
    <w:rsid w:val="00AF0F7D"/>
    <w:rsid w:val="00B13BF0"/>
    <w:rsid w:val="00B15E5F"/>
    <w:rsid w:val="00B3081F"/>
    <w:rsid w:val="00B4370F"/>
    <w:rsid w:val="00B516E1"/>
    <w:rsid w:val="00B94A6F"/>
    <w:rsid w:val="00C03579"/>
    <w:rsid w:val="00C1285C"/>
    <w:rsid w:val="00C20D06"/>
    <w:rsid w:val="00C2409B"/>
    <w:rsid w:val="00C27B7D"/>
    <w:rsid w:val="00C4580C"/>
    <w:rsid w:val="00CF057F"/>
    <w:rsid w:val="00D1174F"/>
    <w:rsid w:val="00D723EB"/>
    <w:rsid w:val="00D85889"/>
    <w:rsid w:val="00DA27C7"/>
    <w:rsid w:val="00DC6C70"/>
    <w:rsid w:val="00E22893"/>
    <w:rsid w:val="00E360DE"/>
    <w:rsid w:val="00E72DCE"/>
    <w:rsid w:val="00E75D28"/>
    <w:rsid w:val="00E84F25"/>
    <w:rsid w:val="00F320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B072E8-7CED-4BA1-BF18-C7F33B06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72DCE"/>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72DCE"/>
    <w:pPr>
      <w:numPr>
        <w:ilvl w:val="1"/>
      </w:numPr>
      <w:spacing w:before="500" w:line="250" w:lineRule="exact"/>
      <w:outlineLvl w:val="1"/>
    </w:pPr>
    <w:rPr>
      <w:sz w:val="27"/>
    </w:rPr>
  </w:style>
  <w:style w:type="paragraph" w:styleId="Rubrik3">
    <w:name w:val="heading 3"/>
    <w:aliases w:val="Mellanrubrik"/>
    <w:basedOn w:val="Rubrik2"/>
    <w:next w:val="Normal"/>
    <w:qFormat/>
    <w:rsid w:val="00E72DCE"/>
    <w:pPr>
      <w:numPr>
        <w:ilvl w:val="2"/>
      </w:numPr>
      <w:spacing w:before="250" w:after="0"/>
      <w:outlineLvl w:val="2"/>
    </w:pPr>
    <w:rPr>
      <w:b/>
      <w:sz w:val="21"/>
    </w:rPr>
  </w:style>
  <w:style w:type="paragraph" w:styleId="Rubrik4">
    <w:name w:val="heading 4"/>
    <w:aliases w:val="KursivRubrik"/>
    <w:basedOn w:val="Rubrik3"/>
    <w:next w:val="Normal"/>
    <w:qFormat/>
    <w:rsid w:val="00E72DCE"/>
    <w:pPr>
      <w:numPr>
        <w:ilvl w:val="3"/>
      </w:numPr>
      <w:outlineLvl w:val="3"/>
    </w:pPr>
    <w:rPr>
      <w:b w:val="0"/>
      <w:i/>
    </w:rPr>
  </w:style>
  <w:style w:type="paragraph" w:styleId="Rubrik5">
    <w:name w:val="heading 5"/>
    <w:aliases w:val="PackadFetRubrik,PackadKursivRubrik"/>
    <w:basedOn w:val="Rubrik4"/>
    <w:next w:val="Normal"/>
    <w:qFormat/>
    <w:rsid w:val="00E72DCE"/>
    <w:pPr>
      <w:numPr>
        <w:ilvl w:val="4"/>
      </w:numPr>
      <w:tabs>
        <w:tab w:val="clear" w:pos="1021"/>
      </w:tabs>
      <w:spacing w:before="125"/>
      <w:outlineLvl w:val="4"/>
    </w:pPr>
    <w:rPr>
      <w:i w:val="0"/>
      <w:sz w:val="19"/>
    </w:rPr>
  </w:style>
  <w:style w:type="paragraph" w:styleId="Rubrik6">
    <w:name w:val="heading 6"/>
    <w:basedOn w:val="Rubrik5"/>
    <w:next w:val="Normal"/>
    <w:qFormat/>
    <w:rsid w:val="00E72DCE"/>
    <w:pPr>
      <w:numPr>
        <w:ilvl w:val="5"/>
      </w:numPr>
      <w:spacing w:before="50" w:line="200" w:lineRule="exact"/>
      <w:outlineLvl w:val="5"/>
    </w:pPr>
    <w:rPr>
      <w:caps/>
      <w:sz w:val="14"/>
    </w:rPr>
  </w:style>
  <w:style w:type="paragraph" w:styleId="Rubrik7">
    <w:name w:val="heading 7"/>
    <w:basedOn w:val="Rubrik6"/>
    <w:next w:val="Normal"/>
    <w:qFormat/>
    <w:rsid w:val="00E72DCE"/>
    <w:pPr>
      <w:numPr>
        <w:ilvl w:val="6"/>
      </w:numPr>
      <w:spacing w:before="0"/>
      <w:outlineLvl w:val="6"/>
    </w:pPr>
  </w:style>
  <w:style w:type="paragraph" w:styleId="Rubrik8">
    <w:name w:val="heading 8"/>
    <w:basedOn w:val="Rubrik7"/>
    <w:next w:val="Normal"/>
    <w:qFormat/>
    <w:rsid w:val="00E72DCE"/>
    <w:pPr>
      <w:numPr>
        <w:ilvl w:val="7"/>
      </w:numPr>
      <w:outlineLvl w:val="7"/>
    </w:pPr>
  </w:style>
  <w:style w:type="paragraph" w:styleId="Rubrik9">
    <w:name w:val="heading 9"/>
    <w:basedOn w:val="Rubrik8"/>
    <w:next w:val="Normal"/>
    <w:qFormat/>
    <w:rsid w:val="00E72DC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45B14"/>
    <w:pPr>
      <w:spacing w:after="250"/>
    </w:pPr>
  </w:style>
  <w:style w:type="paragraph" w:customStyle="1" w:styleId="Hemstlatt">
    <w:name w:val="Hemstl_att"/>
    <w:aliases w:val="HemstPunkt,HemstPunktFlera,HemställansPunkt,Förslagstext"/>
    <w:basedOn w:val="Normal"/>
    <w:next w:val="Normal"/>
    <w:rsid w:val="00F32086"/>
    <w:pPr>
      <w:keepLines/>
      <w:numPr>
        <w:numId w:val="1"/>
      </w:numPr>
      <w:spacing w:before="0"/>
    </w:pPr>
  </w:style>
  <w:style w:type="paragraph" w:styleId="Fotnotstext">
    <w:name w:val="footnote text"/>
    <w:basedOn w:val="Normal"/>
    <w:link w:val="FotnotstextChar"/>
    <w:rsid w:val="00F32086"/>
    <w:rPr>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andlprg-Brdtext">
    <w:name w:val="Handlprg-Brödtext"/>
    <w:basedOn w:val="Normal"/>
    <w:rsid w:val="001E7666"/>
    <w:pPr>
      <w:spacing w:line="300" w:lineRule="exact"/>
    </w:pPr>
    <w:rPr>
      <w:rFonts w:ascii="Garamond" w:hAnsi="Garamond"/>
    </w:rPr>
  </w:style>
  <w:style w:type="paragraph" w:customStyle="1" w:styleId="Bembo1014Versaler">
    <w:name w:val="Bembo10/14Versaler"/>
    <w:basedOn w:val="Normal"/>
    <w:rsid w:val="001E7666"/>
    <w:pPr>
      <w:spacing w:line="280" w:lineRule="atLeast"/>
    </w:pPr>
    <w:rPr>
      <w:rFonts w:ascii="Bembo" w:hAnsi="Bembo"/>
      <w:caps/>
      <w:spacing w:val="40"/>
      <w:sz w:val="20"/>
    </w:rPr>
  </w:style>
  <w:style w:type="paragraph" w:customStyle="1" w:styleId="NormalBeslutDnr">
    <w:name w:val="Normal.BeslutDnr"/>
    <w:next w:val="Normal"/>
    <w:rsid w:val="001E7666"/>
    <w:pPr>
      <w:spacing w:before="125" w:line="250" w:lineRule="atLeast"/>
      <w:jc w:val="both"/>
    </w:pPr>
    <w:rPr>
      <w:sz w:val="19"/>
      <w:lang w:val="sv-SE" w:eastAsia="sv-SE"/>
    </w:rPr>
  </w:style>
  <w:style w:type="paragraph" w:styleId="Ballongtext">
    <w:name w:val="Balloon Text"/>
    <w:basedOn w:val="Normal"/>
    <w:semiHidden/>
    <w:rsid w:val="00B4370F"/>
    <w:rPr>
      <w:rFonts w:ascii="Tahoma" w:hAnsi="Tahoma" w:cs="Tahoma"/>
      <w:sz w:val="16"/>
      <w:szCs w:val="16"/>
    </w:rPr>
  </w:style>
  <w:style w:type="character" w:customStyle="1" w:styleId="FotnotstextChar">
    <w:name w:val="Fotnotstext Char"/>
    <w:basedOn w:val="Standardstycketeckensnitt"/>
    <w:link w:val="Fotnotstext"/>
    <w:rsid w:val="00F32086"/>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51968">
      <w:bodyDiv w:val="1"/>
      <w:marLeft w:val="0"/>
      <w:marRight w:val="0"/>
      <w:marTop w:val="0"/>
      <w:marBottom w:val="0"/>
      <w:divBdr>
        <w:top w:val="none" w:sz="0" w:space="0" w:color="auto"/>
        <w:left w:val="none" w:sz="0" w:space="0" w:color="auto"/>
        <w:bottom w:val="none" w:sz="0" w:space="0" w:color="auto"/>
        <w:right w:val="none" w:sz="0" w:space="0" w:color="auto"/>
      </w:divBdr>
    </w:div>
    <w:div w:id="625090203">
      <w:bodyDiv w:val="1"/>
      <w:marLeft w:val="0"/>
      <w:marRight w:val="0"/>
      <w:marTop w:val="0"/>
      <w:marBottom w:val="0"/>
      <w:divBdr>
        <w:top w:val="none" w:sz="0" w:space="0" w:color="auto"/>
        <w:left w:val="none" w:sz="0" w:space="0" w:color="auto"/>
        <w:bottom w:val="none" w:sz="0" w:space="0" w:color="auto"/>
        <w:right w:val="none" w:sz="0" w:space="0" w:color="auto"/>
      </w:divBdr>
    </w:div>
    <w:div w:id="11507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4769</Words>
  <Characters>29999</Characters>
  <Application>Microsoft Office Word</Application>
  <DocSecurity>4</DocSecurity>
  <Lines>681</Lines>
  <Paragraphs>299</Paragraphs>
  <ScaleCrop>false</ScaleCrop>
  <HeadingPairs>
    <vt:vector size="2" baseType="variant">
      <vt:variant>
        <vt:lpstr>Rubrik</vt:lpstr>
      </vt:variant>
      <vt:variant>
        <vt:i4>1</vt:i4>
      </vt:variant>
    </vt:vector>
  </HeadingPairs>
  <TitlesOfParts>
    <vt:vector size="1" baseType="lpstr">
      <vt:lpstr>Fi306</vt:lpstr>
    </vt:vector>
  </TitlesOfParts>
  <Company>Riksdagen</Company>
  <LinksUpToDate>false</LinksUpToDate>
  <CharactersWithSpaces>34469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Fi306</dc:title>
  <dc:subject>Fi306</dc:subject>
  <dc:creator>Riksdagen</dc:creator>
  <cp:keywords>Riksdagen</cp:keywords>
  <dc:description/>
  <cp:lastModifiedBy>Lars Brink</cp:lastModifiedBy>
  <cp:revision>2</cp:revision>
  <cp:lastPrinted>2005-11-27T08:46:00Z</cp:lastPrinted>
  <dcterms:created xsi:type="dcterms:W3CDTF">2025-12-16T19:12:00Z</dcterms:created>
  <dcterms:modified xsi:type="dcterms:W3CDTF">2025-12-16T19:12:00Z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 Samhällsekonomi och finansförvaltning</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Utgiftsområde 2 Samhällsekonomi och finansförvaltning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Else-Marie Lindgren m.fl. (kd)</vt:lpwstr>
  </property>
  <property fmtid="{D5CDD505-2E9C-101B-9397-08002B2CF9AE}" pid="26" name="MotionarLista">
    <vt:lpwstr>Lindgren, Else-Marie (kd)\Odell, Mats (kd)\Lindén, Lars (kd)\Attefall, Stefan (kd)\Larsson, Maria (kd)\Oscarsson, Mikael (kd)\Enochson, Annelie (kd)\Landgren, Per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 Mats Odell (kd), Lars Lindén (kd), Stefan Attefall (kd), Maria Larsson (kd), Mikael Oscarsson (kd), Annelie Enochson (kd), Per Landgren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stefan.svanstrom@riksdagen.se</vt:lpwstr>
  </property>
  <property fmtid="{D5CDD505-2E9C-101B-9397-08002B2CF9AE}" pid="45" name="ReservUID">
    <vt:lpwstr>peter jansson</vt:lpwstr>
  </property>
  <property fmtid="{D5CDD505-2E9C-101B-9397-08002B2CF9AE}" pid="46" name="MotionID">
    <vt:lpwstr>20052006000001070100000003020075</vt:lpwstr>
  </property>
  <property fmtid="{D5CDD505-2E9C-101B-9397-08002B2CF9AE}" pid="47" name="datum">
    <vt:lpwstr>051005</vt:lpwstr>
  </property>
  <property fmtid="{D5CDD505-2E9C-101B-9397-08002B2CF9AE}" pid="48" name="avsändar-e-post">
    <vt:lpwstr>stefan.svanstrom@riksdagen.se</vt:lpwstr>
  </property>
  <property fmtid="{D5CDD505-2E9C-101B-9397-08002B2CF9AE}" pid="49" name="id">
    <vt:lpwstr>20052006000001070100000003020075</vt:lpwstr>
  </property>
  <property fmtid="{D5CDD505-2E9C-101B-9397-08002B2CF9AE}" pid="50" name="nummer">
    <vt:lpwstr>306</vt:lpwstr>
  </property>
  <property fmtid="{D5CDD505-2E9C-101B-9397-08002B2CF9AE}" pid="51" name="utskottsbeteckning">
    <vt:lpwstr>Fi</vt:lpwstr>
  </property>
</Properties>
</file>