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583512">
              <w:rPr>
                <w:b/>
                <w:sz w:val="22"/>
                <w:szCs w:val="22"/>
              </w:rPr>
              <w:t>30</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FB0559">
            <w:pPr>
              <w:rPr>
                <w:sz w:val="22"/>
                <w:szCs w:val="22"/>
              </w:rPr>
            </w:pPr>
            <w:r w:rsidRPr="005249C1">
              <w:rPr>
                <w:sz w:val="22"/>
                <w:szCs w:val="22"/>
              </w:rPr>
              <w:t>201</w:t>
            </w:r>
            <w:r w:rsidR="001238B9">
              <w:rPr>
                <w:sz w:val="22"/>
                <w:szCs w:val="22"/>
              </w:rPr>
              <w:t>9</w:t>
            </w:r>
            <w:r w:rsidR="008C2D5B" w:rsidRPr="005249C1">
              <w:rPr>
                <w:sz w:val="22"/>
                <w:szCs w:val="22"/>
              </w:rPr>
              <w:t>-</w:t>
            </w:r>
            <w:r w:rsidR="00D27BCE">
              <w:rPr>
                <w:sz w:val="22"/>
                <w:szCs w:val="22"/>
              </w:rPr>
              <w:t>0</w:t>
            </w:r>
            <w:r w:rsidR="008845E7">
              <w:rPr>
                <w:sz w:val="22"/>
                <w:szCs w:val="22"/>
              </w:rPr>
              <w:t>4-2</w:t>
            </w:r>
            <w:r w:rsidR="00583512">
              <w:rPr>
                <w:sz w:val="22"/>
                <w:szCs w:val="22"/>
              </w:rPr>
              <w:t>5</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5957E5" w:rsidP="0008626B">
            <w:pPr>
              <w:rPr>
                <w:sz w:val="22"/>
                <w:szCs w:val="22"/>
              </w:rPr>
            </w:pPr>
            <w:r>
              <w:rPr>
                <w:sz w:val="22"/>
                <w:szCs w:val="22"/>
              </w:rPr>
              <w:t>1</w:t>
            </w:r>
            <w:r w:rsidR="00583512">
              <w:rPr>
                <w:sz w:val="22"/>
                <w:szCs w:val="22"/>
              </w:rPr>
              <w:t>0</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08626B">
              <w:rPr>
                <w:sz w:val="22"/>
                <w:szCs w:val="22"/>
              </w:rPr>
              <w:t>11.10</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Default="00177FF8">
      <w:pPr>
        <w:tabs>
          <w:tab w:val="left" w:pos="1701"/>
        </w:tabs>
        <w:rPr>
          <w:snapToGrid w:val="0"/>
          <w:color w:val="000000"/>
          <w:sz w:val="22"/>
          <w:szCs w:val="22"/>
        </w:rPr>
      </w:pPr>
    </w:p>
    <w:p w:rsidR="0019407A" w:rsidRDefault="0019407A">
      <w:pPr>
        <w:tabs>
          <w:tab w:val="left" w:pos="1701"/>
        </w:tabs>
        <w:rPr>
          <w:snapToGrid w:val="0"/>
          <w:color w:val="000000"/>
          <w:sz w:val="22"/>
          <w:szCs w:val="22"/>
        </w:rPr>
      </w:pPr>
    </w:p>
    <w:p w:rsidR="0019407A" w:rsidRDefault="0019407A">
      <w:pPr>
        <w:tabs>
          <w:tab w:val="left" w:pos="1701"/>
        </w:tabs>
        <w:rPr>
          <w:snapToGrid w:val="0"/>
          <w:color w:val="000000"/>
          <w:sz w:val="22"/>
          <w:szCs w:val="22"/>
        </w:rPr>
      </w:pPr>
    </w:p>
    <w:p w:rsidR="0019407A" w:rsidRPr="005249C1" w:rsidRDefault="0019407A">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D303F8" w:rsidRDefault="00F87BD0" w:rsidP="00583512">
            <w:pPr>
              <w:rPr>
                <w:b/>
                <w:bCs/>
                <w:color w:val="000000"/>
                <w:sz w:val="22"/>
                <w:szCs w:val="22"/>
              </w:rPr>
            </w:pPr>
            <w:r>
              <w:rPr>
                <w:b/>
                <w:bCs/>
                <w:color w:val="000000"/>
                <w:sz w:val="22"/>
                <w:szCs w:val="22"/>
              </w:rPr>
              <w:t>Inkomna EU-dokument</w:t>
            </w:r>
          </w:p>
          <w:p w:rsidR="00671602" w:rsidRDefault="00671602" w:rsidP="00583512">
            <w:pPr>
              <w:rPr>
                <w:b/>
                <w:bCs/>
                <w:color w:val="000000"/>
                <w:sz w:val="22"/>
                <w:szCs w:val="22"/>
              </w:rPr>
            </w:pPr>
          </w:p>
          <w:p w:rsidR="00671602" w:rsidRPr="008825CF" w:rsidRDefault="00671602" w:rsidP="00671602">
            <w:pPr>
              <w:tabs>
                <w:tab w:val="left" w:pos="1701"/>
              </w:tabs>
              <w:rPr>
                <w:rFonts w:eastAsiaTheme="minorHAnsi"/>
                <w:b/>
                <w:bCs/>
                <w:color w:val="000000"/>
                <w:sz w:val="22"/>
                <w:szCs w:val="22"/>
                <w:lang w:eastAsia="en-US"/>
              </w:rPr>
            </w:pPr>
            <w:r w:rsidRPr="008825CF">
              <w:rPr>
                <w:snapToGrid w:val="0"/>
                <w:sz w:val="22"/>
                <w:szCs w:val="22"/>
              </w:rPr>
              <w:t>Inkomna EU-dokument m.m. enligt bilaga 2 anmäldes och lades till handlingarna.</w:t>
            </w:r>
          </w:p>
          <w:p w:rsidR="00F87BD0" w:rsidRPr="005249C1" w:rsidRDefault="00F87BD0" w:rsidP="00583512">
            <w:pPr>
              <w:rPr>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D30A97" w:rsidRPr="005249C1">
              <w:rPr>
                <w:b/>
                <w:snapToGrid w:val="0"/>
                <w:sz w:val="22"/>
                <w:szCs w:val="22"/>
              </w:rPr>
              <w:t>2</w:t>
            </w:r>
          </w:p>
        </w:tc>
        <w:tc>
          <w:tcPr>
            <w:tcW w:w="6946" w:type="dxa"/>
            <w:gridSpan w:val="2"/>
          </w:tcPr>
          <w:p w:rsidR="00583512" w:rsidRDefault="00F87BD0" w:rsidP="00583512">
            <w:pPr>
              <w:rPr>
                <w:b/>
                <w:bCs/>
                <w:color w:val="000000"/>
                <w:sz w:val="22"/>
                <w:szCs w:val="22"/>
              </w:rPr>
            </w:pPr>
            <w:r>
              <w:rPr>
                <w:b/>
                <w:bCs/>
                <w:color w:val="000000"/>
                <w:sz w:val="22"/>
                <w:szCs w:val="22"/>
              </w:rPr>
              <w:t>Inkomna skrivelser</w:t>
            </w:r>
          </w:p>
          <w:p w:rsidR="00671602" w:rsidRPr="00D87D66" w:rsidRDefault="00671602" w:rsidP="00671602">
            <w:pPr>
              <w:tabs>
                <w:tab w:val="left" w:pos="2459"/>
              </w:tabs>
              <w:rPr>
                <w:rFonts w:eastAsiaTheme="minorHAnsi"/>
                <w:bCs/>
                <w:color w:val="000000"/>
                <w:sz w:val="22"/>
                <w:szCs w:val="22"/>
                <w:lang w:eastAsia="en-US"/>
              </w:rPr>
            </w:pPr>
          </w:p>
          <w:p w:rsidR="00671602" w:rsidRPr="006224E7" w:rsidRDefault="00671602" w:rsidP="00671602">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Två inkomna skrivelser </w:t>
            </w:r>
            <w:r w:rsidRPr="0055255C">
              <w:rPr>
                <w:snapToGrid w:val="0"/>
                <w:sz w:val="22"/>
                <w:szCs w:val="22"/>
              </w:rPr>
              <w:t xml:space="preserve">enligt bilaga </w:t>
            </w:r>
            <w:r>
              <w:rPr>
                <w:snapToGrid w:val="0"/>
                <w:sz w:val="22"/>
                <w:szCs w:val="22"/>
              </w:rPr>
              <w:t>3</w:t>
            </w:r>
            <w:r w:rsidRPr="0055255C">
              <w:rPr>
                <w:snapToGrid w:val="0"/>
                <w:sz w:val="22"/>
                <w:szCs w:val="22"/>
              </w:rPr>
              <w:t xml:space="preserve"> anmäldes</w:t>
            </w:r>
            <w:r>
              <w:rPr>
                <w:snapToGrid w:val="0"/>
                <w:sz w:val="22"/>
                <w:szCs w:val="22"/>
              </w:rPr>
              <w:t xml:space="preserve"> </w:t>
            </w:r>
            <w:r>
              <w:rPr>
                <w:rFonts w:eastAsiaTheme="minorHAnsi"/>
                <w:bCs/>
                <w:color w:val="000000"/>
                <w:sz w:val="22"/>
                <w:szCs w:val="22"/>
                <w:lang w:eastAsia="en-US"/>
              </w:rPr>
              <w:t>och lades till handlingarna.</w:t>
            </w:r>
          </w:p>
          <w:p w:rsidR="00F87BD0" w:rsidRPr="00583512" w:rsidRDefault="00F87BD0" w:rsidP="00583512">
            <w:pPr>
              <w:rPr>
                <w:b/>
                <w:bCs/>
                <w:color w:val="000000"/>
                <w:szCs w:val="24"/>
              </w:rPr>
            </w:pP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3</w:t>
            </w:r>
          </w:p>
        </w:tc>
        <w:tc>
          <w:tcPr>
            <w:tcW w:w="6946" w:type="dxa"/>
            <w:gridSpan w:val="2"/>
          </w:tcPr>
          <w:p w:rsidR="008845E7" w:rsidRDefault="00F87BD0" w:rsidP="002A14AC">
            <w:pPr>
              <w:rPr>
                <w:b/>
                <w:bCs/>
                <w:color w:val="000000"/>
                <w:sz w:val="22"/>
                <w:szCs w:val="22"/>
              </w:rPr>
            </w:pPr>
            <w:r>
              <w:rPr>
                <w:b/>
                <w:bCs/>
                <w:color w:val="000000"/>
                <w:sz w:val="22"/>
                <w:szCs w:val="22"/>
              </w:rPr>
              <w:t>Utskottets arbetsplan</w:t>
            </w:r>
          </w:p>
          <w:p w:rsidR="00F87BD0" w:rsidRDefault="00F87BD0" w:rsidP="002A14AC">
            <w:pPr>
              <w:rPr>
                <w:b/>
                <w:bCs/>
                <w:color w:val="000000"/>
                <w:sz w:val="22"/>
                <w:szCs w:val="22"/>
              </w:rPr>
            </w:pPr>
          </w:p>
          <w:p w:rsidR="00F87BD0" w:rsidRDefault="00F87BD0" w:rsidP="00F87BD0">
            <w:pPr>
              <w:tabs>
                <w:tab w:val="left" w:pos="1701"/>
              </w:tabs>
              <w:rPr>
                <w:rFonts w:eastAsiaTheme="minorHAnsi"/>
                <w:bCs/>
                <w:color w:val="000000"/>
                <w:sz w:val="22"/>
                <w:szCs w:val="22"/>
                <w:lang w:eastAsia="en-US"/>
              </w:rPr>
            </w:pPr>
            <w:r w:rsidRPr="00E30B5F">
              <w:rPr>
                <w:rFonts w:eastAsiaTheme="minorHAnsi"/>
                <w:bCs/>
                <w:color w:val="000000"/>
                <w:sz w:val="22"/>
                <w:szCs w:val="22"/>
                <w:lang w:eastAsia="en-US"/>
              </w:rPr>
              <w:t>Kanslichefen anmälde vissa ändringar i utskottets arbetsplan för återstoden av våren 2019.</w:t>
            </w:r>
          </w:p>
          <w:p w:rsidR="00F87BD0" w:rsidRPr="005249C1" w:rsidRDefault="00F87BD0" w:rsidP="002A14AC">
            <w:pPr>
              <w:rPr>
                <w:b/>
                <w:snapToGrid w:val="0"/>
                <w:sz w:val="22"/>
                <w:szCs w:val="22"/>
              </w:rPr>
            </w:pPr>
          </w:p>
        </w:tc>
      </w:tr>
      <w:tr w:rsidR="00E30B5F" w:rsidRPr="005249C1" w:rsidTr="00C5706E">
        <w:tc>
          <w:tcPr>
            <w:tcW w:w="567" w:type="dxa"/>
          </w:tcPr>
          <w:p w:rsidR="00E30B5F" w:rsidRPr="005249C1" w:rsidRDefault="00E30B5F" w:rsidP="00C5706E">
            <w:pPr>
              <w:tabs>
                <w:tab w:val="left" w:pos="1701"/>
              </w:tabs>
              <w:rPr>
                <w:b/>
                <w:snapToGrid w:val="0"/>
                <w:sz w:val="22"/>
                <w:szCs w:val="22"/>
              </w:rPr>
            </w:pPr>
            <w:r>
              <w:rPr>
                <w:b/>
                <w:snapToGrid w:val="0"/>
                <w:sz w:val="22"/>
                <w:szCs w:val="22"/>
              </w:rPr>
              <w:t>§ 4</w:t>
            </w:r>
          </w:p>
        </w:tc>
        <w:tc>
          <w:tcPr>
            <w:tcW w:w="6946" w:type="dxa"/>
            <w:gridSpan w:val="2"/>
          </w:tcPr>
          <w:p w:rsidR="00B95CFE" w:rsidRDefault="00B95CFE" w:rsidP="00B95CFE">
            <w:pPr>
              <w:rPr>
                <w:rFonts w:eastAsiaTheme="minorHAnsi"/>
                <w:b/>
                <w:bCs/>
                <w:color w:val="000000"/>
                <w:sz w:val="22"/>
                <w:szCs w:val="22"/>
                <w:lang w:eastAsia="en-US"/>
              </w:rPr>
            </w:pPr>
            <w:r>
              <w:rPr>
                <w:rFonts w:eastAsiaTheme="minorHAnsi"/>
                <w:b/>
                <w:bCs/>
                <w:color w:val="000000"/>
                <w:sz w:val="22"/>
                <w:szCs w:val="22"/>
                <w:lang w:eastAsia="en-US"/>
              </w:rPr>
              <w:t xml:space="preserve">Särskild </w:t>
            </w:r>
            <w:r w:rsidRPr="002E703E">
              <w:rPr>
                <w:rFonts w:eastAsiaTheme="minorHAnsi"/>
                <w:b/>
                <w:bCs/>
                <w:color w:val="000000"/>
                <w:sz w:val="22"/>
                <w:szCs w:val="22"/>
                <w:lang w:eastAsia="en-US"/>
              </w:rPr>
              <w:t xml:space="preserve">information om </w:t>
            </w:r>
            <w:r>
              <w:rPr>
                <w:rFonts w:eastAsiaTheme="minorHAnsi"/>
                <w:b/>
                <w:bCs/>
                <w:color w:val="000000"/>
                <w:sz w:val="22"/>
                <w:szCs w:val="22"/>
                <w:lang w:eastAsia="en-US"/>
              </w:rPr>
              <w:t>situationen för torsk i Ö</w:t>
            </w:r>
            <w:r w:rsidRPr="00FA1408">
              <w:rPr>
                <w:rFonts w:eastAsiaTheme="minorHAnsi"/>
                <w:b/>
                <w:bCs/>
                <w:color w:val="000000"/>
                <w:sz w:val="22"/>
                <w:szCs w:val="22"/>
                <w:lang w:eastAsia="en-US"/>
              </w:rPr>
              <w:t>stersjön</w:t>
            </w:r>
          </w:p>
          <w:p w:rsidR="00E30B5F" w:rsidRDefault="00E30B5F" w:rsidP="002A14AC">
            <w:pPr>
              <w:rPr>
                <w:b/>
                <w:bCs/>
                <w:color w:val="000000"/>
                <w:sz w:val="22"/>
                <w:szCs w:val="22"/>
              </w:rPr>
            </w:pPr>
          </w:p>
          <w:p w:rsidR="00346D28" w:rsidRPr="00B95CFE" w:rsidRDefault="00B95CFE" w:rsidP="002A14AC">
            <w:pPr>
              <w:rPr>
                <w:bCs/>
                <w:color w:val="000000"/>
                <w:sz w:val="22"/>
                <w:szCs w:val="22"/>
              </w:rPr>
            </w:pPr>
            <w:r>
              <w:rPr>
                <w:bCs/>
                <w:color w:val="000000"/>
                <w:sz w:val="22"/>
                <w:szCs w:val="22"/>
              </w:rPr>
              <w:t xml:space="preserve">Kanslichefen anmälde </w:t>
            </w:r>
            <w:r w:rsidR="00346D28">
              <w:rPr>
                <w:bCs/>
                <w:color w:val="000000"/>
                <w:sz w:val="22"/>
                <w:szCs w:val="22"/>
              </w:rPr>
              <w:t xml:space="preserve">dels </w:t>
            </w:r>
            <w:r>
              <w:rPr>
                <w:bCs/>
                <w:color w:val="000000"/>
                <w:sz w:val="22"/>
                <w:szCs w:val="22"/>
              </w:rPr>
              <w:t>att en r</w:t>
            </w:r>
            <w:r w:rsidR="00E30B5F" w:rsidRPr="00B95CFE">
              <w:rPr>
                <w:bCs/>
                <w:color w:val="000000"/>
                <w:sz w:val="22"/>
                <w:szCs w:val="22"/>
              </w:rPr>
              <w:t>epresentant för Internationella havsforskningsrådet</w:t>
            </w:r>
            <w:r>
              <w:rPr>
                <w:bCs/>
                <w:color w:val="000000"/>
                <w:sz w:val="22"/>
                <w:szCs w:val="22"/>
              </w:rPr>
              <w:t>,</w:t>
            </w:r>
            <w:r w:rsidR="00E30B5F" w:rsidRPr="00B95CFE">
              <w:rPr>
                <w:bCs/>
                <w:color w:val="000000"/>
                <w:sz w:val="22"/>
                <w:szCs w:val="22"/>
              </w:rPr>
              <w:t xml:space="preserve"> ICES</w:t>
            </w:r>
            <w:r>
              <w:rPr>
                <w:bCs/>
                <w:color w:val="000000"/>
                <w:sz w:val="22"/>
                <w:szCs w:val="22"/>
              </w:rPr>
              <w:t>,</w:t>
            </w:r>
            <w:r w:rsidR="00E30B5F" w:rsidRPr="00B95CFE">
              <w:rPr>
                <w:bCs/>
                <w:color w:val="000000"/>
                <w:sz w:val="22"/>
                <w:szCs w:val="22"/>
              </w:rPr>
              <w:t xml:space="preserve"> </w:t>
            </w:r>
            <w:r w:rsidR="00346D28">
              <w:rPr>
                <w:bCs/>
                <w:color w:val="000000"/>
                <w:sz w:val="22"/>
                <w:szCs w:val="22"/>
              </w:rPr>
              <w:t>kommer att informera</w:t>
            </w:r>
            <w:r w:rsidR="00E30B5F" w:rsidRPr="00B95CFE">
              <w:rPr>
                <w:bCs/>
                <w:color w:val="000000"/>
                <w:sz w:val="22"/>
                <w:szCs w:val="22"/>
              </w:rPr>
              <w:t xml:space="preserve"> </w:t>
            </w:r>
            <w:r w:rsidR="0008626B">
              <w:rPr>
                <w:bCs/>
                <w:color w:val="000000"/>
                <w:sz w:val="22"/>
                <w:szCs w:val="22"/>
              </w:rPr>
              <w:t xml:space="preserve">utskottet </w:t>
            </w:r>
            <w:r w:rsidR="00346D28" w:rsidRPr="00B95CFE">
              <w:rPr>
                <w:bCs/>
                <w:color w:val="000000"/>
                <w:sz w:val="22"/>
                <w:szCs w:val="22"/>
              </w:rPr>
              <w:t xml:space="preserve">den 28 maj </w:t>
            </w:r>
            <w:r w:rsidR="00346D28">
              <w:rPr>
                <w:bCs/>
                <w:color w:val="000000"/>
                <w:sz w:val="22"/>
                <w:szCs w:val="22"/>
              </w:rPr>
              <w:t xml:space="preserve">2019 </w:t>
            </w:r>
            <w:r w:rsidR="00E30B5F" w:rsidRPr="00B95CFE">
              <w:rPr>
                <w:bCs/>
                <w:color w:val="000000"/>
                <w:sz w:val="22"/>
                <w:szCs w:val="22"/>
              </w:rPr>
              <w:t xml:space="preserve">om </w:t>
            </w:r>
            <w:r w:rsidR="00346D28">
              <w:rPr>
                <w:bCs/>
                <w:color w:val="000000"/>
                <w:sz w:val="22"/>
                <w:szCs w:val="22"/>
              </w:rPr>
              <w:t xml:space="preserve">rådets </w:t>
            </w:r>
            <w:r w:rsidR="00346D28">
              <w:rPr>
                <w:rFonts w:eastAsiaTheme="minorHAnsi"/>
                <w:bCs/>
                <w:color w:val="000000"/>
                <w:sz w:val="22"/>
                <w:szCs w:val="22"/>
                <w:lang w:eastAsia="en-US"/>
              </w:rPr>
              <w:t>rapportering avseende statusen för bestånden av torsk och skarpsill i Östersjön</w:t>
            </w:r>
            <w:r w:rsidR="00346D28">
              <w:rPr>
                <w:bCs/>
                <w:color w:val="000000"/>
                <w:sz w:val="22"/>
                <w:szCs w:val="22"/>
              </w:rPr>
              <w:t>, dels att</w:t>
            </w:r>
            <w:r w:rsidR="00346D28" w:rsidRPr="00B95CFE">
              <w:rPr>
                <w:bCs/>
                <w:color w:val="000000"/>
                <w:sz w:val="22"/>
                <w:szCs w:val="22"/>
              </w:rPr>
              <w:t xml:space="preserve"> landsbygdsministern </w:t>
            </w:r>
            <w:r w:rsidR="00346D28">
              <w:rPr>
                <w:bCs/>
                <w:color w:val="000000"/>
                <w:sz w:val="22"/>
                <w:szCs w:val="22"/>
              </w:rPr>
              <w:t xml:space="preserve">kommer att informera utskottet den </w:t>
            </w:r>
            <w:r w:rsidR="00E30B5F" w:rsidRPr="00B95CFE">
              <w:rPr>
                <w:bCs/>
                <w:color w:val="000000"/>
                <w:sz w:val="22"/>
                <w:szCs w:val="22"/>
              </w:rPr>
              <w:t>13</w:t>
            </w:r>
            <w:r w:rsidR="00346D28">
              <w:rPr>
                <w:bCs/>
                <w:color w:val="000000"/>
                <w:sz w:val="22"/>
                <w:szCs w:val="22"/>
              </w:rPr>
              <w:t xml:space="preserve"> juni 2019 om regeringens arbete </w:t>
            </w:r>
            <w:r w:rsidR="00346D28">
              <w:rPr>
                <w:rFonts w:eastAsiaTheme="minorHAnsi"/>
                <w:bCs/>
                <w:color w:val="000000"/>
                <w:sz w:val="22"/>
                <w:szCs w:val="22"/>
                <w:lang w:eastAsia="en-US"/>
              </w:rPr>
              <w:t xml:space="preserve">med torsk och skarpsill i Östersjön samt </w:t>
            </w:r>
            <w:r w:rsidR="00346D28" w:rsidRPr="00431B2D">
              <w:rPr>
                <w:rFonts w:eastAsiaTheme="minorHAnsi"/>
                <w:bCs/>
                <w:color w:val="000000"/>
                <w:sz w:val="22"/>
                <w:szCs w:val="22"/>
                <w:lang w:eastAsia="en-US"/>
              </w:rPr>
              <w:t>rådet</w:t>
            </w:r>
            <w:r w:rsidR="00346D28">
              <w:rPr>
                <w:rFonts w:eastAsiaTheme="minorHAnsi"/>
                <w:bCs/>
                <w:color w:val="000000"/>
                <w:sz w:val="22"/>
                <w:szCs w:val="22"/>
                <w:lang w:eastAsia="en-US"/>
              </w:rPr>
              <w:t xml:space="preserve">s </w:t>
            </w:r>
            <w:r w:rsidR="00346D28" w:rsidRPr="00431B2D">
              <w:rPr>
                <w:rFonts w:eastAsiaTheme="minorHAnsi"/>
                <w:bCs/>
                <w:color w:val="000000"/>
                <w:sz w:val="22"/>
                <w:szCs w:val="22"/>
                <w:lang w:eastAsia="en-US"/>
              </w:rPr>
              <w:t>rapport</w:t>
            </w:r>
            <w:r w:rsidR="00346D28">
              <w:rPr>
                <w:rFonts w:eastAsiaTheme="minorHAnsi"/>
                <w:bCs/>
                <w:color w:val="000000"/>
                <w:sz w:val="22"/>
                <w:szCs w:val="22"/>
                <w:lang w:eastAsia="en-US"/>
              </w:rPr>
              <w:t>ering om dessa bestånd</w:t>
            </w:r>
            <w:r>
              <w:rPr>
                <w:bCs/>
                <w:color w:val="000000"/>
                <w:sz w:val="22"/>
                <w:szCs w:val="22"/>
              </w:rPr>
              <w:t>.</w:t>
            </w:r>
          </w:p>
          <w:p w:rsidR="00E30B5F" w:rsidRDefault="00E30B5F" w:rsidP="002A14AC">
            <w:pPr>
              <w:rPr>
                <w:b/>
                <w:bCs/>
                <w:color w:val="000000"/>
                <w:sz w:val="22"/>
                <w:szCs w:val="22"/>
              </w:rPr>
            </w:pPr>
          </w:p>
        </w:tc>
      </w:tr>
      <w:tr w:rsidR="00E30B5F" w:rsidRPr="005249C1" w:rsidTr="00C5706E">
        <w:tc>
          <w:tcPr>
            <w:tcW w:w="567" w:type="dxa"/>
          </w:tcPr>
          <w:p w:rsidR="00E30B5F" w:rsidRDefault="00E30B5F" w:rsidP="00C5706E">
            <w:pPr>
              <w:tabs>
                <w:tab w:val="left" w:pos="1701"/>
              </w:tabs>
              <w:rPr>
                <w:b/>
                <w:snapToGrid w:val="0"/>
                <w:sz w:val="22"/>
                <w:szCs w:val="22"/>
              </w:rPr>
            </w:pPr>
            <w:r>
              <w:rPr>
                <w:b/>
                <w:snapToGrid w:val="0"/>
                <w:sz w:val="22"/>
                <w:szCs w:val="22"/>
              </w:rPr>
              <w:t>§ 5</w:t>
            </w:r>
          </w:p>
        </w:tc>
        <w:tc>
          <w:tcPr>
            <w:tcW w:w="6946" w:type="dxa"/>
            <w:gridSpan w:val="2"/>
          </w:tcPr>
          <w:p w:rsidR="00E30B5F" w:rsidRDefault="00E30B5F" w:rsidP="002A14AC">
            <w:pPr>
              <w:rPr>
                <w:b/>
                <w:bCs/>
                <w:color w:val="000000"/>
                <w:sz w:val="22"/>
                <w:szCs w:val="22"/>
              </w:rPr>
            </w:pPr>
            <w:r>
              <w:rPr>
                <w:b/>
                <w:bCs/>
                <w:color w:val="000000"/>
                <w:sz w:val="22"/>
                <w:szCs w:val="22"/>
              </w:rPr>
              <w:t>Offentlig utfrågning om skogen</w:t>
            </w:r>
            <w:r w:rsidR="00254ED9">
              <w:rPr>
                <w:b/>
                <w:bCs/>
                <w:color w:val="000000"/>
                <w:sz w:val="22"/>
                <w:szCs w:val="22"/>
              </w:rPr>
              <w:t xml:space="preserve"> som resurs och livsmiljö</w:t>
            </w:r>
          </w:p>
          <w:p w:rsidR="00E30B5F" w:rsidRDefault="00E30B5F" w:rsidP="002A14AC">
            <w:pPr>
              <w:rPr>
                <w:b/>
                <w:bCs/>
                <w:color w:val="000000"/>
                <w:sz w:val="22"/>
                <w:szCs w:val="22"/>
              </w:rPr>
            </w:pPr>
          </w:p>
          <w:p w:rsidR="00E30B5F" w:rsidRPr="00E30B5F" w:rsidRDefault="00E30B5F" w:rsidP="002A14AC">
            <w:pPr>
              <w:rPr>
                <w:bCs/>
                <w:color w:val="000000"/>
                <w:sz w:val="22"/>
                <w:szCs w:val="22"/>
              </w:rPr>
            </w:pPr>
            <w:r>
              <w:rPr>
                <w:bCs/>
                <w:color w:val="000000"/>
                <w:sz w:val="22"/>
                <w:szCs w:val="22"/>
              </w:rPr>
              <w:t>Kanslichefen redogjorde för planeringen kring den offentliga utfrågningen tisdagen den 4 juni 2019.</w:t>
            </w:r>
          </w:p>
          <w:p w:rsidR="00E30B5F" w:rsidRDefault="00A40927" w:rsidP="002A14AC">
            <w:pPr>
              <w:rPr>
                <w:b/>
                <w:bCs/>
                <w:color w:val="000000"/>
                <w:sz w:val="22"/>
                <w:szCs w:val="22"/>
              </w:rPr>
            </w:pPr>
            <w:r>
              <w:rPr>
                <w:b/>
                <w:bCs/>
                <w:color w:val="000000"/>
                <w:sz w:val="22"/>
                <w:szCs w:val="22"/>
              </w:rPr>
              <w:t xml:space="preserve"> </w:t>
            </w:r>
          </w:p>
        </w:tc>
      </w:tr>
      <w:tr w:rsidR="00B95CFE" w:rsidRPr="005249C1" w:rsidTr="00C5706E">
        <w:tc>
          <w:tcPr>
            <w:tcW w:w="567" w:type="dxa"/>
          </w:tcPr>
          <w:p w:rsidR="00B95CFE" w:rsidRDefault="00B95CFE" w:rsidP="00C5706E">
            <w:pPr>
              <w:tabs>
                <w:tab w:val="left" w:pos="1701"/>
              </w:tabs>
              <w:rPr>
                <w:b/>
                <w:snapToGrid w:val="0"/>
                <w:sz w:val="22"/>
                <w:szCs w:val="22"/>
              </w:rPr>
            </w:pPr>
            <w:r>
              <w:rPr>
                <w:b/>
                <w:snapToGrid w:val="0"/>
                <w:sz w:val="22"/>
                <w:szCs w:val="22"/>
              </w:rPr>
              <w:t>§ 6</w:t>
            </w:r>
          </w:p>
          <w:p w:rsidR="00B95CFE" w:rsidRDefault="00B95CFE" w:rsidP="00C5706E">
            <w:pPr>
              <w:tabs>
                <w:tab w:val="left" w:pos="1701"/>
              </w:tabs>
              <w:rPr>
                <w:b/>
                <w:snapToGrid w:val="0"/>
                <w:sz w:val="22"/>
                <w:szCs w:val="22"/>
              </w:rPr>
            </w:pPr>
          </w:p>
        </w:tc>
        <w:tc>
          <w:tcPr>
            <w:tcW w:w="6946" w:type="dxa"/>
            <w:gridSpan w:val="2"/>
          </w:tcPr>
          <w:p w:rsidR="00B95CFE" w:rsidRDefault="00B95CFE" w:rsidP="002A14AC">
            <w:pPr>
              <w:rPr>
                <w:b/>
                <w:bCs/>
                <w:color w:val="000000"/>
                <w:sz w:val="22"/>
                <w:szCs w:val="22"/>
              </w:rPr>
            </w:pPr>
            <w:r>
              <w:rPr>
                <w:b/>
                <w:bCs/>
                <w:color w:val="000000"/>
                <w:sz w:val="22"/>
                <w:szCs w:val="22"/>
              </w:rPr>
              <w:t>OECD</w:t>
            </w:r>
            <w:r w:rsidR="00A40927">
              <w:rPr>
                <w:b/>
                <w:bCs/>
                <w:color w:val="000000"/>
                <w:sz w:val="22"/>
                <w:szCs w:val="22"/>
              </w:rPr>
              <w:t xml:space="preserve"> Forum i Paris 20-21 maj 2019</w:t>
            </w:r>
          </w:p>
          <w:p w:rsidR="00B7705B" w:rsidRPr="005E1A5D" w:rsidRDefault="00B7705B" w:rsidP="002A14AC">
            <w:pPr>
              <w:rPr>
                <w:b/>
                <w:bCs/>
                <w:color w:val="000000"/>
                <w:sz w:val="22"/>
                <w:szCs w:val="22"/>
              </w:rPr>
            </w:pPr>
          </w:p>
          <w:p w:rsidR="005E1A5D" w:rsidRPr="005E1A5D" w:rsidRDefault="00B7705B" w:rsidP="002A14AC">
            <w:pPr>
              <w:rPr>
                <w:bCs/>
                <w:color w:val="000000"/>
                <w:sz w:val="22"/>
                <w:szCs w:val="22"/>
              </w:rPr>
            </w:pPr>
            <w:r w:rsidRPr="005E1A5D">
              <w:rPr>
                <w:bCs/>
                <w:color w:val="000000"/>
                <w:sz w:val="22"/>
                <w:szCs w:val="22"/>
              </w:rPr>
              <w:t>Kans</w:t>
            </w:r>
            <w:r w:rsidR="005E1A5D" w:rsidRPr="005E1A5D">
              <w:rPr>
                <w:bCs/>
                <w:color w:val="000000"/>
                <w:sz w:val="22"/>
                <w:szCs w:val="22"/>
              </w:rPr>
              <w:t>l</w:t>
            </w:r>
            <w:r w:rsidRPr="005E1A5D">
              <w:rPr>
                <w:bCs/>
                <w:color w:val="000000"/>
                <w:sz w:val="22"/>
                <w:szCs w:val="22"/>
              </w:rPr>
              <w:t>ichefen meddelade att då utskottets representanter i OECD-nätverket</w:t>
            </w:r>
            <w:r w:rsidR="005E1A5D" w:rsidRPr="005E1A5D">
              <w:rPr>
                <w:sz w:val="22"/>
                <w:szCs w:val="22"/>
              </w:rPr>
              <w:t xml:space="preserve"> </w:t>
            </w:r>
            <w:r w:rsidR="005E1A5D">
              <w:rPr>
                <w:sz w:val="22"/>
                <w:szCs w:val="22"/>
              </w:rPr>
              <w:t>inte har möjlighet att åka till</w:t>
            </w:r>
            <w:r w:rsidR="005E1A5D" w:rsidRPr="005E1A5D">
              <w:rPr>
                <w:sz w:val="22"/>
                <w:szCs w:val="22"/>
              </w:rPr>
              <w:t xml:space="preserve"> i OECD Forum i Paris den 20-21 maj 2019</w:t>
            </w:r>
            <w:r w:rsidR="005E1A5D">
              <w:rPr>
                <w:sz w:val="22"/>
                <w:szCs w:val="22"/>
              </w:rPr>
              <w:t xml:space="preserve"> finns det möjlighet för andra ledamöter i utskottet att delta. Intresserade ombeds snarast höra av sig till kansliet.</w:t>
            </w:r>
          </w:p>
          <w:p w:rsidR="005E1A5D" w:rsidRPr="00B7705B" w:rsidRDefault="005E1A5D" w:rsidP="002A14AC">
            <w:pPr>
              <w:rPr>
                <w:bCs/>
                <w:color w:val="000000"/>
                <w:sz w:val="22"/>
                <w:szCs w:val="22"/>
              </w:rPr>
            </w:pPr>
          </w:p>
        </w:tc>
      </w:tr>
      <w:tr w:rsidR="00D87D66" w:rsidRPr="00A4445B" w:rsidTr="00C5706E">
        <w:tc>
          <w:tcPr>
            <w:tcW w:w="567" w:type="dxa"/>
          </w:tcPr>
          <w:p w:rsidR="00D87D66" w:rsidRPr="00A4445B" w:rsidRDefault="00D87D66" w:rsidP="00C5706E">
            <w:pPr>
              <w:tabs>
                <w:tab w:val="left" w:pos="1701"/>
              </w:tabs>
              <w:rPr>
                <w:b/>
                <w:snapToGrid w:val="0"/>
                <w:sz w:val="22"/>
                <w:szCs w:val="22"/>
              </w:rPr>
            </w:pPr>
            <w:r w:rsidRPr="00A4445B">
              <w:rPr>
                <w:b/>
                <w:snapToGrid w:val="0"/>
                <w:sz w:val="22"/>
                <w:szCs w:val="22"/>
              </w:rPr>
              <w:t xml:space="preserve">§ </w:t>
            </w:r>
            <w:r w:rsidR="0008626B">
              <w:rPr>
                <w:b/>
                <w:snapToGrid w:val="0"/>
                <w:sz w:val="22"/>
                <w:szCs w:val="22"/>
              </w:rPr>
              <w:t>7</w:t>
            </w:r>
          </w:p>
        </w:tc>
        <w:tc>
          <w:tcPr>
            <w:tcW w:w="6946" w:type="dxa"/>
            <w:gridSpan w:val="2"/>
          </w:tcPr>
          <w:p w:rsidR="00D87D66" w:rsidRPr="00A4445B" w:rsidRDefault="005957E5" w:rsidP="002A14AC">
            <w:pPr>
              <w:rPr>
                <w:rFonts w:eastAsiaTheme="minorHAnsi"/>
                <w:bCs/>
                <w:color w:val="000000"/>
                <w:sz w:val="22"/>
                <w:szCs w:val="22"/>
                <w:lang w:eastAsia="en-US"/>
              </w:rPr>
            </w:pPr>
            <w:r w:rsidRPr="00A4445B">
              <w:rPr>
                <w:b/>
                <w:bCs/>
                <w:color w:val="000000"/>
                <w:sz w:val="22"/>
                <w:szCs w:val="22"/>
              </w:rPr>
              <w:t>Nästa sammanträde</w:t>
            </w:r>
          </w:p>
          <w:p w:rsidR="00D87D66" w:rsidRPr="00A4445B" w:rsidRDefault="00D87D66" w:rsidP="002A14AC">
            <w:pPr>
              <w:rPr>
                <w:rFonts w:eastAsiaTheme="minorHAnsi"/>
                <w:bCs/>
                <w:color w:val="000000"/>
                <w:sz w:val="22"/>
                <w:szCs w:val="22"/>
                <w:lang w:eastAsia="en-US"/>
              </w:rPr>
            </w:pPr>
          </w:p>
          <w:p w:rsidR="00F35ECD" w:rsidRPr="00A4445B" w:rsidRDefault="005957E5" w:rsidP="002A14AC">
            <w:pPr>
              <w:rPr>
                <w:snapToGrid w:val="0"/>
                <w:sz w:val="22"/>
                <w:szCs w:val="22"/>
              </w:rPr>
            </w:pPr>
            <w:r w:rsidRPr="00A4445B">
              <w:rPr>
                <w:snapToGrid w:val="0"/>
                <w:sz w:val="22"/>
                <w:szCs w:val="22"/>
              </w:rPr>
              <w:t>Nästa sammanträde äger rum torsdagen den</w:t>
            </w:r>
            <w:r w:rsidR="00191AA0" w:rsidRPr="00A4445B">
              <w:rPr>
                <w:snapToGrid w:val="0"/>
                <w:sz w:val="22"/>
                <w:szCs w:val="22"/>
              </w:rPr>
              <w:t xml:space="preserve"> 2 </w:t>
            </w:r>
            <w:r w:rsidR="00583512" w:rsidRPr="00A4445B">
              <w:rPr>
                <w:snapToGrid w:val="0"/>
                <w:sz w:val="22"/>
                <w:szCs w:val="22"/>
              </w:rPr>
              <w:t>maj</w:t>
            </w:r>
            <w:r w:rsidRPr="00A4445B">
              <w:rPr>
                <w:snapToGrid w:val="0"/>
                <w:sz w:val="22"/>
                <w:szCs w:val="22"/>
              </w:rPr>
              <w:t xml:space="preserve"> 2019 kl. 10.00.</w:t>
            </w:r>
          </w:p>
          <w:p w:rsidR="005957E5" w:rsidRPr="00A4445B" w:rsidRDefault="005957E5" w:rsidP="002A14AC">
            <w:pPr>
              <w:rPr>
                <w:rFonts w:eastAsiaTheme="minorHAnsi"/>
                <w:bCs/>
                <w:color w:val="000000"/>
                <w:sz w:val="22"/>
                <w:szCs w:val="22"/>
                <w:lang w:eastAsia="en-US"/>
              </w:rPr>
            </w:pPr>
          </w:p>
        </w:tc>
      </w:tr>
      <w:tr w:rsidR="00A746E4" w:rsidRPr="00A4445B" w:rsidTr="002241EF">
        <w:tc>
          <w:tcPr>
            <w:tcW w:w="567" w:type="dxa"/>
          </w:tcPr>
          <w:p w:rsidR="00A746E4" w:rsidRPr="00A4445B" w:rsidRDefault="00D87D66" w:rsidP="00D5250E">
            <w:pPr>
              <w:tabs>
                <w:tab w:val="left" w:pos="1701"/>
              </w:tabs>
              <w:rPr>
                <w:b/>
                <w:snapToGrid w:val="0"/>
                <w:sz w:val="22"/>
                <w:szCs w:val="22"/>
              </w:rPr>
            </w:pPr>
            <w:r w:rsidRPr="00A4445B">
              <w:rPr>
                <w:b/>
                <w:snapToGrid w:val="0"/>
                <w:sz w:val="22"/>
                <w:szCs w:val="22"/>
              </w:rPr>
              <w:t xml:space="preserve">§ </w:t>
            </w:r>
            <w:r w:rsidR="0008626B">
              <w:rPr>
                <w:b/>
                <w:snapToGrid w:val="0"/>
                <w:sz w:val="22"/>
                <w:szCs w:val="22"/>
              </w:rPr>
              <w:t>8</w:t>
            </w:r>
          </w:p>
        </w:tc>
        <w:tc>
          <w:tcPr>
            <w:tcW w:w="6946" w:type="dxa"/>
            <w:gridSpan w:val="2"/>
          </w:tcPr>
          <w:p w:rsidR="005957E5" w:rsidRPr="00A4445B" w:rsidRDefault="00583512" w:rsidP="005957E5">
            <w:pPr>
              <w:tabs>
                <w:tab w:val="left" w:pos="1701"/>
              </w:tabs>
              <w:rPr>
                <w:b/>
                <w:bCs/>
                <w:color w:val="000000"/>
                <w:sz w:val="22"/>
                <w:szCs w:val="22"/>
              </w:rPr>
            </w:pPr>
            <w:r w:rsidRPr="00A4445B">
              <w:rPr>
                <w:b/>
                <w:bCs/>
                <w:color w:val="000000"/>
                <w:sz w:val="22"/>
                <w:szCs w:val="22"/>
              </w:rPr>
              <w:t xml:space="preserve">Information från </w:t>
            </w:r>
            <w:r w:rsidR="00F87BD0" w:rsidRPr="00A4445B">
              <w:rPr>
                <w:b/>
                <w:bCs/>
                <w:color w:val="000000"/>
                <w:sz w:val="22"/>
                <w:szCs w:val="22"/>
              </w:rPr>
              <w:t>Sve</w:t>
            </w:r>
            <w:r w:rsidR="00B95CFE" w:rsidRPr="00A4445B">
              <w:rPr>
                <w:b/>
                <w:bCs/>
                <w:color w:val="000000"/>
                <w:sz w:val="22"/>
                <w:szCs w:val="22"/>
              </w:rPr>
              <w:t>riges Lantbruksuniversitet, SLU</w:t>
            </w:r>
          </w:p>
          <w:p w:rsidR="00F87BD0" w:rsidRPr="00A4445B" w:rsidRDefault="00F87BD0" w:rsidP="005957E5">
            <w:pPr>
              <w:tabs>
                <w:tab w:val="left" w:pos="1701"/>
              </w:tabs>
              <w:rPr>
                <w:b/>
                <w:bCs/>
                <w:color w:val="000000"/>
                <w:sz w:val="22"/>
                <w:szCs w:val="22"/>
              </w:rPr>
            </w:pPr>
          </w:p>
          <w:p w:rsidR="00F87BD0" w:rsidRPr="00A4445B" w:rsidRDefault="00671602" w:rsidP="005957E5">
            <w:pPr>
              <w:tabs>
                <w:tab w:val="left" w:pos="1701"/>
              </w:tabs>
              <w:rPr>
                <w:bCs/>
                <w:color w:val="000000"/>
                <w:sz w:val="22"/>
                <w:szCs w:val="22"/>
              </w:rPr>
            </w:pPr>
            <w:r w:rsidRPr="00A4445B">
              <w:rPr>
                <w:bCs/>
                <w:color w:val="000000"/>
                <w:sz w:val="22"/>
                <w:szCs w:val="22"/>
              </w:rPr>
              <w:t xml:space="preserve">Rektor Karin Holmgren </w:t>
            </w:r>
            <w:r w:rsidR="00E30B5F" w:rsidRPr="00A4445B">
              <w:rPr>
                <w:bCs/>
                <w:color w:val="000000"/>
                <w:sz w:val="22"/>
                <w:szCs w:val="22"/>
              </w:rPr>
              <w:t>och</w:t>
            </w:r>
            <w:r w:rsidRPr="00A4445B">
              <w:rPr>
                <w:bCs/>
                <w:color w:val="000000"/>
                <w:sz w:val="22"/>
                <w:szCs w:val="22"/>
              </w:rPr>
              <w:t xml:space="preserve"> </w:t>
            </w:r>
            <w:r w:rsidR="00E30B5F" w:rsidRPr="00A4445B">
              <w:rPr>
                <w:bCs/>
                <w:color w:val="000000"/>
                <w:sz w:val="22"/>
                <w:szCs w:val="22"/>
              </w:rPr>
              <w:t>p</w:t>
            </w:r>
            <w:r w:rsidR="00B95CFE" w:rsidRPr="00A4445B">
              <w:rPr>
                <w:bCs/>
                <w:color w:val="000000"/>
                <w:sz w:val="22"/>
                <w:szCs w:val="22"/>
              </w:rPr>
              <w:t>rorektor</w:t>
            </w:r>
            <w:r w:rsidR="00E30B5F" w:rsidRPr="00A4445B">
              <w:rPr>
                <w:bCs/>
                <w:color w:val="000000"/>
                <w:sz w:val="22"/>
                <w:szCs w:val="22"/>
              </w:rPr>
              <w:t xml:space="preserve"> </w:t>
            </w:r>
            <w:r w:rsidR="0008626B">
              <w:rPr>
                <w:bCs/>
                <w:color w:val="000000"/>
                <w:sz w:val="22"/>
                <w:szCs w:val="22"/>
              </w:rPr>
              <w:t xml:space="preserve">Erik Fahlbeck </w:t>
            </w:r>
            <w:bookmarkStart w:id="0" w:name="_GoBack"/>
            <w:r w:rsidR="00B95CFE" w:rsidRPr="00A4445B">
              <w:rPr>
                <w:color w:val="000000"/>
                <w:sz w:val="22"/>
                <w:szCs w:val="22"/>
              </w:rPr>
              <w:t>informerad</w:t>
            </w:r>
            <w:r w:rsidR="00B95CFE" w:rsidRPr="00A4445B">
              <w:rPr>
                <w:rFonts w:eastAsiaTheme="minorHAnsi"/>
                <w:color w:val="000000"/>
                <w:sz w:val="22"/>
                <w:szCs w:val="22"/>
                <w:lang w:eastAsia="en-US"/>
              </w:rPr>
              <w:t xml:space="preserve">e om SLU:s </w:t>
            </w:r>
            <w:r w:rsidR="0008626B">
              <w:rPr>
                <w:rFonts w:eastAsiaTheme="minorHAnsi"/>
                <w:color w:val="000000"/>
                <w:sz w:val="22"/>
                <w:szCs w:val="22"/>
                <w:lang w:eastAsia="en-US"/>
              </w:rPr>
              <w:t xml:space="preserve">verksamhet </w:t>
            </w:r>
            <w:r w:rsidR="00F35ECD">
              <w:rPr>
                <w:rFonts w:eastAsiaTheme="minorHAnsi"/>
                <w:color w:val="000000"/>
                <w:sz w:val="22"/>
                <w:szCs w:val="22"/>
                <w:lang w:eastAsia="en-US"/>
              </w:rPr>
              <w:t xml:space="preserve">i </w:t>
            </w:r>
            <w:r w:rsidR="0008626B">
              <w:rPr>
                <w:rFonts w:eastAsiaTheme="minorHAnsi"/>
                <w:color w:val="000000"/>
                <w:sz w:val="22"/>
                <w:szCs w:val="22"/>
                <w:lang w:eastAsia="en-US"/>
              </w:rPr>
              <w:t>för universitet</w:t>
            </w:r>
            <w:r w:rsidR="00F35ECD">
              <w:rPr>
                <w:rFonts w:eastAsiaTheme="minorHAnsi"/>
                <w:color w:val="000000"/>
                <w:sz w:val="22"/>
                <w:szCs w:val="22"/>
                <w:lang w:eastAsia="en-US"/>
              </w:rPr>
              <w:t>et</w:t>
            </w:r>
            <w:r w:rsidR="0008626B">
              <w:rPr>
                <w:rFonts w:eastAsiaTheme="minorHAnsi"/>
                <w:color w:val="000000"/>
                <w:sz w:val="22"/>
                <w:szCs w:val="22"/>
                <w:lang w:eastAsia="en-US"/>
              </w:rPr>
              <w:t xml:space="preserve"> </w:t>
            </w:r>
            <w:r w:rsidR="00B95CFE" w:rsidRPr="00A4445B">
              <w:rPr>
                <w:rFonts w:eastAsiaTheme="minorHAnsi"/>
                <w:color w:val="000000"/>
                <w:sz w:val="22"/>
                <w:szCs w:val="22"/>
                <w:lang w:eastAsia="en-US"/>
              </w:rPr>
              <w:t>aktuella frågor.</w:t>
            </w:r>
            <w:bookmarkEnd w:id="0"/>
          </w:p>
          <w:p w:rsidR="005957E5" w:rsidRDefault="005957E5" w:rsidP="005957E5">
            <w:pPr>
              <w:tabs>
                <w:tab w:val="left" w:pos="1701"/>
              </w:tabs>
              <w:rPr>
                <w:rFonts w:eastAsiaTheme="minorHAnsi"/>
                <w:b/>
                <w:bCs/>
                <w:color w:val="000000"/>
                <w:sz w:val="22"/>
                <w:szCs w:val="22"/>
                <w:lang w:eastAsia="en-US"/>
              </w:rPr>
            </w:pPr>
          </w:p>
          <w:p w:rsidR="0019407A" w:rsidRDefault="0019407A" w:rsidP="005957E5">
            <w:pPr>
              <w:tabs>
                <w:tab w:val="left" w:pos="1701"/>
              </w:tabs>
              <w:rPr>
                <w:rFonts w:eastAsiaTheme="minorHAnsi"/>
                <w:b/>
                <w:bCs/>
                <w:color w:val="000000"/>
                <w:sz w:val="22"/>
                <w:szCs w:val="22"/>
                <w:lang w:eastAsia="en-US"/>
              </w:rPr>
            </w:pPr>
          </w:p>
          <w:p w:rsidR="0019407A" w:rsidRDefault="0019407A" w:rsidP="005957E5">
            <w:pPr>
              <w:tabs>
                <w:tab w:val="left" w:pos="1701"/>
              </w:tabs>
              <w:rPr>
                <w:rFonts w:eastAsiaTheme="minorHAnsi"/>
                <w:b/>
                <w:bCs/>
                <w:color w:val="000000"/>
                <w:sz w:val="22"/>
                <w:szCs w:val="22"/>
                <w:lang w:eastAsia="en-US"/>
              </w:rPr>
            </w:pPr>
          </w:p>
          <w:p w:rsidR="0019407A" w:rsidRPr="00A4445B" w:rsidRDefault="0019407A" w:rsidP="005957E5">
            <w:pPr>
              <w:tabs>
                <w:tab w:val="left" w:pos="1701"/>
              </w:tabs>
              <w:rPr>
                <w:rFonts w:eastAsiaTheme="minorHAnsi"/>
                <w:b/>
                <w:bCs/>
                <w:color w:val="000000"/>
                <w:sz w:val="22"/>
                <w:szCs w:val="22"/>
                <w:lang w:eastAsia="en-US"/>
              </w:rPr>
            </w:pPr>
          </w:p>
        </w:tc>
      </w:tr>
      <w:tr w:rsidR="00D5250E" w:rsidRPr="005249C1" w:rsidTr="002241EF">
        <w:trPr>
          <w:gridAfter w:val="1"/>
          <w:wAfter w:w="357" w:type="dxa"/>
        </w:trPr>
        <w:tc>
          <w:tcPr>
            <w:tcW w:w="7156" w:type="dxa"/>
            <w:gridSpan w:val="2"/>
          </w:tcPr>
          <w:p w:rsidR="00D5250E" w:rsidRPr="005249C1" w:rsidRDefault="00D5250E" w:rsidP="00A4445B">
            <w:pPr>
              <w:tabs>
                <w:tab w:val="left" w:pos="1701"/>
              </w:tabs>
              <w:rPr>
                <w:sz w:val="22"/>
                <w:szCs w:val="22"/>
              </w:rPr>
            </w:pPr>
            <w:r w:rsidRPr="005249C1">
              <w:rPr>
                <w:sz w:val="22"/>
                <w:szCs w:val="22"/>
              </w:rPr>
              <w:lastRenderedPageBreak/>
              <w:t>Vid protokollet</w:t>
            </w:r>
            <w:r w:rsidR="00A4445B">
              <w:rPr>
                <w:sz w:val="22"/>
                <w:szCs w:val="22"/>
              </w:rPr>
              <w:tab/>
            </w:r>
          </w:p>
          <w:p w:rsidR="009C0C9D" w:rsidRDefault="009C0C9D" w:rsidP="00D5250E">
            <w:pPr>
              <w:tabs>
                <w:tab w:val="left" w:pos="1701"/>
              </w:tabs>
              <w:rPr>
                <w:sz w:val="22"/>
                <w:szCs w:val="22"/>
              </w:rPr>
            </w:pPr>
          </w:p>
          <w:p w:rsidR="00F35ECD" w:rsidRPr="005249C1" w:rsidRDefault="00F35ECD" w:rsidP="00D5250E">
            <w:pPr>
              <w:tabs>
                <w:tab w:val="left" w:pos="1701"/>
              </w:tabs>
              <w:rPr>
                <w:sz w:val="22"/>
                <w:szCs w:val="22"/>
              </w:rPr>
            </w:pPr>
          </w:p>
          <w:p w:rsidR="00F143DB" w:rsidRDefault="00D5250E" w:rsidP="0019407A">
            <w:pPr>
              <w:tabs>
                <w:tab w:val="left" w:pos="1701"/>
              </w:tabs>
              <w:rPr>
                <w:sz w:val="22"/>
                <w:szCs w:val="22"/>
              </w:rPr>
            </w:pPr>
            <w:r w:rsidRPr="005249C1">
              <w:rPr>
                <w:sz w:val="22"/>
                <w:szCs w:val="22"/>
              </w:rPr>
              <w:t xml:space="preserve">Justeras den </w:t>
            </w:r>
            <w:r w:rsidR="00583512">
              <w:rPr>
                <w:sz w:val="22"/>
                <w:szCs w:val="22"/>
              </w:rPr>
              <w:t>2 maj</w:t>
            </w:r>
            <w:r w:rsidR="00381298">
              <w:rPr>
                <w:sz w:val="22"/>
                <w:szCs w:val="22"/>
              </w:rPr>
              <w:t xml:space="preserve"> </w:t>
            </w:r>
            <w:r w:rsidR="001238B9">
              <w:rPr>
                <w:sz w:val="22"/>
                <w:szCs w:val="22"/>
              </w:rPr>
              <w:t>2019</w:t>
            </w:r>
          </w:p>
          <w:p w:rsidR="0019407A" w:rsidRDefault="0019407A" w:rsidP="0019407A">
            <w:pPr>
              <w:tabs>
                <w:tab w:val="left" w:pos="1701"/>
              </w:tabs>
              <w:rPr>
                <w:sz w:val="22"/>
                <w:szCs w:val="22"/>
              </w:rPr>
            </w:pPr>
          </w:p>
          <w:p w:rsidR="0019407A" w:rsidRDefault="0019407A" w:rsidP="0019407A">
            <w:pPr>
              <w:tabs>
                <w:tab w:val="left" w:pos="1701"/>
              </w:tabs>
              <w:rPr>
                <w:sz w:val="22"/>
                <w:szCs w:val="22"/>
              </w:rPr>
            </w:pPr>
          </w:p>
          <w:p w:rsidR="0019407A" w:rsidRDefault="00525A97" w:rsidP="0019407A">
            <w:pPr>
              <w:tabs>
                <w:tab w:val="left" w:pos="1701"/>
              </w:tabs>
              <w:rPr>
                <w:sz w:val="22"/>
                <w:szCs w:val="22"/>
              </w:rPr>
            </w:pPr>
            <w:r>
              <w:rPr>
                <w:sz w:val="22"/>
                <w:szCs w:val="22"/>
              </w:rPr>
              <w:t>Kristina Yngwe</w:t>
            </w:r>
          </w:p>
          <w:p w:rsidR="0019407A" w:rsidRPr="00F143DB" w:rsidRDefault="0019407A" w:rsidP="0019407A">
            <w:pPr>
              <w:tabs>
                <w:tab w:val="left" w:pos="1701"/>
              </w:tabs>
              <w:rPr>
                <w:sz w:val="22"/>
                <w:szCs w:val="22"/>
              </w:rPr>
            </w:pP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5A0266">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00583512">
              <w:rPr>
                <w:sz w:val="22"/>
                <w:szCs w:val="22"/>
              </w:rPr>
              <w:t>:30</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B95CFE">
              <w:rPr>
                <w:sz w:val="22"/>
                <w:szCs w:val="22"/>
              </w:rPr>
              <w:t>1-</w:t>
            </w:r>
            <w:r w:rsidR="0041660A">
              <w:rPr>
                <w:sz w:val="22"/>
                <w:szCs w:val="22"/>
              </w:rPr>
              <w:t>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08626B">
              <w:rPr>
                <w:sz w:val="22"/>
                <w:szCs w:val="22"/>
              </w:rPr>
              <w:t>§ 8</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95CFE"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4445B"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 xml:space="preserve">Maria Gardfjell (MP), </w:t>
            </w:r>
            <w:r w:rsidR="001709AE">
              <w:rPr>
                <w:sz w:val="22"/>
                <w:szCs w:val="22"/>
                <w:lang w:eastAsia="en-US"/>
              </w:rPr>
              <w:t xml:space="preserve">förste </w:t>
            </w:r>
            <w:r>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E30B5F"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1709AE" w:rsidRDefault="00D303F8" w:rsidP="005754E1">
            <w:pPr>
              <w:spacing w:line="256" w:lineRule="auto"/>
              <w:rPr>
                <w:sz w:val="22"/>
                <w:szCs w:val="22"/>
                <w:lang w:val="en-US" w:eastAsia="en-US"/>
              </w:rPr>
            </w:pPr>
            <w:r w:rsidRPr="001709AE">
              <w:rPr>
                <w:sz w:val="22"/>
                <w:szCs w:val="22"/>
                <w:lang w:val="en-US" w:eastAsia="en-US"/>
              </w:rPr>
              <w:t xml:space="preserve">Jessica Rosencrantz (M), </w:t>
            </w:r>
            <w:r>
              <w:rPr>
                <w:sz w:val="22"/>
                <w:szCs w:val="22"/>
                <w:lang w:val="en-US" w:eastAsia="en-US"/>
              </w:rPr>
              <w:t xml:space="preserve">andre </w:t>
            </w:r>
            <w:r w:rsidRPr="00D83693">
              <w:rPr>
                <w:sz w:val="22"/>
                <w:szCs w:val="22"/>
                <w:lang w:val="en-US" w:eastAsia="en-US"/>
              </w:rPr>
              <w:t>vice ordf.</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B95CFE"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A4445B"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EF4B6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CE6ED5" w:rsidP="005A0266">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F7A91"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95CF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4445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CE6ED5" w:rsidP="00BB7941">
            <w:pPr>
              <w:tabs>
                <w:tab w:val="left" w:pos="2268"/>
                <w:tab w:val="left" w:pos="2977"/>
                <w:tab w:val="left" w:pos="4536"/>
              </w:tabs>
              <w:spacing w:line="256" w:lineRule="auto"/>
              <w:rPr>
                <w:sz w:val="22"/>
                <w:szCs w:val="22"/>
              </w:rPr>
            </w:pPr>
            <w:r>
              <w:rPr>
                <w:sz w:val="22"/>
                <w:szCs w:val="22"/>
              </w:rPr>
              <w:t>Lorentz Tovatt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F87BD0" w:rsidRDefault="00F87BD0" w:rsidP="00CC5952">
      <w:pPr>
        <w:tabs>
          <w:tab w:val="left" w:pos="426"/>
          <w:tab w:val="left" w:pos="3261"/>
          <w:tab w:val="left" w:pos="6804"/>
        </w:tabs>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F87BD0" w:rsidRPr="005249C1" w:rsidTr="002A3527">
        <w:trPr>
          <w:gridBefore w:val="1"/>
          <w:gridAfter w:val="2"/>
          <w:wBefore w:w="15" w:type="dxa"/>
          <w:wAfter w:w="1064" w:type="dxa"/>
        </w:trPr>
        <w:tc>
          <w:tcPr>
            <w:tcW w:w="5457" w:type="dxa"/>
            <w:gridSpan w:val="2"/>
          </w:tcPr>
          <w:p w:rsidR="00F87BD0" w:rsidRDefault="00F87BD0" w:rsidP="002A3527">
            <w:pPr>
              <w:tabs>
                <w:tab w:val="left" w:pos="1276"/>
              </w:tabs>
              <w:rPr>
                <w:sz w:val="22"/>
                <w:szCs w:val="22"/>
              </w:rPr>
            </w:pPr>
            <w:r>
              <w:rPr>
                <w:sz w:val="22"/>
                <w:szCs w:val="22"/>
              </w:rPr>
              <w:lastRenderedPageBreak/>
              <w:br w:type="page"/>
            </w:r>
          </w:p>
          <w:p w:rsidR="00F87BD0" w:rsidRPr="005249C1" w:rsidRDefault="00F87BD0" w:rsidP="002A3527">
            <w:pPr>
              <w:tabs>
                <w:tab w:val="left" w:pos="1276"/>
              </w:tabs>
              <w:rPr>
                <w:sz w:val="22"/>
                <w:szCs w:val="22"/>
              </w:rPr>
            </w:pPr>
            <w:r w:rsidRPr="005249C1">
              <w:rPr>
                <w:sz w:val="22"/>
                <w:szCs w:val="22"/>
              </w:rPr>
              <w:br w:type="page"/>
              <w:t>MILJÖ- OCH JORDBRUKSUTSKOTTET</w:t>
            </w:r>
          </w:p>
        </w:tc>
        <w:tc>
          <w:tcPr>
            <w:tcW w:w="1843" w:type="dxa"/>
          </w:tcPr>
          <w:p w:rsidR="00F87BD0" w:rsidRPr="005249C1" w:rsidRDefault="00F87BD0" w:rsidP="002A3527">
            <w:pPr>
              <w:tabs>
                <w:tab w:val="left" w:pos="1276"/>
              </w:tabs>
              <w:rPr>
                <w:sz w:val="22"/>
                <w:szCs w:val="22"/>
              </w:rPr>
            </w:pPr>
          </w:p>
        </w:tc>
        <w:tc>
          <w:tcPr>
            <w:tcW w:w="1701" w:type="dxa"/>
          </w:tcPr>
          <w:p w:rsidR="00F87BD0" w:rsidRPr="005249C1" w:rsidRDefault="00F87BD0" w:rsidP="002A3527">
            <w:pPr>
              <w:tabs>
                <w:tab w:val="left" w:pos="1276"/>
              </w:tabs>
              <w:ind w:right="-212"/>
              <w:rPr>
                <w:b/>
                <w:sz w:val="22"/>
                <w:szCs w:val="22"/>
              </w:rPr>
            </w:pPr>
            <w:r>
              <w:rPr>
                <w:b/>
                <w:sz w:val="22"/>
                <w:szCs w:val="22"/>
              </w:rPr>
              <w:t>Bilaga 2</w:t>
            </w:r>
          </w:p>
          <w:p w:rsidR="00F87BD0" w:rsidRPr="005249C1" w:rsidRDefault="00F87BD0" w:rsidP="002A3527">
            <w:pPr>
              <w:tabs>
                <w:tab w:val="left" w:pos="1276"/>
              </w:tabs>
              <w:ind w:right="-212"/>
              <w:rPr>
                <w:sz w:val="22"/>
                <w:szCs w:val="22"/>
              </w:rPr>
            </w:pPr>
            <w:r w:rsidRPr="005249C1">
              <w:rPr>
                <w:sz w:val="22"/>
                <w:szCs w:val="22"/>
              </w:rPr>
              <w:t>till protokoll</w:t>
            </w:r>
          </w:p>
          <w:p w:rsidR="00F87BD0" w:rsidRPr="005249C1" w:rsidRDefault="00F87BD0" w:rsidP="002A3527">
            <w:pPr>
              <w:tabs>
                <w:tab w:val="left" w:pos="1276"/>
              </w:tabs>
              <w:ind w:right="-212"/>
              <w:rPr>
                <w:b/>
                <w:sz w:val="22"/>
                <w:szCs w:val="22"/>
              </w:rPr>
            </w:pPr>
            <w:r>
              <w:rPr>
                <w:sz w:val="22"/>
                <w:szCs w:val="22"/>
              </w:rPr>
              <w:t>2018</w:t>
            </w:r>
            <w:r w:rsidRPr="005249C1">
              <w:rPr>
                <w:sz w:val="22"/>
                <w:szCs w:val="22"/>
              </w:rPr>
              <w:t>/1</w:t>
            </w:r>
            <w:r>
              <w:rPr>
                <w:sz w:val="22"/>
                <w:szCs w:val="22"/>
              </w:rPr>
              <w:t>9</w:t>
            </w:r>
            <w:r w:rsidRPr="005249C1">
              <w:rPr>
                <w:sz w:val="22"/>
                <w:szCs w:val="22"/>
              </w:rPr>
              <w:t>:</w:t>
            </w:r>
            <w:r>
              <w:rPr>
                <w:sz w:val="22"/>
                <w:szCs w:val="22"/>
              </w:rPr>
              <w:t>30</w:t>
            </w:r>
          </w:p>
        </w:tc>
      </w:tr>
      <w:tr w:rsidR="00F87BD0" w:rsidRPr="005249C1" w:rsidTr="002A3527">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F87BD0" w:rsidRPr="005249C1" w:rsidRDefault="00F87BD0" w:rsidP="00F87BD0">
            <w:pPr>
              <w:widowControl/>
              <w:rPr>
                <w:rFonts w:ascii="Arial" w:hAnsi="Arial" w:cs="Arial"/>
                <w:b/>
                <w:bCs/>
                <w:sz w:val="22"/>
                <w:szCs w:val="22"/>
              </w:rPr>
            </w:pPr>
            <w:r w:rsidRPr="005249C1">
              <w:rPr>
                <w:rFonts w:ascii="Arial" w:hAnsi="Arial" w:cs="Arial"/>
                <w:b/>
                <w:bCs/>
                <w:sz w:val="22"/>
                <w:szCs w:val="22"/>
              </w:rPr>
              <w:t>Till MJU inkomna EU-dokument m.m.</w:t>
            </w:r>
            <w:r>
              <w:rPr>
                <w:rFonts w:ascii="Arial" w:hAnsi="Arial" w:cs="Arial"/>
                <w:b/>
                <w:bCs/>
                <w:sz w:val="22"/>
                <w:szCs w:val="22"/>
              </w:rPr>
              <w:t xml:space="preserve"> </w:t>
            </w:r>
            <w:r w:rsidRPr="005249C1">
              <w:rPr>
                <w:rFonts w:ascii="Arial" w:hAnsi="Arial" w:cs="Arial"/>
                <w:b/>
                <w:bCs/>
                <w:sz w:val="22"/>
                <w:szCs w:val="22"/>
              </w:rPr>
              <w:t xml:space="preserve"> </w:t>
            </w:r>
            <w:r w:rsidRPr="00F87BD0">
              <w:rPr>
                <w:rFonts w:ascii="Arial" w:hAnsi="Arial" w:cs="Arial"/>
                <w:b/>
                <w:bCs/>
                <w:sz w:val="22"/>
                <w:szCs w:val="22"/>
              </w:rPr>
              <w:t>1 – 16 april 2019</w:t>
            </w:r>
          </w:p>
        </w:tc>
      </w:tr>
      <w:tr w:rsidR="00F87BD0" w:rsidRPr="005249C1" w:rsidTr="002A3527">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F87BD0" w:rsidRPr="005249C1" w:rsidRDefault="00F87BD0" w:rsidP="002A3527">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F87BD0" w:rsidRPr="00A64BD8"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F87BD0" w:rsidRPr="00A64BD8" w:rsidRDefault="00F87BD0" w:rsidP="002A3527">
            <w:pPr>
              <w:rPr>
                <w:b/>
                <w:bCs/>
                <w:sz w:val="22"/>
                <w:szCs w:val="22"/>
              </w:rPr>
            </w:pPr>
            <w:r w:rsidRPr="00A64BD8">
              <w:rPr>
                <w:b/>
                <w:bCs/>
                <w:sz w:val="22"/>
                <w:szCs w:val="22"/>
              </w:rPr>
              <w:t>Beteckning</w:t>
            </w:r>
          </w:p>
        </w:tc>
        <w:tc>
          <w:tcPr>
            <w:tcW w:w="8180" w:type="dxa"/>
            <w:gridSpan w:val="5"/>
            <w:shd w:val="clear" w:color="auto" w:fill="auto"/>
            <w:vAlign w:val="center"/>
          </w:tcPr>
          <w:p w:rsidR="00F87BD0" w:rsidRPr="00A64BD8" w:rsidRDefault="00F87BD0" w:rsidP="002A3527">
            <w:pPr>
              <w:rPr>
                <w:b/>
                <w:bCs/>
                <w:sz w:val="22"/>
                <w:szCs w:val="22"/>
              </w:rPr>
            </w:pPr>
            <w:r w:rsidRPr="00A64BD8">
              <w:rPr>
                <w:b/>
                <w:bCs/>
                <w:sz w:val="22"/>
                <w:szCs w:val="22"/>
              </w:rPr>
              <w:t>Rubrik</w:t>
            </w:r>
          </w:p>
        </w:tc>
      </w:tr>
      <w:tr w:rsidR="00F87BD0" w:rsidRPr="00AC0651"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p>
          <w:p w:rsidR="00F87BD0" w:rsidRDefault="00F87BD0" w:rsidP="00F87BD0">
            <w:pPr>
              <w:rPr>
                <w:bCs/>
                <w:sz w:val="22"/>
                <w:szCs w:val="22"/>
              </w:rPr>
            </w:pPr>
            <w:r>
              <w:rPr>
                <w:bCs/>
                <w:sz w:val="22"/>
                <w:szCs w:val="22"/>
              </w:rPr>
              <w:t>COM(2019) 146</w:t>
            </w:r>
          </w:p>
          <w:p w:rsidR="00F87BD0" w:rsidRPr="00B046EA" w:rsidRDefault="00F87BD0" w:rsidP="00F87BD0">
            <w:pPr>
              <w:rPr>
                <w:bCs/>
                <w:sz w:val="22"/>
                <w:szCs w:val="22"/>
              </w:rPr>
            </w:pPr>
          </w:p>
        </w:tc>
        <w:tc>
          <w:tcPr>
            <w:tcW w:w="8180" w:type="dxa"/>
            <w:gridSpan w:val="5"/>
            <w:shd w:val="clear" w:color="auto" w:fill="auto"/>
            <w:vAlign w:val="center"/>
          </w:tcPr>
          <w:p w:rsidR="00F87BD0" w:rsidRPr="00671602" w:rsidRDefault="00F87BD0" w:rsidP="00671602">
            <w:pPr>
              <w:rPr>
                <w:bCs/>
                <w:sz w:val="22"/>
                <w:szCs w:val="22"/>
              </w:rPr>
            </w:pPr>
            <w:r w:rsidRPr="00C56D9C">
              <w:rPr>
                <w:bCs/>
                <w:sz w:val="22"/>
                <w:szCs w:val="22"/>
              </w:rPr>
              <w:t xml:space="preserve">Förslag till RÅDETS BESLUT om den ståndpunkt som ska intas på Europeiska unionens vägnar vid det 18:e mötet i partskonferensen för konventionen om internationell handel med utrotningshotade arter av vilda djur och växter (Cites CoP18) </w:t>
            </w:r>
          </w:p>
        </w:tc>
      </w:tr>
      <w:tr w:rsidR="00F87BD0" w:rsidRPr="00542A1A"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p>
          <w:p w:rsidR="00F87BD0" w:rsidRDefault="00F87BD0" w:rsidP="00F87BD0">
            <w:pPr>
              <w:rPr>
                <w:bCs/>
                <w:sz w:val="22"/>
                <w:szCs w:val="22"/>
              </w:rPr>
            </w:pPr>
            <w:r>
              <w:rPr>
                <w:bCs/>
                <w:sz w:val="22"/>
                <w:szCs w:val="22"/>
              </w:rPr>
              <w:t>COM(2019) 166</w:t>
            </w:r>
          </w:p>
          <w:p w:rsidR="00F87BD0" w:rsidRPr="00B046EA" w:rsidRDefault="00F87BD0" w:rsidP="00F87BD0">
            <w:pPr>
              <w:rPr>
                <w:bCs/>
                <w:sz w:val="22"/>
                <w:szCs w:val="22"/>
              </w:rPr>
            </w:pPr>
          </w:p>
        </w:tc>
        <w:tc>
          <w:tcPr>
            <w:tcW w:w="8180" w:type="dxa"/>
            <w:gridSpan w:val="5"/>
            <w:shd w:val="clear" w:color="auto" w:fill="auto"/>
            <w:vAlign w:val="center"/>
          </w:tcPr>
          <w:p w:rsidR="00F87BD0" w:rsidRPr="00C56D9C" w:rsidRDefault="00F87BD0" w:rsidP="00671602">
            <w:pPr>
              <w:rPr>
                <w:bCs/>
                <w:sz w:val="22"/>
                <w:szCs w:val="22"/>
              </w:rPr>
            </w:pPr>
            <w:r w:rsidRPr="00D275FB">
              <w:rPr>
                <w:bCs/>
                <w:sz w:val="22"/>
                <w:szCs w:val="22"/>
              </w:rPr>
              <w:t xml:space="preserve">RAPPORT FRÅN KOMMISSIONEN TILL EUROPAPARLAMENTET, RÅDET, EUROPEISKA EKONOMISKA OCH SOCIALA KOMMITTÉN SAMT REGIONKOMMITTÉN om genomförandet och konsekvenserna för miljön och för den inre marknadens funktion av Europaparlamentets och rådets direktiv 2006/66/EG av den 6 september 2006 om batterier och ackumulatorer och förbrukade batterier och ackumulatorer och om upphävande av direktiv 91/157/EEG </w:t>
            </w:r>
          </w:p>
        </w:tc>
      </w:tr>
      <w:tr w:rsidR="00F87BD0" w:rsidRPr="00542A1A"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p>
          <w:p w:rsidR="00F87BD0" w:rsidRDefault="00F87BD0" w:rsidP="00F87BD0">
            <w:pPr>
              <w:rPr>
                <w:bCs/>
                <w:sz w:val="22"/>
                <w:szCs w:val="22"/>
              </w:rPr>
            </w:pPr>
            <w:r>
              <w:rPr>
                <w:bCs/>
                <w:sz w:val="22"/>
                <w:szCs w:val="22"/>
              </w:rPr>
              <w:t>COM(2019) 167</w:t>
            </w:r>
          </w:p>
          <w:p w:rsidR="00F87BD0" w:rsidRPr="00B046EA" w:rsidRDefault="00F87BD0" w:rsidP="00F87BD0">
            <w:pPr>
              <w:rPr>
                <w:bCs/>
                <w:sz w:val="22"/>
                <w:szCs w:val="22"/>
              </w:rPr>
            </w:pPr>
          </w:p>
        </w:tc>
        <w:tc>
          <w:tcPr>
            <w:tcW w:w="8180" w:type="dxa"/>
            <w:gridSpan w:val="5"/>
            <w:shd w:val="clear" w:color="auto" w:fill="auto"/>
            <w:vAlign w:val="center"/>
          </w:tcPr>
          <w:p w:rsidR="00F87BD0" w:rsidRPr="008C2A6F" w:rsidRDefault="00F87BD0" w:rsidP="00671602">
            <w:pPr>
              <w:rPr>
                <w:bCs/>
                <w:sz w:val="22"/>
                <w:szCs w:val="22"/>
              </w:rPr>
            </w:pPr>
            <w:r w:rsidRPr="006C40D7">
              <w:rPr>
                <w:bCs/>
                <w:sz w:val="22"/>
                <w:szCs w:val="22"/>
              </w:rPr>
              <w:t xml:space="preserve">Förslag till RÅDETS BESLUT om den ståndpunkt som ska intas på Europeiska unionens vägnar i Internationella spannmålsrådet vad gäller förlängning av 1995 års konvention om handel med spannmål </w:t>
            </w:r>
          </w:p>
        </w:tc>
      </w:tr>
      <w:tr w:rsidR="00F87BD0" w:rsidRPr="009B3E20"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B046EA" w:rsidRDefault="00F87BD0" w:rsidP="00F87BD0">
            <w:pPr>
              <w:rPr>
                <w:bCs/>
                <w:sz w:val="22"/>
                <w:szCs w:val="22"/>
              </w:rPr>
            </w:pPr>
            <w:r>
              <w:rPr>
                <w:bCs/>
                <w:sz w:val="22"/>
                <w:szCs w:val="22"/>
              </w:rPr>
              <w:t>COM(2019) 171</w:t>
            </w:r>
          </w:p>
        </w:tc>
        <w:tc>
          <w:tcPr>
            <w:tcW w:w="8180" w:type="dxa"/>
            <w:gridSpan w:val="5"/>
            <w:shd w:val="clear" w:color="auto" w:fill="auto"/>
            <w:vAlign w:val="center"/>
          </w:tcPr>
          <w:p w:rsidR="00F87BD0" w:rsidRPr="008C2A6F" w:rsidRDefault="00F87BD0" w:rsidP="00671602">
            <w:pPr>
              <w:rPr>
                <w:bCs/>
                <w:sz w:val="22"/>
                <w:szCs w:val="22"/>
              </w:rPr>
            </w:pPr>
            <w:r w:rsidRPr="00906CB6">
              <w:rPr>
                <w:bCs/>
                <w:sz w:val="22"/>
                <w:szCs w:val="22"/>
              </w:rPr>
              <w:t xml:space="preserve">Förslag till RÅDETS BESLUT om ingående av protokollet om genomförande av partnerskapsavtalet om fiske mellan Europeiska gemenskapen och Republiken Guinea-Bissau (2019–2024) </w:t>
            </w:r>
          </w:p>
        </w:tc>
      </w:tr>
      <w:tr w:rsidR="00F87BD0" w:rsidRPr="009B3E20"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r>
              <w:rPr>
                <w:bCs/>
                <w:sz w:val="22"/>
                <w:szCs w:val="22"/>
              </w:rPr>
              <w:t>COM(2019) 172</w:t>
            </w:r>
          </w:p>
        </w:tc>
        <w:tc>
          <w:tcPr>
            <w:tcW w:w="8180" w:type="dxa"/>
            <w:gridSpan w:val="5"/>
            <w:shd w:val="clear" w:color="auto" w:fill="auto"/>
            <w:vAlign w:val="center"/>
          </w:tcPr>
          <w:p w:rsidR="00F87BD0" w:rsidRPr="00486C60" w:rsidRDefault="00F87BD0" w:rsidP="00671602">
            <w:pPr>
              <w:rPr>
                <w:sz w:val="22"/>
                <w:szCs w:val="22"/>
              </w:rPr>
            </w:pPr>
            <w:r w:rsidRPr="00906CB6">
              <w:rPr>
                <w:sz w:val="22"/>
                <w:szCs w:val="22"/>
              </w:rPr>
              <w:t xml:space="preserve">Förslag till RÅDETS BESLUT om undertecknande på unionens vägnar och om provisorisk tillämpning av protokollet om genomförande av partnerskapsavtalet om fiske mellan Europeiska gemenskapen och Republiken Guinea-Bissau (2019–2024) </w:t>
            </w:r>
          </w:p>
        </w:tc>
      </w:tr>
      <w:tr w:rsidR="00F87BD0" w:rsidRPr="009B3E20"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r>
              <w:rPr>
                <w:bCs/>
                <w:sz w:val="22"/>
                <w:szCs w:val="22"/>
              </w:rPr>
              <w:t>COM(2019) 173</w:t>
            </w:r>
          </w:p>
        </w:tc>
        <w:tc>
          <w:tcPr>
            <w:tcW w:w="8180" w:type="dxa"/>
            <w:gridSpan w:val="5"/>
            <w:shd w:val="clear" w:color="auto" w:fill="auto"/>
            <w:vAlign w:val="center"/>
          </w:tcPr>
          <w:p w:rsidR="00F87BD0" w:rsidRPr="00671602" w:rsidRDefault="00F87BD0" w:rsidP="00F87BD0">
            <w:pPr>
              <w:rPr>
                <w:sz w:val="22"/>
                <w:szCs w:val="22"/>
              </w:rPr>
            </w:pPr>
            <w:r w:rsidRPr="007D4CBD">
              <w:rPr>
                <w:sz w:val="22"/>
                <w:szCs w:val="22"/>
              </w:rPr>
              <w:t xml:space="preserve">Förslag till RÅDETS FÖRORDNING om fördelning av fiskemöjligheterna enligt protokollet om genomförande av partnerskapsavtalet om fiske mellan Europeiska gemenskapen och Republiken Guinea-Bissau (2019–2024) </w:t>
            </w:r>
          </w:p>
        </w:tc>
      </w:tr>
      <w:tr w:rsidR="00F87BD0" w:rsidRPr="009B3E20"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r>
              <w:rPr>
                <w:bCs/>
                <w:sz w:val="22"/>
                <w:szCs w:val="22"/>
              </w:rPr>
              <w:t>COM(2019) 184</w:t>
            </w:r>
          </w:p>
        </w:tc>
        <w:tc>
          <w:tcPr>
            <w:tcW w:w="8180" w:type="dxa"/>
            <w:gridSpan w:val="5"/>
            <w:shd w:val="clear" w:color="auto" w:fill="auto"/>
            <w:vAlign w:val="center"/>
          </w:tcPr>
          <w:p w:rsidR="00F87BD0" w:rsidRPr="007D4CBD" w:rsidRDefault="00F87BD0" w:rsidP="00671602">
            <w:pPr>
              <w:rPr>
                <w:sz w:val="22"/>
                <w:szCs w:val="22"/>
              </w:rPr>
            </w:pPr>
            <w:r w:rsidRPr="007D4CBD">
              <w:rPr>
                <w:sz w:val="22"/>
                <w:szCs w:val="22"/>
              </w:rPr>
              <w:t>Förslag till RÅDETS BESLUT om den ståndpunkt som ska intas på Europeiska unionens vägnar inom ramen för konventionen om bevarande av Nordatlantens laxbestånd vad gäller den ansökan om anslutning till konventionen som lämnats in av Förenade kungariket</w:t>
            </w:r>
          </w:p>
        </w:tc>
      </w:tr>
      <w:tr w:rsidR="00F87BD0" w:rsidRPr="001E044B"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F87BD0" w:rsidRPr="001E044B" w:rsidRDefault="00F87BD0" w:rsidP="00F87BD0">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F87BD0" w:rsidRPr="001D7D60"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F87BD0" w:rsidRPr="001D7D60" w:rsidRDefault="00F87BD0" w:rsidP="00F87BD0">
            <w:pPr>
              <w:rPr>
                <w:b/>
                <w:bCs/>
                <w:sz w:val="22"/>
                <w:szCs w:val="22"/>
              </w:rPr>
            </w:pPr>
            <w:r w:rsidRPr="001D7D60">
              <w:rPr>
                <w:b/>
                <w:bCs/>
                <w:sz w:val="22"/>
                <w:szCs w:val="22"/>
              </w:rPr>
              <w:t>Beteckning</w:t>
            </w:r>
          </w:p>
        </w:tc>
        <w:tc>
          <w:tcPr>
            <w:tcW w:w="8180" w:type="dxa"/>
            <w:gridSpan w:val="5"/>
            <w:tcBorders>
              <w:top w:val="single" w:sz="4" w:space="0" w:color="auto"/>
            </w:tcBorders>
            <w:shd w:val="clear" w:color="auto" w:fill="auto"/>
            <w:vAlign w:val="center"/>
          </w:tcPr>
          <w:p w:rsidR="00F87BD0" w:rsidRPr="001D7D60" w:rsidRDefault="00F87BD0" w:rsidP="00F87BD0">
            <w:pPr>
              <w:rPr>
                <w:b/>
                <w:sz w:val="22"/>
                <w:szCs w:val="22"/>
              </w:rPr>
            </w:pPr>
            <w:r>
              <w:rPr>
                <w:b/>
                <w:sz w:val="22"/>
                <w:szCs w:val="22"/>
              </w:rPr>
              <w:t>Rubrik</w:t>
            </w:r>
          </w:p>
        </w:tc>
      </w:tr>
      <w:tr w:rsidR="00F87BD0"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694581" w:rsidRDefault="00F87BD0" w:rsidP="00F87BD0">
            <w:pPr>
              <w:rPr>
                <w:bCs/>
                <w:sz w:val="22"/>
                <w:szCs w:val="22"/>
              </w:rPr>
            </w:pPr>
            <w:r>
              <w:rPr>
                <w:bCs/>
                <w:sz w:val="22"/>
                <w:szCs w:val="22"/>
              </w:rPr>
              <w:t>C(2019</w:t>
            </w:r>
            <w:r w:rsidRPr="005F72A4">
              <w:rPr>
                <w:bCs/>
                <w:sz w:val="22"/>
                <w:szCs w:val="22"/>
              </w:rPr>
              <w:t xml:space="preserve">) </w:t>
            </w:r>
            <w:r>
              <w:rPr>
                <w:bCs/>
                <w:sz w:val="22"/>
                <w:szCs w:val="22"/>
              </w:rPr>
              <w:t>2249</w:t>
            </w:r>
          </w:p>
        </w:tc>
        <w:tc>
          <w:tcPr>
            <w:tcW w:w="8180" w:type="dxa"/>
            <w:gridSpan w:val="5"/>
            <w:shd w:val="clear" w:color="auto" w:fill="auto"/>
            <w:vAlign w:val="center"/>
          </w:tcPr>
          <w:p w:rsidR="00F87BD0" w:rsidRPr="00A37CEC" w:rsidRDefault="00F87BD0" w:rsidP="00671602">
            <w:pPr>
              <w:rPr>
                <w:sz w:val="22"/>
                <w:szCs w:val="22"/>
              </w:rPr>
            </w:pPr>
            <w:r w:rsidRPr="00103AFE">
              <w:rPr>
                <w:sz w:val="22"/>
                <w:szCs w:val="22"/>
              </w:rPr>
              <w:t>KOMMISSIONENS GENOMFÖRANDEBESLUT av den 27.3.2019 om fastställande av den slutliga tilldelningen till medlemsstaterna av unionsstöd för frukt och grönsaker i skolan och för skolmjölk för perioden 1 augusti 2019–31 juli 2020 och om ändring av genomförandebeslut C(2018)1762 final</w:t>
            </w:r>
          </w:p>
        </w:tc>
      </w:tr>
      <w:tr w:rsidR="00F87BD0" w:rsidRPr="00A64BD8"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694581" w:rsidRDefault="00F87BD0" w:rsidP="00F87BD0">
            <w:pPr>
              <w:rPr>
                <w:bCs/>
                <w:sz w:val="22"/>
                <w:szCs w:val="22"/>
              </w:rPr>
            </w:pPr>
            <w:r>
              <w:rPr>
                <w:bCs/>
                <w:sz w:val="22"/>
                <w:szCs w:val="22"/>
              </w:rPr>
              <w:t>C(2019</w:t>
            </w:r>
            <w:r w:rsidRPr="005F72A4">
              <w:rPr>
                <w:bCs/>
                <w:sz w:val="22"/>
                <w:szCs w:val="22"/>
              </w:rPr>
              <w:t xml:space="preserve">) </w:t>
            </w:r>
            <w:r>
              <w:rPr>
                <w:bCs/>
                <w:sz w:val="22"/>
                <w:szCs w:val="22"/>
              </w:rPr>
              <w:t>2354</w:t>
            </w:r>
          </w:p>
        </w:tc>
        <w:tc>
          <w:tcPr>
            <w:tcW w:w="8180" w:type="dxa"/>
            <w:gridSpan w:val="5"/>
            <w:shd w:val="clear" w:color="auto" w:fill="auto"/>
            <w:vAlign w:val="center"/>
          </w:tcPr>
          <w:p w:rsidR="00F87BD0" w:rsidRPr="00A37CEC" w:rsidRDefault="00F87BD0" w:rsidP="00671602">
            <w:pPr>
              <w:rPr>
                <w:sz w:val="22"/>
                <w:szCs w:val="22"/>
              </w:rPr>
            </w:pPr>
            <w:r w:rsidRPr="00255FF9">
              <w:rPr>
                <w:sz w:val="22"/>
                <w:szCs w:val="22"/>
              </w:rPr>
              <w:t>RÄTTELSE till kommissionens genomförandebeslut (EU) 2018/1147 av den 10 augusti 2018 om fastställande av BAT-slutsatser för avfallsbehandling, i enlighet med Europaparlamentets och rådets direktiv 2010/75/EU (Europeiska unionens officiella tidning L 208 av den 17 augusti 2018</w:t>
            </w:r>
            <w:r w:rsidR="00671602">
              <w:rPr>
                <w:sz w:val="22"/>
                <w:szCs w:val="22"/>
              </w:rPr>
              <w:t>)</w:t>
            </w:r>
          </w:p>
        </w:tc>
      </w:tr>
      <w:tr w:rsidR="00F87BD0" w:rsidRPr="00BA3AD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694581" w:rsidRDefault="00F87BD0" w:rsidP="00F87BD0">
            <w:pPr>
              <w:rPr>
                <w:bCs/>
                <w:sz w:val="22"/>
                <w:szCs w:val="22"/>
              </w:rPr>
            </w:pPr>
            <w:r>
              <w:rPr>
                <w:bCs/>
                <w:sz w:val="22"/>
                <w:szCs w:val="22"/>
              </w:rPr>
              <w:t>C(2019</w:t>
            </w:r>
            <w:r w:rsidRPr="005F72A4">
              <w:rPr>
                <w:bCs/>
                <w:sz w:val="22"/>
                <w:szCs w:val="22"/>
              </w:rPr>
              <w:t xml:space="preserve">) </w:t>
            </w:r>
            <w:r>
              <w:rPr>
                <w:bCs/>
                <w:sz w:val="22"/>
                <w:szCs w:val="22"/>
              </w:rPr>
              <w:t>2739</w:t>
            </w:r>
          </w:p>
        </w:tc>
        <w:tc>
          <w:tcPr>
            <w:tcW w:w="8180" w:type="dxa"/>
            <w:gridSpan w:val="5"/>
            <w:shd w:val="clear" w:color="auto" w:fill="auto"/>
            <w:vAlign w:val="center"/>
          </w:tcPr>
          <w:p w:rsidR="00F87BD0" w:rsidRPr="00255FF9" w:rsidRDefault="00F87BD0" w:rsidP="00671602">
            <w:pPr>
              <w:rPr>
                <w:sz w:val="22"/>
                <w:szCs w:val="22"/>
              </w:rPr>
            </w:pPr>
            <w:r w:rsidRPr="001201CD">
              <w:rPr>
                <w:sz w:val="22"/>
                <w:szCs w:val="22"/>
              </w:rPr>
              <w:t>KOMMISSIONENS GENOMFÖRANDEBESLUT av den 11.4.2019 om ändring av genomförandebeslut 2014/709/EU vad gäller användning av test för identifiering av patogener med avseende på förekomst av afrikansk svinpest, avsändning av svinen genom de områden som förtecknas i bilagan och beslutets tillämpning</w:t>
            </w:r>
          </w:p>
        </w:tc>
      </w:tr>
      <w:tr w:rsidR="00F87BD0" w:rsidRPr="005A3276"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 2830</w:t>
            </w:r>
          </w:p>
        </w:tc>
        <w:tc>
          <w:tcPr>
            <w:tcW w:w="8180" w:type="dxa"/>
            <w:gridSpan w:val="5"/>
            <w:shd w:val="clear" w:color="auto" w:fill="auto"/>
            <w:vAlign w:val="center"/>
          </w:tcPr>
          <w:p w:rsidR="00F87BD0" w:rsidRPr="00CF20A4" w:rsidRDefault="00F87BD0" w:rsidP="00671602">
            <w:pPr>
              <w:rPr>
                <w:sz w:val="22"/>
                <w:szCs w:val="22"/>
              </w:rPr>
            </w:pPr>
            <w:r w:rsidRPr="00CF20A4">
              <w:rPr>
                <w:sz w:val="22"/>
                <w:szCs w:val="22"/>
              </w:rPr>
              <w:t>KOMMISSIONENS GENOMFÖRANDEBESLUT av den 11.4.2019 om ändring av bilagan till beslut 2007/453/EG vad gäller BSE-statusen i Förenade konungariket Storbritannien och Nordirland och dess kronbesittningar</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 2831</w:t>
            </w:r>
          </w:p>
        </w:tc>
        <w:tc>
          <w:tcPr>
            <w:tcW w:w="8180" w:type="dxa"/>
            <w:gridSpan w:val="5"/>
            <w:shd w:val="clear" w:color="auto" w:fill="auto"/>
            <w:vAlign w:val="center"/>
          </w:tcPr>
          <w:p w:rsidR="00F87BD0" w:rsidRPr="005052D8" w:rsidRDefault="00F87BD0" w:rsidP="00F87BD0">
            <w:pPr>
              <w:rPr>
                <w:sz w:val="22"/>
                <w:szCs w:val="22"/>
              </w:rPr>
            </w:pPr>
            <w:r w:rsidRPr="005052D8">
              <w:rPr>
                <w:sz w:val="22"/>
                <w:szCs w:val="22"/>
              </w:rPr>
              <w:t>KOMMISSIONENS GENOMFÖRANDEBESLUT av den 11.4.2019</w:t>
            </w:r>
          </w:p>
          <w:p w:rsidR="00F87BD0" w:rsidRPr="00CF20A4" w:rsidRDefault="00F87BD0" w:rsidP="00671602">
            <w:pPr>
              <w:rPr>
                <w:sz w:val="22"/>
                <w:szCs w:val="22"/>
              </w:rPr>
            </w:pPr>
            <w:r w:rsidRPr="005052D8">
              <w:rPr>
                <w:sz w:val="22"/>
                <w:szCs w:val="22"/>
              </w:rPr>
              <w:t>om ändring av beslut 2011/163/EU om godkännande av planer som lagts fram av Förenade konungariket Storbritannien och Nordirland och av dess kronbesittningar i enlighet med artikel 29 i rådets direktiv 96/23/EG</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lastRenderedPageBreak/>
              <w:t>C(2019) 283</w:t>
            </w:r>
            <w:r>
              <w:rPr>
                <w:bCs/>
                <w:sz w:val="22"/>
                <w:szCs w:val="22"/>
              </w:rPr>
              <w:t>2</w:t>
            </w:r>
          </w:p>
        </w:tc>
        <w:tc>
          <w:tcPr>
            <w:tcW w:w="8180" w:type="dxa"/>
            <w:gridSpan w:val="5"/>
            <w:shd w:val="clear" w:color="auto" w:fill="auto"/>
            <w:vAlign w:val="center"/>
          </w:tcPr>
          <w:p w:rsidR="00F87BD0" w:rsidRPr="001005DB" w:rsidRDefault="00F87BD0" w:rsidP="00F87BD0">
            <w:pPr>
              <w:rPr>
                <w:sz w:val="22"/>
                <w:szCs w:val="22"/>
              </w:rPr>
            </w:pPr>
            <w:r w:rsidRPr="001005DB">
              <w:rPr>
                <w:sz w:val="22"/>
                <w:szCs w:val="22"/>
              </w:rPr>
              <w:t>KOMMISSIONENS GENOMFÖRANDEBESLUT av den 11.4.2019 om ändring av bilaga I till kommissionens genomförandebeslut 2011/630/EU vad gäller upptagandet av Förenade konungariket Storbritannien och Nordirland och vissa av dess kronbesittningar i förteckningen över tredjeländer eller delar därav från vilka sperma</w:t>
            </w:r>
          </w:p>
          <w:p w:rsidR="00F87BD0" w:rsidRPr="00CF20A4" w:rsidRDefault="00F87BD0" w:rsidP="00671602">
            <w:pPr>
              <w:rPr>
                <w:sz w:val="22"/>
                <w:szCs w:val="22"/>
              </w:rPr>
            </w:pPr>
            <w:r w:rsidRPr="001005DB">
              <w:rPr>
                <w:sz w:val="22"/>
                <w:szCs w:val="22"/>
              </w:rPr>
              <w:t>från tamdjur av nötkreatur får föras in till unionen</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 283</w:t>
            </w:r>
            <w:r>
              <w:rPr>
                <w:bCs/>
                <w:sz w:val="22"/>
                <w:szCs w:val="22"/>
              </w:rPr>
              <w:t>3</w:t>
            </w:r>
          </w:p>
        </w:tc>
        <w:tc>
          <w:tcPr>
            <w:tcW w:w="8180" w:type="dxa"/>
            <w:gridSpan w:val="5"/>
            <w:shd w:val="clear" w:color="auto" w:fill="auto"/>
            <w:vAlign w:val="center"/>
          </w:tcPr>
          <w:p w:rsidR="00F87BD0" w:rsidRPr="00CF20A4" w:rsidRDefault="00F87BD0" w:rsidP="00671602">
            <w:pPr>
              <w:rPr>
                <w:sz w:val="22"/>
                <w:szCs w:val="22"/>
              </w:rPr>
            </w:pPr>
            <w:r w:rsidRPr="001005DB">
              <w:rPr>
                <w:sz w:val="22"/>
                <w:szCs w:val="22"/>
              </w:rPr>
              <w:t>KOMMISSIONENS GENOMFÖRANDEBESLUT av den 11.4.2019 om ändring av bilaga I till beslut 2006/168/EG vad gäller upptagandet av Förenade konungariket Storbritannien och Nordirland och vissa av dess kronbesittningar i förteckningen över tredjeländer från vilka embryon från nötkreatur får föras in till Europeiska unionen</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w:t>
            </w:r>
            <w:r>
              <w:rPr>
                <w:bCs/>
                <w:sz w:val="22"/>
                <w:szCs w:val="22"/>
              </w:rPr>
              <w:t xml:space="preserve"> 2834</w:t>
            </w:r>
          </w:p>
        </w:tc>
        <w:tc>
          <w:tcPr>
            <w:tcW w:w="8180" w:type="dxa"/>
            <w:gridSpan w:val="5"/>
            <w:shd w:val="clear" w:color="auto" w:fill="auto"/>
            <w:vAlign w:val="center"/>
          </w:tcPr>
          <w:p w:rsidR="00F87BD0" w:rsidRPr="00CF20A4" w:rsidRDefault="00F87BD0" w:rsidP="00671602">
            <w:pPr>
              <w:rPr>
                <w:sz w:val="22"/>
                <w:szCs w:val="22"/>
              </w:rPr>
            </w:pPr>
            <w:r w:rsidRPr="001005DB">
              <w:rPr>
                <w:sz w:val="22"/>
                <w:szCs w:val="22"/>
              </w:rPr>
              <w:t>KOMMISSIONENS GENOMFÖRANDEBESLUT av den 11.4.2019 om ändring av bilagorna till beslut 2006/766/EG vad gäller upptagandet av Förenade konungariket Storbritannien och Nordirland och vissa av dess kronbesittningar i förteckningarna över tredjeländer och områden från vilka musslor, tagghudingar, manteldjur, marina snäckor och fiskeriprodukter för användning som livsmedel får föras in till unionen</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 283</w:t>
            </w:r>
            <w:r>
              <w:rPr>
                <w:bCs/>
                <w:sz w:val="22"/>
                <w:szCs w:val="22"/>
              </w:rPr>
              <w:t>8</w:t>
            </w:r>
          </w:p>
        </w:tc>
        <w:tc>
          <w:tcPr>
            <w:tcW w:w="8180" w:type="dxa"/>
            <w:gridSpan w:val="5"/>
            <w:shd w:val="clear" w:color="auto" w:fill="auto"/>
            <w:vAlign w:val="center"/>
          </w:tcPr>
          <w:p w:rsidR="00F87BD0" w:rsidRPr="00E27050" w:rsidRDefault="00F87BD0" w:rsidP="00F87BD0">
            <w:pPr>
              <w:rPr>
                <w:sz w:val="22"/>
                <w:szCs w:val="22"/>
              </w:rPr>
            </w:pPr>
            <w:r w:rsidRPr="00E27050">
              <w:rPr>
                <w:sz w:val="22"/>
                <w:szCs w:val="22"/>
              </w:rPr>
              <w:t>KOMMISSIONENS GENOMFÖRANDEBESLUT av den 11.4.2019</w:t>
            </w:r>
          </w:p>
          <w:p w:rsidR="00F87BD0" w:rsidRPr="00CF20A4" w:rsidRDefault="00F87BD0" w:rsidP="00671602">
            <w:pPr>
              <w:rPr>
                <w:sz w:val="22"/>
                <w:szCs w:val="22"/>
              </w:rPr>
            </w:pPr>
            <w:r w:rsidRPr="00E27050">
              <w:rPr>
                <w:sz w:val="22"/>
                <w:szCs w:val="22"/>
              </w:rPr>
              <w:t>om ändring av bilagorna I och III till beslut 2010/472/EU vad gäller upptagandet av Förenade konungariket Storbritannien och Nordirland och vissa av dess kronbesittningar i förteckningarna över tredjeländer eller delar därav från vilka sperma, ägg och embryon från får och getter får föras in till unionen</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w:t>
            </w:r>
            <w:r>
              <w:rPr>
                <w:bCs/>
                <w:sz w:val="22"/>
                <w:szCs w:val="22"/>
              </w:rPr>
              <w:t xml:space="preserve"> 2840</w:t>
            </w:r>
          </w:p>
        </w:tc>
        <w:tc>
          <w:tcPr>
            <w:tcW w:w="8180" w:type="dxa"/>
            <w:gridSpan w:val="5"/>
            <w:shd w:val="clear" w:color="auto" w:fill="auto"/>
            <w:vAlign w:val="center"/>
          </w:tcPr>
          <w:p w:rsidR="00F87BD0" w:rsidRPr="00CF20A4" w:rsidRDefault="00F87BD0" w:rsidP="00671602">
            <w:pPr>
              <w:rPr>
                <w:sz w:val="22"/>
                <w:szCs w:val="22"/>
              </w:rPr>
            </w:pPr>
            <w:r w:rsidRPr="00E27050">
              <w:rPr>
                <w:sz w:val="22"/>
                <w:szCs w:val="22"/>
              </w:rPr>
              <w:t>KOMMISSIONENS GENOMFÖRANDEBESLUT av den 11.4.2019 om ändring av bilaga II till beslut 2007/777/EG vad gäller upptagandet av Förenade konungariket Storbritannien och Nordirland och vissa av dess kronbesittningar i förteckningen över tredjeländer eller delar därav från vilka sändningar av vissa köttprodukter och behandlade magar, blåsor och tarmar avsedda att användas som livsmedel får föras in till unionen</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w:t>
            </w:r>
            <w:r>
              <w:rPr>
                <w:bCs/>
                <w:sz w:val="22"/>
                <w:szCs w:val="22"/>
              </w:rPr>
              <w:t xml:space="preserve"> 2841</w:t>
            </w:r>
          </w:p>
        </w:tc>
        <w:tc>
          <w:tcPr>
            <w:tcW w:w="8180" w:type="dxa"/>
            <w:gridSpan w:val="5"/>
            <w:shd w:val="clear" w:color="auto" w:fill="auto"/>
            <w:vAlign w:val="center"/>
          </w:tcPr>
          <w:p w:rsidR="00F87BD0" w:rsidRPr="00CF20A4" w:rsidRDefault="00F87BD0" w:rsidP="00671602">
            <w:pPr>
              <w:rPr>
                <w:sz w:val="22"/>
                <w:szCs w:val="22"/>
              </w:rPr>
            </w:pPr>
            <w:r w:rsidRPr="00E27050">
              <w:rPr>
                <w:sz w:val="22"/>
                <w:szCs w:val="22"/>
              </w:rPr>
              <w:t>KOMMISSIONENS GENOMFÖRANDEBESLUT av den 11.4.2019 om ändring av bilaga I till beslut 2012/137/EU vad gäller upptagandet av Förenade konungariket Storbritannien och Nordirland och vissa av dess kronbesittningar i förteckningarna över tredjeländer eller delar därav från vilka sperma från tamsvin får föras in till unionen</w:t>
            </w:r>
          </w:p>
        </w:tc>
      </w:tr>
      <w:tr w:rsidR="00F87BD0" w:rsidRPr="00E16B7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w:t>
            </w:r>
            <w:r>
              <w:rPr>
                <w:bCs/>
                <w:sz w:val="22"/>
                <w:szCs w:val="22"/>
              </w:rPr>
              <w:t xml:space="preserve"> 2900</w:t>
            </w:r>
          </w:p>
        </w:tc>
        <w:tc>
          <w:tcPr>
            <w:tcW w:w="8180" w:type="dxa"/>
            <w:gridSpan w:val="5"/>
            <w:shd w:val="clear" w:color="auto" w:fill="auto"/>
            <w:vAlign w:val="center"/>
          </w:tcPr>
          <w:p w:rsidR="00F87BD0" w:rsidRPr="00E27050" w:rsidRDefault="00F87BD0" w:rsidP="00671602">
            <w:pPr>
              <w:rPr>
                <w:sz w:val="22"/>
                <w:szCs w:val="22"/>
              </w:rPr>
            </w:pPr>
            <w:r w:rsidRPr="000B38F0">
              <w:rPr>
                <w:sz w:val="22"/>
                <w:szCs w:val="22"/>
              </w:rPr>
              <w:t>KOMMISSIONENS GENOMFÖRANDEBESLUT av den 11.4.2019 om ändring av beslut 2009/821/EG vad gäller förteckningarna över gränskontrollstationer och veterinärenheter i Traces</w:t>
            </w:r>
          </w:p>
        </w:tc>
      </w:tr>
      <w:tr w:rsidR="00F87BD0" w:rsidRPr="009169AF"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w:t>
            </w:r>
            <w:r>
              <w:rPr>
                <w:bCs/>
                <w:sz w:val="22"/>
                <w:szCs w:val="22"/>
              </w:rPr>
              <w:t xml:space="preserve"> 2951</w:t>
            </w:r>
          </w:p>
        </w:tc>
        <w:tc>
          <w:tcPr>
            <w:tcW w:w="8180" w:type="dxa"/>
            <w:gridSpan w:val="5"/>
            <w:shd w:val="clear" w:color="auto" w:fill="auto"/>
            <w:vAlign w:val="center"/>
          </w:tcPr>
          <w:p w:rsidR="00F87BD0" w:rsidRPr="00CF20A4" w:rsidRDefault="00F87BD0" w:rsidP="00671602">
            <w:pPr>
              <w:rPr>
                <w:sz w:val="22"/>
                <w:szCs w:val="22"/>
              </w:rPr>
            </w:pPr>
            <w:r w:rsidRPr="005F257A">
              <w:rPr>
                <w:sz w:val="22"/>
                <w:szCs w:val="22"/>
              </w:rPr>
              <w:t>Godkännande av räkenskaper Europeiska havs- och fiskerifonden - operativt program för Sverige (CCI 2014SE14MFOP001)</w:t>
            </w:r>
            <w:r w:rsidR="00671602">
              <w:rPr>
                <w:sz w:val="22"/>
                <w:szCs w:val="22"/>
              </w:rPr>
              <w:t xml:space="preserve"> </w:t>
            </w:r>
            <w:r w:rsidRPr="005F257A">
              <w:rPr>
                <w:sz w:val="22"/>
                <w:szCs w:val="22"/>
              </w:rPr>
              <w:t>Räkenskapsår: 2017</w:t>
            </w:r>
          </w:p>
        </w:tc>
      </w:tr>
      <w:tr w:rsidR="00F87BD0" w:rsidRPr="009169AF"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w:t>
            </w:r>
            <w:r>
              <w:rPr>
                <w:bCs/>
                <w:sz w:val="22"/>
                <w:szCs w:val="22"/>
              </w:rPr>
              <w:t xml:space="preserve"> 3013</w:t>
            </w:r>
          </w:p>
        </w:tc>
        <w:tc>
          <w:tcPr>
            <w:tcW w:w="8180" w:type="dxa"/>
            <w:gridSpan w:val="5"/>
            <w:shd w:val="clear" w:color="auto" w:fill="auto"/>
            <w:vAlign w:val="center"/>
          </w:tcPr>
          <w:p w:rsidR="00F87BD0" w:rsidRPr="00B10602" w:rsidRDefault="00F87BD0" w:rsidP="00F87BD0">
            <w:pPr>
              <w:rPr>
                <w:sz w:val="22"/>
                <w:szCs w:val="22"/>
              </w:rPr>
            </w:pPr>
            <w:r w:rsidRPr="00B10602">
              <w:rPr>
                <w:sz w:val="22"/>
                <w:szCs w:val="22"/>
              </w:rPr>
              <w:t>KOMMISSIONENS GENOMFÖRANDEBESLUT av den 15.4.2019</w:t>
            </w:r>
          </w:p>
          <w:p w:rsidR="00F87BD0" w:rsidRPr="005F257A" w:rsidRDefault="00F87BD0" w:rsidP="00671602">
            <w:pPr>
              <w:rPr>
                <w:sz w:val="22"/>
                <w:szCs w:val="22"/>
              </w:rPr>
            </w:pPr>
            <w:r w:rsidRPr="00B10602">
              <w:rPr>
                <w:sz w:val="22"/>
                <w:szCs w:val="22"/>
              </w:rPr>
              <w:t>om ändring av bilagan till genomförandebeslut 2014/709/EU om djurhälsoåtgärder för att bekämpa afrikansk svinpest i vissa medlemsstater</w:t>
            </w:r>
          </w:p>
        </w:tc>
      </w:tr>
      <w:tr w:rsidR="00F87BD0" w:rsidRPr="009169AF"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CF20A4" w:rsidRDefault="00F87BD0" w:rsidP="00F87BD0">
            <w:pPr>
              <w:rPr>
                <w:bCs/>
                <w:sz w:val="22"/>
                <w:szCs w:val="22"/>
              </w:rPr>
            </w:pPr>
            <w:r w:rsidRPr="00CF20A4">
              <w:rPr>
                <w:bCs/>
                <w:sz w:val="22"/>
                <w:szCs w:val="22"/>
              </w:rPr>
              <w:t>C(2019)</w:t>
            </w:r>
            <w:r>
              <w:rPr>
                <w:bCs/>
                <w:sz w:val="22"/>
                <w:szCs w:val="22"/>
              </w:rPr>
              <w:t xml:space="preserve"> 3024</w:t>
            </w:r>
          </w:p>
        </w:tc>
        <w:tc>
          <w:tcPr>
            <w:tcW w:w="8180" w:type="dxa"/>
            <w:gridSpan w:val="5"/>
            <w:shd w:val="clear" w:color="auto" w:fill="auto"/>
            <w:vAlign w:val="center"/>
          </w:tcPr>
          <w:p w:rsidR="00F87BD0" w:rsidRPr="00B10602" w:rsidRDefault="00F87BD0" w:rsidP="00F87BD0">
            <w:pPr>
              <w:rPr>
                <w:sz w:val="22"/>
                <w:szCs w:val="22"/>
              </w:rPr>
            </w:pPr>
            <w:r w:rsidRPr="00B10602">
              <w:rPr>
                <w:sz w:val="22"/>
                <w:szCs w:val="22"/>
              </w:rPr>
              <w:t>KOMMISSIONENS GENOMFÖRANDEBESLUT av den 15.4.2019</w:t>
            </w:r>
          </w:p>
          <w:p w:rsidR="00F87BD0" w:rsidRPr="00B10602" w:rsidRDefault="00F87BD0" w:rsidP="00671602">
            <w:pPr>
              <w:rPr>
                <w:sz w:val="22"/>
                <w:szCs w:val="22"/>
              </w:rPr>
            </w:pPr>
            <w:r w:rsidRPr="00B10602">
              <w:rPr>
                <w:sz w:val="22"/>
                <w:szCs w:val="22"/>
              </w:rPr>
              <w:t>om ändring av bilagan till genomförandebeslut (EU) 2017/247 om skyddsåtgärder i samband med utbrott av högpatogen aviär influensa i vissa medlemsstater</w:t>
            </w:r>
          </w:p>
        </w:tc>
      </w:tr>
      <w:tr w:rsidR="00F87BD0" w:rsidRPr="00460FE3"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940255" w:rsidRDefault="00F87BD0" w:rsidP="00F87BD0">
            <w:pPr>
              <w:rPr>
                <w:b/>
                <w:bCs/>
                <w:sz w:val="22"/>
                <w:szCs w:val="22"/>
              </w:rPr>
            </w:pPr>
            <w:r>
              <w:rPr>
                <w:b/>
                <w:bCs/>
                <w:sz w:val="22"/>
                <w:szCs w:val="22"/>
              </w:rPr>
              <w:t>Antagna lagstiftningsakter</w:t>
            </w:r>
          </w:p>
        </w:tc>
        <w:tc>
          <w:tcPr>
            <w:tcW w:w="8180" w:type="dxa"/>
            <w:gridSpan w:val="5"/>
            <w:shd w:val="clear" w:color="auto" w:fill="auto"/>
            <w:vAlign w:val="center"/>
          </w:tcPr>
          <w:p w:rsidR="00F87BD0" w:rsidRPr="00460FE3" w:rsidRDefault="00F87BD0" w:rsidP="00F87BD0">
            <w:pPr>
              <w:pStyle w:val="Oformateradtext"/>
              <w:rPr>
                <w:rFonts w:ascii="Times New Roman" w:eastAsia="Times New Roman" w:hAnsi="Times New Roman"/>
                <w:lang w:eastAsia="sv-SE"/>
              </w:rPr>
            </w:pPr>
          </w:p>
        </w:tc>
      </w:tr>
      <w:tr w:rsidR="00F87BD0" w:rsidRPr="003470EA"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r>
              <w:rPr>
                <w:bCs/>
                <w:sz w:val="22"/>
                <w:szCs w:val="22"/>
              </w:rPr>
              <w:t>Antagen lagstiftningsakt</w:t>
            </w:r>
          </w:p>
          <w:p w:rsidR="00F87BD0" w:rsidRPr="000E61A5" w:rsidRDefault="00F87BD0" w:rsidP="00F87BD0">
            <w:pPr>
              <w:rPr>
                <w:bCs/>
                <w:sz w:val="22"/>
                <w:szCs w:val="22"/>
              </w:rPr>
            </w:pPr>
            <w:r>
              <w:rPr>
                <w:bCs/>
                <w:sz w:val="22"/>
                <w:szCs w:val="22"/>
              </w:rPr>
              <w:t>2019-04-09</w:t>
            </w:r>
          </w:p>
        </w:tc>
        <w:tc>
          <w:tcPr>
            <w:tcW w:w="8180" w:type="dxa"/>
            <w:gridSpan w:val="5"/>
            <w:shd w:val="clear" w:color="auto" w:fill="auto"/>
            <w:vAlign w:val="center"/>
          </w:tcPr>
          <w:p w:rsidR="00F87BD0" w:rsidRPr="003470EA" w:rsidRDefault="00F87BD0" w:rsidP="00671602">
            <w:r w:rsidRPr="009A45E7">
              <w:rPr>
                <w:bCs/>
                <w:sz w:val="22"/>
                <w:szCs w:val="22"/>
              </w:rPr>
              <w:t>EUROPAPARLAMENTETS OCH RÅDETS DIREKTIV om otillbörliga handelsmetoder mellan företag i jordbruks- och livsmedelskedjan</w:t>
            </w:r>
          </w:p>
        </w:tc>
      </w:tr>
      <w:tr w:rsidR="00F87BD0" w:rsidRPr="00B037C3"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Cs/>
                <w:sz w:val="22"/>
                <w:szCs w:val="22"/>
              </w:rPr>
            </w:pPr>
            <w:r>
              <w:rPr>
                <w:bCs/>
                <w:sz w:val="22"/>
                <w:szCs w:val="22"/>
              </w:rPr>
              <w:t>Antagen lagstiftningsakt</w:t>
            </w:r>
          </w:p>
          <w:p w:rsidR="00F87BD0" w:rsidRPr="000E61A5" w:rsidRDefault="00F87BD0" w:rsidP="00F87BD0">
            <w:pPr>
              <w:rPr>
                <w:bCs/>
                <w:sz w:val="22"/>
                <w:szCs w:val="22"/>
              </w:rPr>
            </w:pPr>
            <w:r>
              <w:rPr>
                <w:bCs/>
                <w:sz w:val="22"/>
                <w:szCs w:val="22"/>
              </w:rPr>
              <w:t>2019-04-09</w:t>
            </w:r>
          </w:p>
        </w:tc>
        <w:tc>
          <w:tcPr>
            <w:tcW w:w="8180" w:type="dxa"/>
            <w:gridSpan w:val="5"/>
            <w:shd w:val="clear" w:color="auto" w:fill="auto"/>
            <w:vAlign w:val="center"/>
          </w:tcPr>
          <w:p w:rsidR="00F87BD0" w:rsidRPr="00B037C3" w:rsidRDefault="00F87BD0" w:rsidP="00671602">
            <w:r w:rsidRPr="009A45E7">
              <w:rPr>
                <w:bCs/>
                <w:sz w:val="22"/>
                <w:szCs w:val="22"/>
              </w:rPr>
              <w:t>EUROPAPARLAMENTETS OCH RÅDETS FÖRORDNING om definition, beskrivning, presentation och märkning av spritdrycker, användning av namn på spritdrycker i presentationen och märkningen av andra livsmedel, skydd av geografiska beteckningar för spritdrycker, användning av jordbruksalkohol och destillat av jordbruksprodukter i alkoholhaltiga drycker samt om upphävande av förordning (EG) nr 110/2008</w:t>
            </w:r>
          </w:p>
        </w:tc>
      </w:tr>
      <w:tr w:rsidR="00F87BD0" w:rsidRPr="00B037C3"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Default="00F87BD0" w:rsidP="00F87BD0">
            <w:pPr>
              <w:rPr>
                <w:b/>
                <w:bCs/>
                <w:sz w:val="22"/>
                <w:szCs w:val="22"/>
              </w:rPr>
            </w:pPr>
            <w:r>
              <w:rPr>
                <w:b/>
                <w:bCs/>
                <w:sz w:val="22"/>
                <w:szCs w:val="22"/>
              </w:rPr>
              <w:t>Fakta-PM</w:t>
            </w:r>
          </w:p>
        </w:tc>
        <w:tc>
          <w:tcPr>
            <w:tcW w:w="8180" w:type="dxa"/>
            <w:gridSpan w:val="5"/>
            <w:shd w:val="clear" w:color="auto" w:fill="auto"/>
            <w:vAlign w:val="center"/>
          </w:tcPr>
          <w:p w:rsidR="00F87BD0" w:rsidRPr="005B32B8" w:rsidRDefault="00F87BD0" w:rsidP="00F87BD0">
            <w:pPr>
              <w:rPr>
                <w:bCs/>
                <w:sz w:val="22"/>
                <w:szCs w:val="22"/>
                <w:lang w:val="en-GB"/>
              </w:rPr>
            </w:pPr>
          </w:p>
        </w:tc>
      </w:tr>
      <w:tr w:rsidR="00F87BD0" w:rsidRPr="00B037C3"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4A4DD1" w:rsidRDefault="00F87BD0" w:rsidP="00F87BD0">
            <w:pPr>
              <w:rPr>
                <w:bCs/>
                <w:sz w:val="22"/>
                <w:szCs w:val="22"/>
              </w:rPr>
            </w:pPr>
            <w:r w:rsidRPr="00107E55">
              <w:rPr>
                <w:bCs/>
                <w:sz w:val="22"/>
                <w:szCs w:val="22"/>
              </w:rPr>
              <w:t>2018/19:FPM41</w:t>
            </w:r>
          </w:p>
        </w:tc>
        <w:tc>
          <w:tcPr>
            <w:tcW w:w="8180" w:type="dxa"/>
            <w:gridSpan w:val="5"/>
            <w:shd w:val="clear" w:color="auto" w:fill="auto"/>
            <w:vAlign w:val="center"/>
          </w:tcPr>
          <w:p w:rsidR="00F87BD0" w:rsidRPr="004A4DD1" w:rsidRDefault="00F87BD0" w:rsidP="00F87BD0">
            <w:pPr>
              <w:rPr>
                <w:bCs/>
                <w:sz w:val="22"/>
                <w:szCs w:val="22"/>
              </w:rPr>
            </w:pPr>
            <w:r w:rsidRPr="00107E55">
              <w:rPr>
                <w:bCs/>
                <w:sz w:val="22"/>
                <w:szCs w:val="22"/>
              </w:rPr>
              <w:t>Rapport om genomförande av vattendirektivet och översvämningsdirektivet</w:t>
            </w:r>
          </w:p>
        </w:tc>
      </w:tr>
      <w:tr w:rsidR="00F87BD0" w:rsidRPr="006112FB" w:rsidTr="0067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0080" w:type="dxa"/>
            <w:gridSpan w:val="7"/>
            <w:shd w:val="clear" w:color="auto" w:fill="auto"/>
            <w:vAlign w:val="center"/>
          </w:tcPr>
          <w:p w:rsidR="00671602" w:rsidRDefault="00671602" w:rsidP="00F87BD0">
            <w:pPr>
              <w:rPr>
                <w:b/>
                <w:kern w:val="32"/>
                <w:sz w:val="22"/>
                <w:szCs w:val="22"/>
              </w:rPr>
            </w:pPr>
          </w:p>
          <w:p w:rsidR="00671602" w:rsidRDefault="00671602" w:rsidP="00F87BD0">
            <w:pPr>
              <w:rPr>
                <w:b/>
                <w:kern w:val="32"/>
                <w:sz w:val="22"/>
                <w:szCs w:val="22"/>
              </w:rPr>
            </w:pPr>
          </w:p>
          <w:p w:rsidR="00671602" w:rsidRDefault="00671602" w:rsidP="00F87BD0">
            <w:pPr>
              <w:rPr>
                <w:b/>
                <w:kern w:val="32"/>
                <w:sz w:val="22"/>
                <w:szCs w:val="22"/>
              </w:rPr>
            </w:pPr>
          </w:p>
          <w:p w:rsidR="00F87BD0" w:rsidRPr="006112FB" w:rsidRDefault="00F87BD0" w:rsidP="00F87BD0">
            <w:pPr>
              <w:rPr>
                <w:b/>
                <w:kern w:val="32"/>
                <w:sz w:val="22"/>
                <w:szCs w:val="22"/>
              </w:rPr>
            </w:pPr>
            <w:r w:rsidRPr="009E02E9">
              <w:rPr>
                <w:b/>
                <w:kern w:val="32"/>
                <w:sz w:val="22"/>
                <w:szCs w:val="22"/>
              </w:rPr>
              <w:lastRenderedPageBreak/>
              <w:t>Övriga överlämnade dokument som rör EU-arbetet</w:t>
            </w:r>
            <w:r>
              <w:rPr>
                <w:b/>
                <w:kern w:val="32"/>
                <w:sz w:val="22"/>
                <w:szCs w:val="22"/>
              </w:rPr>
              <w:t xml:space="preserve"> för kännedom</w:t>
            </w:r>
          </w:p>
        </w:tc>
      </w:tr>
      <w:tr w:rsidR="00F87BD0"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87BD0" w:rsidRPr="00B70BE7" w:rsidRDefault="00F87BD0" w:rsidP="00F87BD0">
            <w:pPr>
              <w:rPr>
                <w:b/>
                <w:bCs/>
                <w:sz w:val="22"/>
                <w:szCs w:val="22"/>
              </w:rPr>
            </w:pPr>
            <w:r>
              <w:rPr>
                <w:b/>
                <w:bCs/>
                <w:sz w:val="22"/>
                <w:szCs w:val="22"/>
              </w:rPr>
              <w:lastRenderedPageBreak/>
              <w:t>Yttranden från andra nationella parlament</w:t>
            </w:r>
          </w:p>
        </w:tc>
        <w:tc>
          <w:tcPr>
            <w:tcW w:w="8180" w:type="dxa"/>
            <w:gridSpan w:val="5"/>
            <w:shd w:val="clear" w:color="auto" w:fill="auto"/>
            <w:vAlign w:val="center"/>
          </w:tcPr>
          <w:p w:rsidR="00F87BD0" w:rsidRDefault="00F87BD0" w:rsidP="00F87BD0">
            <w:pPr>
              <w:rPr>
                <w:sz w:val="22"/>
                <w:szCs w:val="22"/>
              </w:rPr>
            </w:pPr>
          </w:p>
        </w:tc>
      </w:tr>
      <w:tr w:rsidR="00671602" w:rsidRPr="00525A97"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671602" w:rsidRPr="00617147" w:rsidRDefault="00671602" w:rsidP="00671602">
            <w:pPr>
              <w:rPr>
                <w:sz w:val="22"/>
                <w:szCs w:val="22"/>
              </w:rPr>
            </w:pPr>
            <w:r w:rsidRPr="00521513">
              <w:rPr>
                <w:sz w:val="22"/>
                <w:szCs w:val="22"/>
              </w:rPr>
              <w:t>8085/19</w:t>
            </w:r>
          </w:p>
        </w:tc>
        <w:tc>
          <w:tcPr>
            <w:tcW w:w="8180" w:type="dxa"/>
            <w:gridSpan w:val="5"/>
            <w:tcBorders>
              <w:bottom w:val="single" w:sz="4" w:space="0" w:color="auto"/>
            </w:tcBorders>
            <w:shd w:val="clear" w:color="auto" w:fill="auto"/>
            <w:vAlign w:val="center"/>
          </w:tcPr>
          <w:p w:rsidR="00671602" w:rsidRPr="00521513" w:rsidRDefault="00671602" w:rsidP="00671602">
            <w:pPr>
              <w:rPr>
                <w:bCs/>
                <w:sz w:val="22"/>
                <w:szCs w:val="22"/>
                <w:lang w:val="en-US"/>
              </w:rPr>
            </w:pPr>
            <w:r w:rsidRPr="00521513">
              <w:rPr>
                <w:bCs/>
                <w:sz w:val="22"/>
                <w:szCs w:val="22"/>
                <w:lang w:val="en-US"/>
              </w:rPr>
              <w:t>Proposal for a REGULATION OF THE EUROPEAN PARLIAMENT AND</w:t>
            </w:r>
            <w:r>
              <w:rPr>
                <w:bCs/>
                <w:sz w:val="22"/>
                <w:szCs w:val="22"/>
                <w:lang w:val="en-US"/>
              </w:rPr>
              <w:t xml:space="preserve"> </w:t>
            </w:r>
            <w:r w:rsidRPr="00521513">
              <w:rPr>
                <w:bCs/>
                <w:sz w:val="22"/>
                <w:szCs w:val="22"/>
                <w:lang w:val="en-US"/>
              </w:rPr>
              <w:t>OF THE COUNCIL amending Regulation (EU) No 508/2014 as regards</w:t>
            </w:r>
            <w:r>
              <w:rPr>
                <w:bCs/>
                <w:sz w:val="22"/>
                <w:szCs w:val="22"/>
                <w:lang w:val="en-US"/>
              </w:rPr>
              <w:t xml:space="preserve"> </w:t>
            </w:r>
            <w:r w:rsidRPr="00521513">
              <w:rPr>
                <w:bCs/>
                <w:sz w:val="22"/>
                <w:szCs w:val="22"/>
                <w:lang w:val="en-US"/>
              </w:rPr>
              <w:t>certain rules relating to the European Maritime and Fisheries Fund by</w:t>
            </w:r>
            <w:r>
              <w:rPr>
                <w:bCs/>
                <w:sz w:val="22"/>
                <w:szCs w:val="22"/>
                <w:lang w:val="en-US"/>
              </w:rPr>
              <w:t xml:space="preserve"> </w:t>
            </w:r>
            <w:r w:rsidRPr="00521513">
              <w:rPr>
                <w:bCs/>
                <w:sz w:val="22"/>
                <w:szCs w:val="22"/>
                <w:lang w:val="en-US"/>
              </w:rPr>
              <w:t>reason of the withdrawal of the United Kingdom from the Union</w:t>
            </w:r>
            <w:r>
              <w:rPr>
                <w:bCs/>
                <w:sz w:val="22"/>
                <w:szCs w:val="22"/>
                <w:lang w:val="en-US"/>
              </w:rPr>
              <w:t xml:space="preserve"> </w:t>
            </w:r>
            <w:r w:rsidRPr="00521513">
              <w:rPr>
                <w:bCs/>
                <w:sz w:val="22"/>
                <w:szCs w:val="22"/>
                <w:lang w:val="en-US"/>
              </w:rPr>
              <w:t>[5668/19 - COM(2019) 48] - Opinion on the application of the Principles of Subsidiarity and Proportionality - The Portuguese Parliament</w:t>
            </w:r>
          </w:p>
        </w:tc>
      </w:tr>
      <w:tr w:rsidR="00671602" w:rsidRPr="00525A97" w:rsidTr="0067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71602" w:rsidRPr="00617147" w:rsidRDefault="00671602" w:rsidP="00671602">
            <w:pPr>
              <w:rPr>
                <w:sz w:val="22"/>
                <w:szCs w:val="22"/>
              </w:rPr>
            </w:pPr>
            <w:r>
              <w:rPr>
                <w:sz w:val="22"/>
                <w:szCs w:val="22"/>
              </w:rPr>
              <w:t>8262</w:t>
            </w:r>
            <w:r w:rsidRPr="00521513">
              <w:rPr>
                <w:sz w:val="22"/>
                <w:szCs w:val="22"/>
              </w:rPr>
              <w:t>/19</w:t>
            </w:r>
          </w:p>
        </w:tc>
        <w:tc>
          <w:tcPr>
            <w:tcW w:w="8180" w:type="dxa"/>
            <w:gridSpan w:val="5"/>
            <w:shd w:val="clear" w:color="auto" w:fill="auto"/>
            <w:vAlign w:val="center"/>
          </w:tcPr>
          <w:p w:rsidR="00671602" w:rsidRPr="007D7077" w:rsidRDefault="00671602" w:rsidP="00671602">
            <w:pPr>
              <w:rPr>
                <w:bCs/>
                <w:sz w:val="22"/>
                <w:szCs w:val="22"/>
                <w:lang w:val="en-US"/>
              </w:rPr>
            </w:pPr>
            <w:r w:rsidRPr="007D7077">
              <w:rPr>
                <w:bCs/>
                <w:sz w:val="22"/>
                <w:szCs w:val="22"/>
                <w:lang w:val="en-US"/>
              </w:rPr>
              <w:t>Proposal for a COUNCIL REGULATION amending Regulation (EU) No 1370/2013 determining measures on fixing certain aids and refunds related to the common organisation of the markets in agricultural products, as regards the quantitative limitation for buying-in skimmed milk powder [11232/18 - COM(2018) 533 final] - Opinion on the application of the Principles of Subsidiarity and Proportionality - The Portuguese arliament</w:t>
            </w:r>
          </w:p>
          <w:p w:rsidR="00671602" w:rsidRPr="007D7077" w:rsidRDefault="00671602" w:rsidP="00671602">
            <w:pPr>
              <w:rPr>
                <w:bCs/>
                <w:sz w:val="22"/>
                <w:szCs w:val="22"/>
                <w:lang w:val="en-US"/>
              </w:rPr>
            </w:pPr>
          </w:p>
        </w:tc>
      </w:tr>
      <w:tr w:rsidR="00671602" w:rsidRPr="00671602" w:rsidTr="00671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671602" w:rsidRPr="007B5FF3" w:rsidRDefault="00671602" w:rsidP="00671602">
            <w:pPr>
              <w:rPr>
                <w:b/>
                <w:sz w:val="22"/>
                <w:szCs w:val="22"/>
              </w:rPr>
            </w:pPr>
            <w:r w:rsidRPr="007B5FF3">
              <w:rPr>
                <w:b/>
                <w:sz w:val="22"/>
                <w:szCs w:val="22"/>
              </w:rPr>
              <w:t>Antagna dokument</w:t>
            </w:r>
          </w:p>
        </w:tc>
        <w:tc>
          <w:tcPr>
            <w:tcW w:w="8180" w:type="dxa"/>
            <w:gridSpan w:val="5"/>
            <w:shd w:val="clear" w:color="auto" w:fill="auto"/>
            <w:vAlign w:val="center"/>
          </w:tcPr>
          <w:p w:rsidR="00671602" w:rsidRPr="007D7077" w:rsidRDefault="00671602" w:rsidP="00671602">
            <w:pPr>
              <w:rPr>
                <w:bCs/>
                <w:sz w:val="22"/>
                <w:szCs w:val="22"/>
                <w:lang w:val="en-US"/>
              </w:rPr>
            </w:pPr>
          </w:p>
        </w:tc>
      </w:tr>
      <w:tr w:rsidR="00671602" w:rsidRPr="00671602" w:rsidTr="002A3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671602" w:rsidRPr="00D61088" w:rsidRDefault="00671602" w:rsidP="00671602">
            <w:pPr>
              <w:rPr>
                <w:sz w:val="22"/>
                <w:szCs w:val="22"/>
              </w:rPr>
            </w:pPr>
            <w:r w:rsidRPr="00D61088">
              <w:rPr>
                <w:sz w:val="22"/>
                <w:szCs w:val="22"/>
              </w:rPr>
              <w:t>Dokument antagna av Europa</w:t>
            </w:r>
            <w:r>
              <w:rPr>
                <w:sz w:val="22"/>
                <w:szCs w:val="22"/>
              </w:rPr>
              <w:t>-</w:t>
            </w:r>
            <w:r w:rsidRPr="00D61088">
              <w:rPr>
                <w:sz w:val="22"/>
                <w:szCs w:val="22"/>
              </w:rPr>
              <w:t>parlamentet 11-14 februari 2019</w:t>
            </w:r>
          </w:p>
        </w:tc>
        <w:tc>
          <w:tcPr>
            <w:tcW w:w="8180" w:type="dxa"/>
            <w:gridSpan w:val="5"/>
            <w:tcBorders>
              <w:bottom w:val="single" w:sz="4" w:space="0" w:color="auto"/>
            </w:tcBorders>
            <w:shd w:val="clear" w:color="auto" w:fill="auto"/>
            <w:vAlign w:val="center"/>
          </w:tcPr>
          <w:p w:rsidR="00671602" w:rsidRPr="00671602" w:rsidRDefault="00671602" w:rsidP="00671602">
            <w:pPr>
              <w:rPr>
                <w:bCs/>
                <w:sz w:val="22"/>
                <w:szCs w:val="22"/>
              </w:rPr>
            </w:pPr>
          </w:p>
        </w:tc>
      </w:tr>
    </w:tbl>
    <w:p w:rsidR="00F87BD0" w:rsidRPr="00671602" w:rsidRDefault="00F87BD0" w:rsidP="00525A97">
      <w:pPr>
        <w:widowControl/>
        <w:rPr>
          <w:sz w:val="22"/>
          <w:szCs w:val="22"/>
        </w:rPr>
        <w:sectPr w:rsidR="00F87BD0" w:rsidRPr="00671602" w:rsidSect="002D06F9">
          <w:pgSz w:w="11906" w:h="16838" w:code="9"/>
          <w:pgMar w:top="567" w:right="1134" w:bottom="567" w:left="1134" w:header="720" w:footer="720" w:gutter="0"/>
          <w:cols w:space="720"/>
          <w:titlePg/>
        </w:sectPr>
      </w:pPr>
    </w:p>
    <w:p w:rsidR="00177FF8" w:rsidRPr="005249C1" w:rsidRDefault="00177FF8" w:rsidP="00525A97">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521" w:rsidRDefault="00755521">
      <w:r>
        <w:separator/>
      </w:r>
    </w:p>
  </w:endnote>
  <w:endnote w:type="continuationSeparator" w:id="0">
    <w:p w:rsidR="00755521" w:rsidRDefault="0075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5A97">
      <w:rPr>
        <w:rStyle w:val="Sidnummer"/>
        <w:noProof/>
      </w:rPr>
      <w:t>2</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521" w:rsidRDefault="00755521">
      <w:r>
        <w:separator/>
      </w:r>
    </w:p>
  </w:footnote>
  <w:footnote w:type="continuationSeparator" w:id="0">
    <w:p w:rsidR="00755521" w:rsidRDefault="00755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76BDD"/>
    <w:rsid w:val="0008626B"/>
    <w:rsid w:val="00091EA6"/>
    <w:rsid w:val="000A29E4"/>
    <w:rsid w:val="000E402E"/>
    <w:rsid w:val="000F6792"/>
    <w:rsid w:val="000F7D9B"/>
    <w:rsid w:val="00102D5B"/>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91AA0"/>
    <w:rsid w:val="0019407A"/>
    <w:rsid w:val="001A35A0"/>
    <w:rsid w:val="001D7100"/>
    <w:rsid w:val="001E1F27"/>
    <w:rsid w:val="001F0044"/>
    <w:rsid w:val="001F3F30"/>
    <w:rsid w:val="001F641B"/>
    <w:rsid w:val="00200F8B"/>
    <w:rsid w:val="0021176A"/>
    <w:rsid w:val="00212A8D"/>
    <w:rsid w:val="00216C70"/>
    <w:rsid w:val="002241EF"/>
    <w:rsid w:val="0023053D"/>
    <w:rsid w:val="00231475"/>
    <w:rsid w:val="002378CC"/>
    <w:rsid w:val="0025203B"/>
    <w:rsid w:val="00254C5A"/>
    <w:rsid w:val="00254ED9"/>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100F5"/>
    <w:rsid w:val="003127B4"/>
    <w:rsid w:val="003220D7"/>
    <w:rsid w:val="00322167"/>
    <w:rsid w:val="00335837"/>
    <w:rsid w:val="00335938"/>
    <w:rsid w:val="00342CC6"/>
    <w:rsid w:val="003443ED"/>
    <w:rsid w:val="00346D28"/>
    <w:rsid w:val="00381298"/>
    <w:rsid w:val="00387440"/>
    <w:rsid w:val="003941CA"/>
    <w:rsid w:val="00396766"/>
    <w:rsid w:val="003E21B4"/>
    <w:rsid w:val="003E2DA5"/>
    <w:rsid w:val="003F5018"/>
    <w:rsid w:val="003F7963"/>
    <w:rsid w:val="00402A6F"/>
    <w:rsid w:val="00405162"/>
    <w:rsid w:val="0041660A"/>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249C1"/>
    <w:rsid w:val="00525A97"/>
    <w:rsid w:val="00530BD4"/>
    <w:rsid w:val="00573E17"/>
    <w:rsid w:val="00573F9E"/>
    <w:rsid w:val="00583512"/>
    <w:rsid w:val="005855D5"/>
    <w:rsid w:val="005957E5"/>
    <w:rsid w:val="005A3E8B"/>
    <w:rsid w:val="005B1B2C"/>
    <w:rsid w:val="005D7C2B"/>
    <w:rsid w:val="005E1A5D"/>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1602"/>
    <w:rsid w:val="00675F6F"/>
    <w:rsid w:val="006A63A7"/>
    <w:rsid w:val="006D05CF"/>
    <w:rsid w:val="006E15D9"/>
    <w:rsid w:val="006F4672"/>
    <w:rsid w:val="00716686"/>
    <w:rsid w:val="00721C53"/>
    <w:rsid w:val="007453FF"/>
    <w:rsid w:val="00754C4A"/>
    <w:rsid w:val="00755521"/>
    <w:rsid w:val="00762508"/>
    <w:rsid w:val="007719E4"/>
    <w:rsid w:val="007952E6"/>
    <w:rsid w:val="00796426"/>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845E7"/>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C0C9D"/>
    <w:rsid w:val="009D4AF3"/>
    <w:rsid w:val="009D4D1A"/>
    <w:rsid w:val="009D6236"/>
    <w:rsid w:val="009E0D7F"/>
    <w:rsid w:val="009E2FEF"/>
    <w:rsid w:val="009E3810"/>
    <w:rsid w:val="009F1689"/>
    <w:rsid w:val="00A03943"/>
    <w:rsid w:val="00A230EF"/>
    <w:rsid w:val="00A25D52"/>
    <w:rsid w:val="00A34130"/>
    <w:rsid w:val="00A375CF"/>
    <w:rsid w:val="00A37731"/>
    <w:rsid w:val="00A40927"/>
    <w:rsid w:val="00A4445B"/>
    <w:rsid w:val="00A51307"/>
    <w:rsid w:val="00A645AD"/>
    <w:rsid w:val="00A64CA0"/>
    <w:rsid w:val="00A6580E"/>
    <w:rsid w:val="00A65C53"/>
    <w:rsid w:val="00A702BD"/>
    <w:rsid w:val="00A71AF0"/>
    <w:rsid w:val="00A746E4"/>
    <w:rsid w:val="00A83ACB"/>
    <w:rsid w:val="00A846AA"/>
    <w:rsid w:val="00A951C4"/>
    <w:rsid w:val="00AB1421"/>
    <w:rsid w:val="00AB2883"/>
    <w:rsid w:val="00AC0C85"/>
    <w:rsid w:val="00AD2143"/>
    <w:rsid w:val="00AD2B50"/>
    <w:rsid w:val="00AD3317"/>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89B"/>
    <w:rsid w:val="00B7705B"/>
    <w:rsid w:val="00B80318"/>
    <w:rsid w:val="00B86868"/>
    <w:rsid w:val="00B95CFE"/>
    <w:rsid w:val="00B96E81"/>
    <w:rsid w:val="00BA4937"/>
    <w:rsid w:val="00BA55CE"/>
    <w:rsid w:val="00BB34FC"/>
    <w:rsid w:val="00BB375E"/>
    <w:rsid w:val="00BB59A8"/>
    <w:rsid w:val="00BB5D88"/>
    <w:rsid w:val="00BB7941"/>
    <w:rsid w:val="00BC03D5"/>
    <w:rsid w:val="00BD374B"/>
    <w:rsid w:val="00BE1EBF"/>
    <w:rsid w:val="00BF0D09"/>
    <w:rsid w:val="00C0015E"/>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46BF"/>
    <w:rsid w:val="00DC48A8"/>
    <w:rsid w:val="00DD7DD7"/>
    <w:rsid w:val="00DE45E6"/>
    <w:rsid w:val="00DF1920"/>
    <w:rsid w:val="00DF2A5B"/>
    <w:rsid w:val="00DF4E44"/>
    <w:rsid w:val="00DF69C9"/>
    <w:rsid w:val="00E1579E"/>
    <w:rsid w:val="00E2386B"/>
    <w:rsid w:val="00E30B5F"/>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35ECD"/>
    <w:rsid w:val="00F65F54"/>
    <w:rsid w:val="00F66FF9"/>
    <w:rsid w:val="00F73CB8"/>
    <w:rsid w:val="00F73D67"/>
    <w:rsid w:val="00F755B2"/>
    <w:rsid w:val="00F82610"/>
    <w:rsid w:val="00F832D2"/>
    <w:rsid w:val="00F86DDF"/>
    <w:rsid w:val="00F87BD0"/>
    <w:rsid w:val="00F902C3"/>
    <w:rsid w:val="00FA6C99"/>
    <w:rsid w:val="00FB055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0E6C1"/>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styleId="AnvndHyperlnk">
    <w:name w:val="FollowedHyperlink"/>
    <w:basedOn w:val="Standardstycketeckensnitt"/>
    <w:rsid w:val="006716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9868-6699-454C-8063-73EAF574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10450</Characters>
  <Application>Microsoft Office Word</Application>
  <DocSecurity>0</DocSecurity>
  <Lines>3483</Lines>
  <Paragraphs>668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2</cp:revision>
  <cp:lastPrinted>2018-10-09T07:44:00Z</cp:lastPrinted>
  <dcterms:created xsi:type="dcterms:W3CDTF">2019-05-02T09:21:00Z</dcterms:created>
  <dcterms:modified xsi:type="dcterms:W3CDTF">2019-05-02T09:21:00Z</dcterms:modified>
</cp:coreProperties>
</file>