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E2D82F" w14:textId="77777777">
        <w:tc>
          <w:tcPr>
            <w:tcW w:w="2268" w:type="dxa"/>
          </w:tcPr>
          <w:p w14:paraId="2140337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702A78F" w14:textId="77777777" w:rsidR="006E4E11" w:rsidRDefault="006E4E11" w:rsidP="007242A3">
            <w:pPr>
              <w:framePr w:w="5035" w:h="1644" w:wrap="notBeside" w:vAnchor="page" w:hAnchor="page" w:x="6573" w:y="721"/>
              <w:rPr>
                <w:rFonts w:ascii="TradeGothic" w:hAnsi="TradeGothic"/>
                <w:i/>
                <w:sz w:val="18"/>
              </w:rPr>
            </w:pPr>
          </w:p>
        </w:tc>
      </w:tr>
      <w:tr w:rsidR="006E4E11" w14:paraId="10F77170" w14:textId="77777777">
        <w:tc>
          <w:tcPr>
            <w:tcW w:w="2268" w:type="dxa"/>
          </w:tcPr>
          <w:p w14:paraId="488C8EF7" w14:textId="3B2E67F2"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55785D" w14:textId="77777777" w:rsidR="006E4E11" w:rsidRDefault="006E4E11" w:rsidP="007242A3">
            <w:pPr>
              <w:framePr w:w="5035" w:h="1644" w:wrap="notBeside" w:vAnchor="page" w:hAnchor="page" w:x="6573" w:y="721"/>
              <w:rPr>
                <w:rFonts w:ascii="TradeGothic" w:hAnsi="TradeGothic"/>
                <w:b/>
                <w:sz w:val="22"/>
              </w:rPr>
            </w:pPr>
          </w:p>
        </w:tc>
      </w:tr>
      <w:tr w:rsidR="006E4E11" w14:paraId="1E0D3E83" w14:textId="77777777">
        <w:tc>
          <w:tcPr>
            <w:tcW w:w="3402" w:type="dxa"/>
            <w:gridSpan w:val="2"/>
          </w:tcPr>
          <w:p w14:paraId="7FC78D81" w14:textId="77777777" w:rsidR="006E4E11" w:rsidRDefault="006E4E11" w:rsidP="007242A3">
            <w:pPr>
              <w:framePr w:w="5035" w:h="1644" w:wrap="notBeside" w:vAnchor="page" w:hAnchor="page" w:x="6573" w:y="721"/>
            </w:pPr>
          </w:p>
        </w:tc>
        <w:tc>
          <w:tcPr>
            <w:tcW w:w="1865" w:type="dxa"/>
          </w:tcPr>
          <w:p w14:paraId="258C9A6E" w14:textId="77777777" w:rsidR="006E4E11" w:rsidRDefault="006E4E11" w:rsidP="007242A3">
            <w:pPr>
              <w:framePr w:w="5035" w:h="1644" w:wrap="notBeside" w:vAnchor="page" w:hAnchor="page" w:x="6573" w:y="721"/>
            </w:pPr>
          </w:p>
        </w:tc>
      </w:tr>
      <w:tr w:rsidR="006E4E11" w14:paraId="7D87F188" w14:textId="77777777">
        <w:tc>
          <w:tcPr>
            <w:tcW w:w="2268" w:type="dxa"/>
          </w:tcPr>
          <w:p w14:paraId="7D23E52D" w14:textId="77777777" w:rsidR="006E4E11" w:rsidRDefault="006E4E11" w:rsidP="007242A3">
            <w:pPr>
              <w:framePr w:w="5035" w:h="1644" w:wrap="notBeside" w:vAnchor="page" w:hAnchor="page" w:x="6573" w:y="721"/>
            </w:pPr>
          </w:p>
        </w:tc>
        <w:tc>
          <w:tcPr>
            <w:tcW w:w="2999" w:type="dxa"/>
            <w:gridSpan w:val="2"/>
          </w:tcPr>
          <w:p w14:paraId="651BFB63" w14:textId="77777777" w:rsidR="006E4E11" w:rsidRPr="00ED583F" w:rsidRDefault="00BF0D46" w:rsidP="00BA6FAE">
            <w:pPr>
              <w:framePr w:w="5035" w:h="1644" w:wrap="notBeside" w:vAnchor="page" w:hAnchor="page" w:x="6573" w:y="721"/>
              <w:rPr>
                <w:sz w:val="20"/>
              </w:rPr>
            </w:pPr>
            <w:r>
              <w:rPr>
                <w:sz w:val="20"/>
              </w:rPr>
              <w:t xml:space="preserve">Dnr </w:t>
            </w:r>
            <w:r w:rsidR="00E16414">
              <w:rPr>
                <w:sz w:val="20"/>
              </w:rPr>
              <w:t>Fi2016/</w:t>
            </w:r>
            <w:r w:rsidR="00BA6FAE">
              <w:rPr>
                <w:sz w:val="20"/>
              </w:rPr>
              <w:t>01892</w:t>
            </w:r>
            <w:r w:rsidR="00E16414">
              <w:rPr>
                <w:sz w:val="20"/>
              </w:rPr>
              <w:t>/FPM</w:t>
            </w:r>
          </w:p>
        </w:tc>
      </w:tr>
      <w:tr w:rsidR="006E4E11" w14:paraId="7435D850" w14:textId="77777777">
        <w:tc>
          <w:tcPr>
            <w:tcW w:w="2268" w:type="dxa"/>
          </w:tcPr>
          <w:p w14:paraId="6349F62D" w14:textId="77777777" w:rsidR="006E4E11" w:rsidRDefault="006E4E11" w:rsidP="007242A3">
            <w:pPr>
              <w:framePr w:w="5035" w:h="1644" w:wrap="notBeside" w:vAnchor="page" w:hAnchor="page" w:x="6573" w:y="721"/>
            </w:pPr>
          </w:p>
        </w:tc>
        <w:tc>
          <w:tcPr>
            <w:tcW w:w="2999" w:type="dxa"/>
            <w:gridSpan w:val="2"/>
          </w:tcPr>
          <w:p w14:paraId="2775FB49" w14:textId="77777777" w:rsidR="006E4E11" w:rsidRDefault="006E4E11" w:rsidP="007242A3">
            <w:pPr>
              <w:framePr w:w="5035" w:h="1644" w:wrap="notBeside" w:vAnchor="page" w:hAnchor="page" w:x="6573" w:y="721"/>
            </w:pPr>
          </w:p>
        </w:tc>
      </w:tr>
    </w:tbl>
    <w:tbl>
      <w:tblPr>
        <w:tblW w:w="5092" w:type="dxa"/>
        <w:tblLayout w:type="fixed"/>
        <w:tblLook w:val="0000" w:firstRow="0" w:lastRow="0" w:firstColumn="0" w:lastColumn="0" w:noHBand="0" w:noVBand="0"/>
      </w:tblPr>
      <w:tblGrid>
        <w:gridCol w:w="5092"/>
      </w:tblGrid>
      <w:tr w:rsidR="006E4E11" w14:paraId="4DA5D866" w14:textId="77777777" w:rsidTr="00CF08B7">
        <w:trPr>
          <w:trHeight w:val="250"/>
        </w:trPr>
        <w:tc>
          <w:tcPr>
            <w:tcW w:w="5092" w:type="dxa"/>
          </w:tcPr>
          <w:p w14:paraId="50B86920" w14:textId="77777777" w:rsidR="006E4E11" w:rsidRDefault="00BF0D46">
            <w:pPr>
              <w:pStyle w:val="Avsndare"/>
              <w:framePr w:h="2483" w:wrap="notBeside" w:x="1504"/>
              <w:rPr>
                <w:b/>
                <w:i w:val="0"/>
                <w:sz w:val="22"/>
              </w:rPr>
            </w:pPr>
            <w:r>
              <w:rPr>
                <w:b/>
                <w:i w:val="0"/>
                <w:sz w:val="22"/>
              </w:rPr>
              <w:t>Finansdepartementet</w:t>
            </w:r>
          </w:p>
        </w:tc>
      </w:tr>
      <w:tr w:rsidR="006E4E11" w14:paraId="346C4EF9" w14:textId="77777777" w:rsidTr="00CF08B7">
        <w:trPr>
          <w:trHeight w:val="250"/>
        </w:trPr>
        <w:tc>
          <w:tcPr>
            <w:tcW w:w="5092" w:type="dxa"/>
          </w:tcPr>
          <w:p w14:paraId="6E6BB0D8" w14:textId="77777777" w:rsidR="006E4E11" w:rsidRDefault="00BF0D46">
            <w:pPr>
              <w:pStyle w:val="Avsndare"/>
              <w:framePr w:h="2483" w:wrap="notBeside" w:x="1504"/>
              <w:rPr>
                <w:bCs/>
                <w:iCs/>
              </w:rPr>
            </w:pPr>
            <w:r>
              <w:rPr>
                <w:bCs/>
                <w:iCs/>
              </w:rPr>
              <w:t>Finansmarknads- och konsumentministern</w:t>
            </w:r>
          </w:p>
        </w:tc>
      </w:tr>
      <w:tr w:rsidR="006E4E11" w14:paraId="3C88FD3C" w14:textId="77777777" w:rsidTr="00CF08B7">
        <w:trPr>
          <w:trHeight w:val="250"/>
        </w:trPr>
        <w:tc>
          <w:tcPr>
            <w:tcW w:w="5092" w:type="dxa"/>
          </w:tcPr>
          <w:p w14:paraId="69B76ACC" w14:textId="27E5A53A" w:rsidR="001D0DB6" w:rsidRPr="00F113DD" w:rsidRDefault="001D0DB6" w:rsidP="003C195A">
            <w:pPr>
              <w:pStyle w:val="Avsndare"/>
              <w:framePr w:h="2483" w:wrap="notBeside" w:x="1504"/>
              <w:rPr>
                <w:b/>
                <w:bCs/>
                <w:iCs/>
              </w:rPr>
            </w:pPr>
          </w:p>
        </w:tc>
      </w:tr>
      <w:tr w:rsidR="006E4E11" w14:paraId="1C6D295D" w14:textId="77777777" w:rsidTr="00CF08B7">
        <w:trPr>
          <w:trHeight w:val="250"/>
        </w:trPr>
        <w:tc>
          <w:tcPr>
            <w:tcW w:w="5092" w:type="dxa"/>
          </w:tcPr>
          <w:p w14:paraId="6E67BA90" w14:textId="77777777" w:rsidR="006E4E11" w:rsidRDefault="006E4E11">
            <w:pPr>
              <w:pStyle w:val="Avsndare"/>
              <w:framePr w:h="2483" w:wrap="notBeside" w:x="1504"/>
              <w:rPr>
                <w:bCs/>
                <w:iCs/>
              </w:rPr>
            </w:pPr>
          </w:p>
        </w:tc>
      </w:tr>
      <w:tr w:rsidR="006E4E11" w14:paraId="6BE9D63A" w14:textId="77777777" w:rsidTr="00CF08B7">
        <w:trPr>
          <w:trHeight w:val="250"/>
        </w:trPr>
        <w:tc>
          <w:tcPr>
            <w:tcW w:w="5092" w:type="dxa"/>
          </w:tcPr>
          <w:p w14:paraId="22D8A2CA" w14:textId="77777777" w:rsidR="00CF08B7" w:rsidRDefault="00CF08B7">
            <w:pPr>
              <w:pStyle w:val="Avsndare"/>
              <w:framePr w:h="2483" w:wrap="notBeside" w:x="1504"/>
              <w:rPr>
                <w:bCs/>
                <w:iCs/>
              </w:rPr>
            </w:pPr>
          </w:p>
        </w:tc>
      </w:tr>
      <w:tr w:rsidR="006E4E11" w14:paraId="319C24C4" w14:textId="77777777" w:rsidTr="00CF08B7">
        <w:trPr>
          <w:trHeight w:val="250"/>
        </w:trPr>
        <w:tc>
          <w:tcPr>
            <w:tcW w:w="5092" w:type="dxa"/>
          </w:tcPr>
          <w:p w14:paraId="04CC6DC7" w14:textId="3CE28432" w:rsidR="006E4E11" w:rsidRPr="00CF08B7" w:rsidRDefault="006E4E11" w:rsidP="00CF08B7">
            <w:pPr>
              <w:pStyle w:val="Avsndare"/>
              <w:framePr w:h="2483" w:wrap="notBeside" w:x="1504"/>
              <w:rPr>
                <w:rFonts w:ascii="OrigGarmnd BT" w:hAnsi="OrigGarmnd BT"/>
                <w:bCs/>
                <w:i w:val="0"/>
                <w:iCs/>
                <w:sz w:val="22"/>
              </w:rPr>
            </w:pPr>
          </w:p>
        </w:tc>
      </w:tr>
      <w:tr w:rsidR="006E4E11" w14:paraId="501C3DCD" w14:textId="77777777" w:rsidTr="00CF08B7">
        <w:trPr>
          <w:trHeight w:val="250"/>
        </w:trPr>
        <w:tc>
          <w:tcPr>
            <w:tcW w:w="5092" w:type="dxa"/>
          </w:tcPr>
          <w:p w14:paraId="4E3B32E4" w14:textId="77777777" w:rsidR="006E4E11" w:rsidRDefault="006E4E11">
            <w:pPr>
              <w:pStyle w:val="Avsndare"/>
              <w:framePr w:h="2483" w:wrap="notBeside" w:x="1504"/>
              <w:rPr>
                <w:bCs/>
                <w:iCs/>
              </w:rPr>
            </w:pPr>
          </w:p>
        </w:tc>
      </w:tr>
      <w:tr w:rsidR="006E4E11" w14:paraId="368DFE0D" w14:textId="77777777" w:rsidTr="00CF08B7">
        <w:trPr>
          <w:trHeight w:val="250"/>
        </w:trPr>
        <w:tc>
          <w:tcPr>
            <w:tcW w:w="5092" w:type="dxa"/>
          </w:tcPr>
          <w:p w14:paraId="667BCDAB" w14:textId="77777777" w:rsidR="006E4E11" w:rsidRDefault="006E4E11">
            <w:pPr>
              <w:pStyle w:val="Avsndare"/>
              <w:framePr w:h="2483" w:wrap="notBeside" w:x="1504"/>
              <w:rPr>
                <w:bCs/>
                <w:iCs/>
              </w:rPr>
            </w:pPr>
          </w:p>
        </w:tc>
      </w:tr>
      <w:tr w:rsidR="006E4E11" w14:paraId="4BE725D7" w14:textId="77777777" w:rsidTr="00CF08B7">
        <w:trPr>
          <w:trHeight w:val="70"/>
        </w:trPr>
        <w:tc>
          <w:tcPr>
            <w:tcW w:w="5092" w:type="dxa"/>
          </w:tcPr>
          <w:p w14:paraId="005805E7" w14:textId="77777777" w:rsidR="006E4E11" w:rsidRDefault="006E4E11">
            <w:pPr>
              <w:pStyle w:val="Avsndare"/>
              <w:framePr w:h="2483" w:wrap="notBeside" w:x="1504"/>
              <w:rPr>
                <w:bCs/>
                <w:iCs/>
              </w:rPr>
            </w:pPr>
          </w:p>
        </w:tc>
      </w:tr>
    </w:tbl>
    <w:p w14:paraId="7DA3886A" w14:textId="77777777" w:rsidR="006E4E11" w:rsidRDefault="00BF0D46">
      <w:pPr>
        <w:framePr w:w="4400" w:h="2523" w:wrap="notBeside" w:vAnchor="page" w:hAnchor="page" w:x="6453" w:y="2445"/>
        <w:ind w:left="142"/>
      </w:pPr>
      <w:r>
        <w:t>Till riksdagen</w:t>
      </w:r>
    </w:p>
    <w:p w14:paraId="05B53489" w14:textId="77777777" w:rsidR="006E4E11" w:rsidRDefault="00BF0D46" w:rsidP="00BF0D46">
      <w:pPr>
        <w:pStyle w:val="RKrubrik"/>
        <w:pBdr>
          <w:bottom w:val="single" w:sz="4" w:space="1" w:color="auto"/>
        </w:pBdr>
        <w:spacing w:before="0" w:after="0"/>
      </w:pPr>
      <w:r>
        <w:t>Svar på fråga 2015/16:1200 av Maria Malmer Stenergard (M) Dubbel beskattning för pensionssparare</w:t>
      </w:r>
    </w:p>
    <w:p w14:paraId="13AD2026" w14:textId="77777777" w:rsidR="006E4E11" w:rsidRDefault="006E4E11">
      <w:pPr>
        <w:pStyle w:val="RKnormal"/>
      </w:pPr>
    </w:p>
    <w:p w14:paraId="73B70401" w14:textId="77777777" w:rsidR="006E4E11" w:rsidRDefault="00BF0D46" w:rsidP="00E16414">
      <w:pPr>
        <w:pStyle w:val="RKnormal"/>
      </w:pPr>
      <w:r>
        <w:t>Maria Malmer Stenergard har frågat mig vilka åtgärder jag avser att vidta för att skydda de pensionssparare som har kvar autogiron med överföring till pensionssparande, trots att skatteavdraget för privat pensionssparande helt är borttaget.</w:t>
      </w:r>
    </w:p>
    <w:p w14:paraId="4F218F07" w14:textId="77777777" w:rsidR="00BF0D46" w:rsidRDefault="00BF0D46">
      <w:pPr>
        <w:pStyle w:val="RKnormal"/>
      </w:pPr>
    </w:p>
    <w:p w14:paraId="5578D256" w14:textId="77777777" w:rsidR="00BF0D46" w:rsidRDefault="002457C6">
      <w:pPr>
        <w:pStyle w:val="RKnormal"/>
      </w:pPr>
      <w:r>
        <w:t xml:space="preserve">Inom ramen för de regelverk som gäller för banker och försäkringsbolag som tillhandhåller privat pensionssparande finns en skyldighet att informera kunderna om ändringar i lagstiftning </w:t>
      </w:r>
      <w:r w:rsidR="007C19FC">
        <w:t>och annat</w:t>
      </w:r>
      <w:r>
        <w:t xml:space="preserve"> som kan påverka pensionssparandet. Informationsinsatser </w:t>
      </w:r>
      <w:r w:rsidR="000632DA">
        <w:t xml:space="preserve">inför förändringarna </w:t>
      </w:r>
      <w:r>
        <w:t xml:space="preserve">har också gjorts från bolagens sida för att göra pensionssparare medvetna om att avdragsrätten för pensionssparande tagits bort. </w:t>
      </w:r>
      <w:r w:rsidR="007C19FC">
        <w:t xml:space="preserve">Även </w:t>
      </w:r>
      <w:r>
        <w:t xml:space="preserve">Finansinspektionen har varit aktiv i att få banker och försäkringsbolag att säkerställa att pensionssparare nås av </w:t>
      </w:r>
      <w:r w:rsidR="00961C81">
        <w:t>relevant</w:t>
      </w:r>
      <w:r w:rsidR="000632DA">
        <w:t xml:space="preserve"> information</w:t>
      </w:r>
      <w:r w:rsidR="00F113DD">
        <w:t>. Finansinspektionen har dessutom för avsikt att under hösten 2016 genomföra en uppföljning av bolagens informationsinsatser.</w:t>
      </w:r>
    </w:p>
    <w:p w14:paraId="172A226F" w14:textId="77777777" w:rsidR="002457C6" w:rsidRDefault="002457C6">
      <w:pPr>
        <w:pStyle w:val="RKnormal"/>
      </w:pPr>
    </w:p>
    <w:p w14:paraId="0B8E342C" w14:textId="03CFA494" w:rsidR="002457C6" w:rsidRDefault="003C4289">
      <w:pPr>
        <w:pStyle w:val="RKnormal"/>
      </w:pPr>
      <w:r>
        <w:t xml:space="preserve">Även om informationsinsatser är viktiga kommer jag att se över om det finns andra möjligheter att förhindra att pensionssparare </w:t>
      </w:r>
      <w:r w:rsidR="004344EB">
        <w:t>beskattas dubbelt till följd av att autogirosparande numera inte är lik</w:t>
      </w:r>
      <w:r w:rsidR="007E1645">
        <w:t>a</w:t>
      </w:r>
      <w:r w:rsidR="004344EB">
        <w:t xml:space="preserve"> förmånligt som när avdragsrätten infördes.</w:t>
      </w:r>
      <w:r>
        <w:t xml:space="preserve"> Jag har därför </w:t>
      </w:r>
      <w:r w:rsidR="007624FD">
        <w:t>haft ett möte</w:t>
      </w:r>
      <w:r w:rsidR="00F92929">
        <w:t xml:space="preserve"> med</w:t>
      </w:r>
      <w:r w:rsidR="007624FD">
        <w:t xml:space="preserve"> </w:t>
      </w:r>
      <w:r>
        <w:t xml:space="preserve">Bankföreningen för </w:t>
      </w:r>
      <w:r w:rsidR="007624FD">
        <w:t xml:space="preserve">att </w:t>
      </w:r>
      <w:r>
        <w:t xml:space="preserve">diskutera hur autogiroinbetalningar från de sparare som missgynnas kan </w:t>
      </w:r>
      <w:r w:rsidR="00F55FE9">
        <w:t>hanteras</w:t>
      </w:r>
      <w:r>
        <w:t>. Frågan är dock inte så pass enkel att man kan stoppa samtliga autogiroinbetalningar på en gång,</w:t>
      </w:r>
      <w:r w:rsidR="008D7ABE">
        <w:t xml:space="preserve"> bl.a.</w:t>
      </w:r>
      <w:r>
        <w:t xml:space="preserve"> eftersom det kan finnas pensionssparare som är enskilda näringsidkare som skulle missgynnas av att deras autogirobetalningar stoppas. Det kan </w:t>
      </w:r>
      <w:r w:rsidR="00847F48">
        <w:t>inte heller uteslutas att det finns</w:t>
      </w:r>
      <w:r>
        <w:t xml:space="preserve"> </w:t>
      </w:r>
      <w:r w:rsidR="00847F48">
        <w:t>sparare</w:t>
      </w:r>
      <w:r>
        <w:t xml:space="preserve"> som trots slopad avdragsrätt har gynnsamma pensionslösningar och därför vill ha kvar sitt autogirosparande.</w:t>
      </w:r>
      <w:r w:rsidR="008D7ABE">
        <w:t xml:space="preserve"> </w:t>
      </w:r>
      <w:r w:rsidR="008D7ABE" w:rsidRPr="008D7ABE">
        <w:t>Av betydelse är också hur bankernas avtal med de enskilda kunderna är utformade</w:t>
      </w:r>
      <w:r w:rsidR="008D7ABE">
        <w:t>.</w:t>
      </w:r>
    </w:p>
    <w:p w14:paraId="4B610125" w14:textId="77777777" w:rsidR="00D1448C" w:rsidRDefault="00D1448C">
      <w:pPr>
        <w:pStyle w:val="RKnormal"/>
      </w:pPr>
    </w:p>
    <w:p w14:paraId="39D46C35" w14:textId="77777777" w:rsidR="00BF0D46" w:rsidRDefault="00BF0D46">
      <w:pPr>
        <w:pStyle w:val="RKnormal"/>
      </w:pPr>
      <w:r>
        <w:t>Stockholm den 18 maj 2016</w:t>
      </w:r>
    </w:p>
    <w:p w14:paraId="7341DC2C" w14:textId="77777777" w:rsidR="00D1448C" w:rsidRDefault="00D1448C">
      <w:pPr>
        <w:pStyle w:val="RKnormal"/>
      </w:pPr>
      <w:bookmarkStart w:id="0" w:name="_GoBack"/>
      <w:bookmarkEnd w:id="0"/>
    </w:p>
    <w:p w14:paraId="5434F61C" w14:textId="77777777" w:rsidR="00BF0D46" w:rsidRDefault="00BF0D46">
      <w:pPr>
        <w:pStyle w:val="RKnormal"/>
      </w:pPr>
      <w:r>
        <w:t>Per Bolund</w:t>
      </w:r>
    </w:p>
    <w:sectPr w:rsidR="00BF0D4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9AFEA" w14:textId="77777777" w:rsidR="00F56215" w:rsidRDefault="00F56215">
      <w:r>
        <w:separator/>
      </w:r>
    </w:p>
  </w:endnote>
  <w:endnote w:type="continuationSeparator" w:id="0">
    <w:p w14:paraId="34D08583" w14:textId="77777777" w:rsidR="00F56215" w:rsidRDefault="00F5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282BE" w14:textId="77777777" w:rsidR="00F56215" w:rsidRDefault="00F56215">
      <w:r>
        <w:separator/>
      </w:r>
    </w:p>
  </w:footnote>
  <w:footnote w:type="continuationSeparator" w:id="0">
    <w:p w14:paraId="1F4F8027" w14:textId="77777777" w:rsidR="00F56215" w:rsidRDefault="00F56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D31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0442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D53CBF" w14:textId="77777777">
      <w:trPr>
        <w:cantSplit/>
      </w:trPr>
      <w:tc>
        <w:tcPr>
          <w:tcW w:w="3119" w:type="dxa"/>
        </w:tcPr>
        <w:p w14:paraId="4E8475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8A5B18" w14:textId="77777777" w:rsidR="00E80146" w:rsidRDefault="00E80146">
          <w:pPr>
            <w:pStyle w:val="Sidhuvud"/>
            <w:ind w:right="360"/>
          </w:pPr>
        </w:p>
      </w:tc>
      <w:tc>
        <w:tcPr>
          <w:tcW w:w="1525" w:type="dxa"/>
        </w:tcPr>
        <w:p w14:paraId="38D5817C" w14:textId="77777777" w:rsidR="00E80146" w:rsidRDefault="00E80146">
          <w:pPr>
            <w:pStyle w:val="Sidhuvud"/>
            <w:ind w:right="360"/>
          </w:pPr>
        </w:p>
      </w:tc>
    </w:tr>
  </w:tbl>
  <w:p w14:paraId="1C886F4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C6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FC01A3" w14:textId="77777777">
      <w:trPr>
        <w:cantSplit/>
      </w:trPr>
      <w:tc>
        <w:tcPr>
          <w:tcW w:w="3119" w:type="dxa"/>
        </w:tcPr>
        <w:p w14:paraId="5BF5A77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271F0D" w14:textId="77777777" w:rsidR="00E80146" w:rsidRDefault="00E80146">
          <w:pPr>
            <w:pStyle w:val="Sidhuvud"/>
            <w:ind w:right="360"/>
          </w:pPr>
        </w:p>
      </w:tc>
      <w:tc>
        <w:tcPr>
          <w:tcW w:w="1525" w:type="dxa"/>
        </w:tcPr>
        <w:p w14:paraId="49DF4237" w14:textId="77777777" w:rsidR="00E80146" w:rsidRDefault="00E80146">
          <w:pPr>
            <w:pStyle w:val="Sidhuvud"/>
            <w:ind w:right="360"/>
          </w:pPr>
        </w:p>
      </w:tc>
    </w:tr>
  </w:tbl>
  <w:p w14:paraId="22D792E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7F8E7" w14:textId="77777777" w:rsidR="00BF0D46" w:rsidRDefault="00324E4B">
    <w:pPr>
      <w:framePr w:w="2948" w:h="1321" w:hRule="exact" w:wrap="notBeside" w:vAnchor="page" w:hAnchor="page" w:x="1362" w:y="653"/>
    </w:pPr>
    <w:r>
      <w:rPr>
        <w:noProof/>
        <w:lang w:eastAsia="sv-SE"/>
      </w:rPr>
      <w:drawing>
        <wp:inline distT="0" distB="0" distL="0" distR="0" wp14:anchorId="24B427F0" wp14:editId="2E6CE77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D4A170" w14:textId="77777777" w:rsidR="00E80146" w:rsidRDefault="00E80146">
    <w:pPr>
      <w:pStyle w:val="RKrubrik"/>
      <w:keepNext w:val="0"/>
      <w:tabs>
        <w:tab w:val="clear" w:pos="1134"/>
        <w:tab w:val="clear" w:pos="2835"/>
      </w:tabs>
      <w:spacing w:before="0" w:after="0" w:line="320" w:lineRule="atLeast"/>
      <w:rPr>
        <w:bCs/>
      </w:rPr>
    </w:pPr>
  </w:p>
  <w:p w14:paraId="404238B4" w14:textId="77777777" w:rsidR="00E80146" w:rsidRDefault="00E80146">
    <w:pPr>
      <w:rPr>
        <w:rFonts w:ascii="TradeGothic" w:hAnsi="TradeGothic"/>
        <w:b/>
        <w:bCs/>
        <w:spacing w:val="12"/>
        <w:sz w:val="22"/>
      </w:rPr>
    </w:pPr>
  </w:p>
  <w:p w14:paraId="47862443" w14:textId="77777777" w:rsidR="00E80146" w:rsidRDefault="00E80146">
    <w:pPr>
      <w:pStyle w:val="RKrubrik"/>
      <w:keepNext w:val="0"/>
      <w:tabs>
        <w:tab w:val="clear" w:pos="1134"/>
        <w:tab w:val="clear" w:pos="2835"/>
      </w:tabs>
      <w:spacing w:before="0" w:after="0" w:line="320" w:lineRule="atLeast"/>
      <w:rPr>
        <w:bCs/>
      </w:rPr>
    </w:pPr>
  </w:p>
  <w:p w14:paraId="0029F42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D46"/>
    <w:rsid w:val="000422E3"/>
    <w:rsid w:val="000468C0"/>
    <w:rsid w:val="000632DA"/>
    <w:rsid w:val="000F008F"/>
    <w:rsid w:val="00150384"/>
    <w:rsid w:val="00160901"/>
    <w:rsid w:val="001805B7"/>
    <w:rsid w:val="001D0DB6"/>
    <w:rsid w:val="002457C6"/>
    <w:rsid w:val="00324E4B"/>
    <w:rsid w:val="00367B1C"/>
    <w:rsid w:val="003C195A"/>
    <w:rsid w:val="003C4289"/>
    <w:rsid w:val="004344EB"/>
    <w:rsid w:val="004459E0"/>
    <w:rsid w:val="004A328D"/>
    <w:rsid w:val="0058762B"/>
    <w:rsid w:val="006E4E11"/>
    <w:rsid w:val="007242A3"/>
    <w:rsid w:val="007624FD"/>
    <w:rsid w:val="00771119"/>
    <w:rsid w:val="007A6855"/>
    <w:rsid w:val="007C19FC"/>
    <w:rsid w:val="007E1645"/>
    <w:rsid w:val="007F2A61"/>
    <w:rsid w:val="00847F48"/>
    <w:rsid w:val="00850C9F"/>
    <w:rsid w:val="00866DEB"/>
    <w:rsid w:val="008D7ABE"/>
    <w:rsid w:val="0092027A"/>
    <w:rsid w:val="00955E31"/>
    <w:rsid w:val="00961C81"/>
    <w:rsid w:val="00992E72"/>
    <w:rsid w:val="00A0783D"/>
    <w:rsid w:val="00AD4297"/>
    <w:rsid w:val="00AF26D1"/>
    <w:rsid w:val="00B45C55"/>
    <w:rsid w:val="00B53B32"/>
    <w:rsid w:val="00B73805"/>
    <w:rsid w:val="00BA6FAE"/>
    <w:rsid w:val="00BF0D46"/>
    <w:rsid w:val="00C04424"/>
    <w:rsid w:val="00CF08B7"/>
    <w:rsid w:val="00D133D7"/>
    <w:rsid w:val="00D1448C"/>
    <w:rsid w:val="00E16414"/>
    <w:rsid w:val="00E77048"/>
    <w:rsid w:val="00E80146"/>
    <w:rsid w:val="00E904D0"/>
    <w:rsid w:val="00EC25F9"/>
    <w:rsid w:val="00ED583F"/>
    <w:rsid w:val="00F113DD"/>
    <w:rsid w:val="00F55FE9"/>
    <w:rsid w:val="00F56215"/>
    <w:rsid w:val="00F6002B"/>
    <w:rsid w:val="00F92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3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4E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4E4B"/>
    <w:rPr>
      <w:rFonts w:ascii="Tahoma" w:hAnsi="Tahoma" w:cs="Tahoma"/>
      <w:sz w:val="16"/>
      <w:szCs w:val="16"/>
      <w:lang w:eastAsia="en-US"/>
    </w:rPr>
  </w:style>
  <w:style w:type="character" w:styleId="Hyperlnk">
    <w:name w:val="Hyperlink"/>
    <w:basedOn w:val="Standardstycketeckensnitt"/>
    <w:uiPriority w:val="99"/>
    <w:unhideWhenUsed/>
    <w:rsid w:val="001D0D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4E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4E4B"/>
    <w:rPr>
      <w:rFonts w:ascii="Tahoma" w:hAnsi="Tahoma" w:cs="Tahoma"/>
      <w:sz w:val="16"/>
      <w:szCs w:val="16"/>
      <w:lang w:eastAsia="en-US"/>
    </w:rPr>
  </w:style>
  <w:style w:type="character" w:styleId="Hyperlnk">
    <w:name w:val="Hyperlink"/>
    <w:basedOn w:val="Standardstycketeckensnitt"/>
    <w:uiPriority w:val="99"/>
    <w:unhideWhenUsed/>
    <w:rsid w:val="001D0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a7aa26db-f27c-4956-a2f4-5c2e62f15005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CB0D3A6475175469898707C5179CC88" ma:contentTypeVersion="7" ma:contentTypeDescription="Skapa ett nytt dokument." ma:contentTypeScope="" ma:versionID="5b2aa9282f17a0eb007e6934e50ccaf0">
  <xsd:schema xmlns:xsd="http://www.w3.org/2001/XMLSchema" xmlns:xs="http://www.w3.org/2001/XMLSchema" xmlns:p="http://schemas.microsoft.com/office/2006/metadata/properties" xmlns:ns2="5c3b79e5-9ea1-4b5f-a7a1-ed17402d182e" targetNamespace="http://schemas.microsoft.com/office/2006/metadata/properties" ma:root="true" ma:fieldsID="13cee50eb780966d59985da48d95508f" ns2:_="">
    <xsd:import namespace="5c3b79e5-9ea1-4b5f-a7a1-ed17402d182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b79e5-9ea1-4b5f-a7a1-ed17402d182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3f9a35b6-903e-43a8-8046-cc365d56ec76}" ma:internalName="TaxCatchAll" ma:showField="CatchAllData" ma:web="5c3b79e5-9ea1-4b5f-a7a1-ed17402d18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3f9a35b6-903e-43a8-8046-cc365d56ec76}" ma:internalName="TaxCatchAllLabel" ma:readOnly="true" ma:showField="CatchAllDataLabel" ma:web="5c3b79e5-9ea1-4b5f-a7a1-ed17402d182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5c3b79e5-9ea1-4b5f-a7a1-ed17402d182e">
      <Terms xmlns="http://schemas.microsoft.com/office/infopath/2007/PartnerControls"/>
    </k46d94c0acf84ab9a79866a9d8b1905f>
    <Nyckelord xmlns="5c3b79e5-9ea1-4b5f-a7a1-ed17402d182e" xsi:nil="true"/>
    <c9cd366cc722410295b9eacffbd73909 xmlns="5c3b79e5-9ea1-4b5f-a7a1-ed17402d182e">
      <Terms xmlns="http://schemas.microsoft.com/office/infopath/2007/PartnerControls"/>
    </c9cd366cc722410295b9eacffbd73909>
    <Sekretess xmlns="5c3b79e5-9ea1-4b5f-a7a1-ed17402d182e" xsi:nil="true"/>
    <Diarienummer xmlns="5c3b79e5-9ea1-4b5f-a7a1-ed17402d182e" xsi:nil="true"/>
    <TaxCatchAll xmlns="5c3b79e5-9ea1-4b5f-a7a1-ed17402d182e"/>
    <_dlc_DocId xmlns="5c3b79e5-9ea1-4b5f-a7a1-ed17402d182e">3WWU6FJSUSMN-5-352</_dlc_DocId>
    <_dlc_DocIdUrl xmlns="5c3b79e5-9ea1-4b5f-a7a1-ed17402d182e">
      <Url>http://rkdhs-fi/enhet/fma_fpm/_layouts/DocIdRedir.aspx?ID=3WWU6FJSUSMN-5-352</Url>
      <Description>3WWU6FJSUSMN-5-352</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49ABEDE0-80DC-42A1-8019-88D9C0C34716}"/>
</file>

<file path=customXml/itemProps2.xml><?xml version="1.0" encoding="utf-8"?>
<ds:datastoreItem xmlns:ds="http://schemas.openxmlformats.org/officeDocument/2006/customXml" ds:itemID="{3150C6F4-3939-4238-BC47-EDF879472E4A}"/>
</file>

<file path=customXml/itemProps3.xml><?xml version="1.0" encoding="utf-8"?>
<ds:datastoreItem xmlns:ds="http://schemas.openxmlformats.org/officeDocument/2006/customXml" ds:itemID="{929FE104-776C-4490-822C-8B553CE825A0}"/>
</file>

<file path=customXml/itemProps4.xml><?xml version="1.0" encoding="utf-8"?>
<ds:datastoreItem xmlns:ds="http://schemas.openxmlformats.org/officeDocument/2006/customXml" ds:itemID="{1B0B6C03-C730-4B35-B487-352F9B314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b79e5-9ea1-4b5f-a7a1-ed17402d1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50C6F4-3939-4238-BC47-EDF879472E4A}">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5c3b79e5-9ea1-4b5f-a7a1-ed17402d182e"/>
    <ds:schemaRef ds:uri="http://purl.org/dc/elements/1.1/"/>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61165AC6-7FD7-42F7-A355-6E6828521D4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1757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Arvidsson Boij</dc:creator>
  <cp:lastModifiedBy>Dan Arvidsson Boij</cp:lastModifiedBy>
  <cp:revision>14</cp:revision>
  <cp:lastPrinted>2016-05-17T06:52:00Z</cp:lastPrinted>
  <dcterms:created xsi:type="dcterms:W3CDTF">2016-05-17T06:25:00Z</dcterms:created>
  <dcterms:modified xsi:type="dcterms:W3CDTF">2016-05-17T13:52:00Z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b24679eb-2df1-4661-aa8d-6b632b31f7f7</vt:lpwstr>
  </property>
</Properties>
</file>