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38DD" w14:paraId="64238B6A" w14:textId="77777777">
        <w:tblPrEx>
          <w:tblCellMar>
            <w:top w:w="0" w:type="dxa"/>
            <w:bottom w:w="0" w:type="dxa"/>
          </w:tblCellMar>
        </w:tblPrEx>
        <w:trPr>
          <w:cantSplit/>
          <w:trHeight w:val="1720"/>
        </w:trPr>
        <w:tc>
          <w:tcPr>
            <w:tcW w:w="6024" w:type="dxa"/>
            <w:gridSpan w:val="2"/>
          </w:tcPr>
          <w:p w14:paraId="348FC5D8" w14:textId="77777777" w:rsidR="0048679D" w:rsidRPr="00A538DD" w:rsidRDefault="0048679D">
            <w:pPr>
              <w:pStyle w:val="HuvudRubrik"/>
            </w:pPr>
            <w:r w:rsidRPr="00A538DD">
              <w:t>Framställning till riksdagen</w:t>
            </w:r>
          </w:p>
          <w:p w14:paraId="0AA5CDF5" w14:textId="77777777" w:rsidR="0048679D" w:rsidRPr="00A538DD" w:rsidRDefault="0048679D">
            <w:pPr>
              <w:pStyle w:val="HuvudRubrikRad2"/>
            </w:pPr>
            <w:bookmarkStart w:id="0" w:name="BetänkandeNr"/>
            <w:bookmarkEnd w:id="0"/>
            <w:r w:rsidRPr="00A538DD">
              <w:t>2004/05:RB1</w:t>
            </w:r>
          </w:p>
        </w:tc>
        <w:tc>
          <w:tcPr>
            <w:tcW w:w="1418" w:type="dxa"/>
            <w:tcBorders>
              <w:bottom w:val="nil"/>
            </w:tcBorders>
          </w:tcPr>
          <w:p w14:paraId="15DAE55B" w14:textId="706DF08B" w:rsidR="0048679D" w:rsidRPr="00A538DD" w:rsidRDefault="00A538DD">
            <w:pPr>
              <w:spacing w:line="230" w:lineRule="auto"/>
              <w:jc w:val="center"/>
            </w:pPr>
            <w:r w:rsidRPr="00A538DD">
              <w:rPr>
                <w:noProof/>
              </w:rPr>
              <w:drawing>
                <wp:inline distT="0" distB="0" distL="0" distR="0" wp14:anchorId="14E18B6B" wp14:editId="6E2083D2">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14:paraId="099D9420" w14:textId="77777777" w:rsidR="0048679D" w:rsidRPr="00A538DD" w:rsidRDefault="0048679D">
            <w:pPr>
              <w:pStyle w:val="Normaltindrag"/>
              <w:jc w:val="center"/>
            </w:pPr>
          </w:p>
          <w:p w14:paraId="7D484EB6" w14:textId="77777777" w:rsidR="0048679D" w:rsidRPr="00A538DD" w:rsidRDefault="0048679D">
            <w:pPr>
              <w:pStyle w:val="StatusSida1"/>
            </w:pPr>
          </w:p>
          <w:p w14:paraId="5A009A12" w14:textId="77777777" w:rsidR="0048679D" w:rsidRPr="00A538DD" w:rsidRDefault="0048679D">
            <w:pPr>
              <w:pStyle w:val="UtskriftsdatumSida1"/>
              <w:framePr w:wrap="around"/>
            </w:pPr>
          </w:p>
        </w:tc>
      </w:tr>
      <w:tr w:rsidR="00000000" w:rsidRPr="00A538DD" w14:paraId="796BFEC6" w14:textId="77777777">
        <w:tblPrEx>
          <w:tblCellMar>
            <w:top w:w="0" w:type="dxa"/>
            <w:bottom w:w="0" w:type="dxa"/>
          </w:tblCellMar>
        </w:tblPrEx>
        <w:trPr>
          <w:cantSplit/>
        </w:trPr>
        <w:tc>
          <w:tcPr>
            <w:tcW w:w="6024" w:type="dxa"/>
            <w:gridSpan w:val="2"/>
            <w:tcBorders>
              <w:bottom w:val="single" w:sz="4" w:space="0" w:color="auto"/>
            </w:tcBorders>
          </w:tcPr>
          <w:p w14:paraId="42A84A68" w14:textId="77777777" w:rsidR="0048679D" w:rsidRPr="00A538DD" w:rsidRDefault="0048679D">
            <w:pPr>
              <w:pStyle w:val="DokumentRubrik"/>
              <w:rPr>
                <w:noProof w:val="0"/>
              </w:rPr>
            </w:pPr>
            <w:bookmarkStart w:id="1" w:name="Huvudrubrik"/>
            <w:bookmarkEnd w:id="1"/>
            <w:r w:rsidRPr="00A538DD">
              <w:rPr>
                <w:noProof w:val="0"/>
              </w:rPr>
              <w:t>Årsredovisningen för Sveriges riksbank för räkenskapsåret 2004</w:t>
            </w:r>
          </w:p>
        </w:tc>
        <w:tc>
          <w:tcPr>
            <w:tcW w:w="1418" w:type="dxa"/>
            <w:tcBorders>
              <w:bottom w:val="nil"/>
            </w:tcBorders>
          </w:tcPr>
          <w:p w14:paraId="4D3B5D02" w14:textId="77777777" w:rsidR="0048679D" w:rsidRPr="00A538DD" w:rsidRDefault="0048679D"/>
        </w:tc>
      </w:tr>
      <w:tr w:rsidR="00000000" w:rsidRPr="00A538DD" w14:paraId="31476CE0" w14:textId="77777777">
        <w:tblPrEx>
          <w:tblCellMar>
            <w:top w:w="0" w:type="dxa"/>
            <w:bottom w:w="0" w:type="dxa"/>
          </w:tblCellMar>
        </w:tblPrEx>
        <w:trPr>
          <w:cantSplit/>
          <w:trHeight w:hRule="exact" w:val="360"/>
        </w:trPr>
        <w:tc>
          <w:tcPr>
            <w:tcW w:w="3012" w:type="dxa"/>
          </w:tcPr>
          <w:p w14:paraId="3F19E518" w14:textId="77777777" w:rsidR="0048679D" w:rsidRPr="00A538DD" w:rsidRDefault="0048679D"/>
        </w:tc>
        <w:tc>
          <w:tcPr>
            <w:tcW w:w="3012" w:type="dxa"/>
          </w:tcPr>
          <w:p w14:paraId="5F76AA99" w14:textId="77777777" w:rsidR="0048679D" w:rsidRPr="00A538DD" w:rsidRDefault="0048679D"/>
        </w:tc>
        <w:tc>
          <w:tcPr>
            <w:tcW w:w="1418" w:type="dxa"/>
          </w:tcPr>
          <w:p w14:paraId="667BAA76" w14:textId="77777777" w:rsidR="0048679D" w:rsidRPr="00A538DD" w:rsidRDefault="0048679D"/>
        </w:tc>
      </w:tr>
    </w:tbl>
    <w:p w14:paraId="1C289875" w14:textId="77777777" w:rsidR="0048679D" w:rsidRPr="00A538DD" w:rsidRDefault="0048679D"/>
    <w:p w14:paraId="5C6D7421" w14:textId="77777777" w:rsidR="0048679D" w:rsidRPr="00A538DD" w:rsidRDefault="0048679D">
      <w:pPr>
        <w:pStyle w:val="R1"/>
        <w:spacing w:after="120"/>
      </w:pPr>
      <w:r w:rsidRPr="00A538DD">
        <w:t>Sammanfattning</w:t>
      </w:r>
    </w:p>
    <w:p w14:paraId="6E0CF598" w14:textId="77777777" w:rsidR="0048679D" w:rsidRPr="00A538DD" w:rsidRDefault="0048679D">
      <w:pPr>
        <w:spacing w:before="187"/>
      </w:pPr>
      <w:bookmarkStart w:id="2" w:name="TextStart"/>
      <w:bookmarkEnd w:id="2"/>
      <w:r w:rsidRPr="00A538DD">
        <w:t>Enligt 10 kap. 3 § lagen (1988:1385) om Sveriges riksbank lämnar Riksba</w:t>
      </w:r>
      <w:r w:rsidRPr="00A538DD">
        <w:t>n</w:t>
      </w:r>
      <w:r w:rsidRPr="00A538DD">
        <w:t>k</w:t>
      </w:r>
      <w:r w:rsidRPr="00A538DD">
        <w:softHyphen/>
        <w:t>ens direktion denna redovisning för Riksbankens verksamhet under 2004. Redovisning lämnas enligt samma lagrum till riksdagen, Riksrevisionen och riksbanksfullmäktige.</w:t>
      </w:r>
    </w:p>
    <w:p w14:paraId="0236BFBC" w14:textId="77777777" w:rsidR="0048679D" w:rsidRPr="00A538DD" w:rsidRDefault="0048679D">
      <w:pPr>
        <w:spacing w:before="187"/>
        <w:rPr>
          <w:i/>
        </w:rPr>
      </w:pPr>
      <w:r w:rsidRPr="00A538DD">
        <w:rPr>
          <w:i/>
        </w:rPr>
        <w:t>Direktionen föreslår</w:t>
      </w:r>
    </w:p>
    <w:p w14:paraId="096637FD" w14:textId="77777777" w:rsidR="0048679D" w:rsidRPr="00A538DD" w:rsidRDefault="0048679D">
      <w:r w:rsidRPr="00A538DD">
        <w:t>att riksdagen fastställer Riksbankens resultaträkning och balansräkning enligt förslaget.</w:t>
      </w:r>
    </w:p>
    <w:p w14:paraId="317E8A3A" w14:textId="77777777" w:rsidR="0048679D" w:rsidRPr="00A538DD" w:rsidRDefault="0048679D"/>
    <w:p w14:paraId="5E89AF12" w14:textId="77777777" w:rsidR="0048679D" w:rsidRPr="00A538DD" w:rsidRDefault="0048679D">
      <w:r w:rsidRPr="00A538DD">
        <w:t>Stockholm den 10 februari 2005</w:t>
      </w:r>
    </w:p>
    <w:p w14:paraId="630E3897" w14:textId="77777777" w:rsidR="0048679D" w:rsidRPr="00A538DD" w:rsidRDefault="0048679D"/>
    <w:p w14:paraId="339DE25B" w14:textId="77777777" w:rsidR="0048679D" w:rsidRPr="00A538DD" w:rsidRDefault="0048679D">
      <w:r w:rsidRPr="00A538DD">
        <w:t>På direktionens vägnar</w:t>
      </w:r>
    </w:p>
    <w:p w14:paraId="4B018D4E" w14:textId="77777777" w:rsidR="0048679D" w:rsidRPr="00A538DD" w:rsidRDefault="0048679D"/>
    <w:p w14:paraId="1596D7C8" w14:textId="77777777" w:rsidR="0048679D" w:rsidRPr="00A538DD" w:rsidRDefault="0048679D"/>
    <w:p w14:paraId="56E0E374" w14:textId="77777777" w:rsidR="0048679D" w:rsidRPr="00A538DD" w:rsidRDefault="0048679D">
      <w:pPr>
        <w:rPr>
          <w:i/>
        </w:rPr>
      </w:pPr>
      <w:r w:rsidRPr="00A538DD">
        <w:rPr>
          <w:i/>
        </w:rPr>
        <w:t>LARS HEIKENSTEN</w:t>
      </w:r>
    </w:p>
    <w:p w14:paraId="0C82C424" w14:textId="77777777" w:rsidR="0048679D" w:rsidRPr="00A538DD" w:rsidRDefault="0048679D">
      <w:pPr>
        <w:rPr>
          <w:i/>
        </w:rPr>
      </w:pPr>
      <w:r w:rsidRPr="00A538DD">
        <w:rPr>
          <w:i/>
        </w:rPr>
        <w:tab/>
      </w:r>
      <w:r w:rsidRPr="00A538DD">
        <w:rPr>
          <w:i/>
        </w:rPr>
        <w:tab/>
      </w:r>
      <w:r w:rsidRPr="00A538DD">
        <w:rPr>
          <w:i/>
        </w:rPr>
        <w:tab/>
        <w:t>/Kerstin Alm</w:t>
      </w:r>
    </w:p>
    <w:p w14:paraId="0FAB5B3E" w14:textId="77777777" w:rsidR="0048679D" w:rsidRPr="00A538DD" w:rsidRDefault="0048679D"/>
    <w:p w14:paraId="3BD81BE9" w14:textId="77777777" w:rsidR="0048679D" w:rsidRPr="00A538DD" w:rsidRDefault="0048679D"/>
    <w:p w14:paraId="6CB390EF" w14:textId="77777777" w:rsidR="0048679D" w:rsidRPr="00A538DD" w:rsidRDefault="0048679D">
      <w:r w:rsidRPr="00A538DD">
        <w:t>I beslutet har deltagit Lars Heikensten (ordförande), Eva Srejber (förste vice ordförande), Villy Bergström, Lars Nyberg, Kristina Persson och Irma R</w:t>
      </w:r>
      <w:r w:rsidRPr="00A538DD">
        <w:t>o</w:t>
      </w:r>
      <w:r w:rsidRPr="00A538DD">
        <w:t>senberg.</w:t>
      </w:r>
    </w:p>
    <w:p w14:paraId="3FCC121E" w14:textId="77777777" w:rsidR="0048679D" w:rsidRPr="00A538DD" w:rsidRDefault="0048679D"/>
    <w:p w14:paraId="12DFD4F4" w14:textId="77777777" w:rsidR="0048679D" w:rsidRPr="00A538DD" w:rsidRDefault="0048679D">
      <w:r w:rsidRPr="00A538DD">
        <w:t>Föredragande har varit Mats Galvenius.</w:t>
      </w:r>
    </w:p>
    <w:p w14:paraId="2FF95621" w14:textId="77777777" w:rsidR="0048679D" w:rsidRPr="00A538DD" w:rsidRDefault="0048679D"/>
    <w:p w14:paraId="0B6A0064" w14:textId="77777777" w:rsidR="0048679D" w:rsidRPr="00A538DD" w:rsidRDefault="0048679D">
      <w:pPr>
        <w:pStyle w:val="Normaltindrag"/>
      </w:pPr>
    </w:p>
    <w:p w14:paraId="7C9DABFB" w14:textId="77777777" w:rsidR="0048679D" w:rsidRPr="00A538DD" w:rsidRDefault="0048679D">
      <w:pPr>
        <w:pStyle w:val="Normaltindrag"/>
        <w:sectPr w:rsidR="00000000" w:rsidRPr="00A538DD">
          <w:headerReference w:type="even" r:id="rId8"/>
          <w:headerReference w:type="default" r:id="rId9"/>
          <w:footerReference w:type="even" r:id="rId10"/>
          <w:footerReference w:type="default" r:id="rId11"/>
          <w:headerReference w:type="first" r:id="rId12"/>
          <w:footerReference w:type="first" r:id="rId13"/>
          <w:pgSz w:w="11906" w:h="16838" w:code="9"/>
          <w:pgMar w:top="1134" w:right="4649" w:bottom="3941" w:left="1304" w:header="340" w:footer="227" w:gutter="0"/>
          <w:cols w:space="720"/>
          <w:titlePg/>
        </w:sectPr>
      </w:pPr>
    </w:p>
    <w:p w14:paraId="47DBAA1A" w14:textId="77777777" w:rsidR="0048679D" w:rsidRPr="00A538DD" w:rsidRDefault="0048679D">
      <w:pPr>
        <w:pStyle w:val="Rubrik1"/>
        <w:rPr>
          <w:noProof w:val="0"/>
        </w:rPr>
      </w:pPr>
      <w:bookmarkStart w:id="3" w:name="_Toc97613747"/>
      <w:r w:rsidRPr="00A538DD">
        <w:rPr>
          <w:noProof w:val="0"/>
        </w:rPr>
        <w:lastRenderedPageBreak/>
        <w:t>Innehållsförteckning</w:t>
      </w:r>
      <w:bookmarkEnd w:id="3"/>
    </w:p>
    <w:p w14:paraId="51199344" w14:textId="77777777" w:rsidR="0048679D" w:rsidRPr="00A538DD" w:rsidRDefault="0048679D">
      <w:pPr>
        <w:pStyle w:val="Innehll1"/>
      </w:pPr>
      <w:r w:rsidRPr="00A538DD">
        <w:t>Innehållsförteckning</w:t>
      </w:r>
      <w:r w:rsidRPr="00A538DD">
        <w:tab/>
        <w:t>2</w:t>
      </w:r>
    </w:p>
    <w:p w14:paraId="5D338027" w14:textId="77777777" w:rsidR="0048679D" w:rsidRPr="00A538DD" w:rsidRDefault="0048679D">
      <w:pPr>
        <w:pStyle w:val="Innehll1"/>
      </w:pPr>
      <w:r w:rsidRPr="00A538DD">
        <w:t>Inledning</w:t>
      </w:r>
      <w:r w:rsidRPr="00A538DD">
        <w:tab/>
        <w:t>3</w:t>
      </w:r>
    </w:p>
    <w:p w14:paraId="1BC839F4" w14:textId="77777777" w:rsidR="0048679D" w:rsidRPr="00A538DD" w:rsidRDefault="0048679D">
      <w:pPr>
        <w:pStyle w:val="Innehll1"/>
      </w:pPr>
      <w:r w:rsidRPr="00A538DD">
        <w:t>Året i korthet</w:t>
      </w:r>
      <w:r w:rsidRPr="00A538DD">
        <w:tab/>
        <w:t>3</w:t>
      </w:r>
    </w:p>
    <w:p w14:paraId="6B63FAB0" w14:textId="77777777" w:rsidR="0048679D" w:rsidRPr="00A538DD" w:rsidRDefault="0048679D">
      <w:pPr>
        <w:pStyle w:val="Innehll1"/>
      </w:pPr>
      <w:r w:rsidRPr="00A538DD">
        <w:t>Året i siffror</w:t>
      </w:r>
      <w:r w:rsidRPr="00A538DD">
        <w:tab/>
        <w:t>4</w:t>
      </w:r>
    </w:p>
    <w:p w14:paraId="759522DA" w14:textId="77777777" w:rsidR="0048679D" w:rsidRPr="00A538DD" w:rsidRDefault="0048679D">
      <w:pPr>
        <w:pStyle w:val="Innehll1"/>
      </w:pPr>
      <w:r w:rsidRPr="00A538DD">
        <w:t>Riksbankschefens kommentar</w:t>
      </w:r>
      <w:r w:rsidRPr="00A538DD">
        <w:tab/>
        <w:t>5</w:t>
      </w:r>
    </w:p>
    <w:p w14:paraId="7566FB34" w14:textId="77777777" w:rsidR="0048679D" w:rsidRPr="00A538DD" w:rsidRDefault="0048679D">
      <w:pPr>
        <w:pStyle w:val="Innehll1"/>
      </w:pPr>
      <w:r w:rsidRPr="00A538DD">
        <w:t>FÖRVALTNINGSBERÄTTELSE</w:t>
      </w:r>
      <w:r w:rsidRPr="00A538DD">
        <w:tab/>
        <w:t>8</w:t>
      </w:r>
    </w:p>
    <w:p w14:paraId="0ABFFD65" w14:textId="77777777" w:rsidR="0048679D" w:rsidRPr="00A538DD" w:rsidRDefault="0048679D">
      <w:pPr>
        <w:pStyle w:val="Innehll1"/>
      </w:pPr>
      <w:r w:rsidRPr="00A538DD">
        <w:t>Riksbankens uppgifter och roll</w:t>
      </w:r>
      <w:r w:rsidRPr="00A538DD">
        <w:tab/>
        <w:t>8</w:t>
      </w:r>
    </w:p>
    <w:p w14:paraId="0268B6C7" w14:textId="77777777" w:rsidR="0048679D" w:rsidRPr="00A538DD" w:rsidRDefault="0048679D">
      <w:pPr>
        <w:pStyle w:val="Innehll1"/>
      </w:pPr>
      <w:r w:rsidRPr="00A538DD">
        <w:t>Ett fast penningsvärde – prisstabilitet</w:t>
      </w:r>
      <w:r w:rsidRPr="00A538DD">
        <w:tab/>
        <w:t>10</w:t>
      </w:r>
    </w:p>
    <w:p w14:paraId="0638B4C8" w14:textId="77777777" w:rsidR="0048679D" w:rsidRPr="00A538DD" w:rsidRDefault="0048679D">
      <w:pPr>
        <w:pStyle w:val="Innehll1"/>
      </w:pPr>
      <w:r w:rsidRPr="00A538DD">
        <w:t>Ett säkert och effektivt betalningsväsende – finansiell stabilitet</w:t>
      </w:r>
      <w:r w:rsidRPr="00A538DD">
        <w:tab/>
        <w:t>30</w:t>
      </w:r>
    </w:p>
    <w:p w14:paraId="487C10E2" w14:textId="77777777" w:rsidR="0048679D" w:rsidRPr="00A538DD" w:rsidRDefault="0048679D">
      <w:pPr>
        <w:pStyle w:val="Innehll1"/>
      </w:pPr>
      <w:r w:rsidRPr="00A538DD">
        <w:t>Finansiell struktur, förvaltning och riskhantering</w:t>
      </w:r>
      <w:r w:rsidRPr="00A538DD">
        <w:tab/>
        <w:t>42</w:t>
      </w:r>
    </w:p>
    <w:p w14:paraId="5AA08FB9" w14:textId="77777777" w:rsidR="0048679D" w:rsidRPr="00A538DD" w:rsidRDefault="0048679D">
      <w:pPr>
        <w:pStyle w:val="Innehll1"/>
      </w:pPr>
      <w:r w:rsidRPr="00A538DD">
        <w:t>Organisation</w:t>
      </w:r>
      <w:r w:rsidRPr="00A538DD">
        <w:tab/>
        <w:t>48</w:t>
      </w:r>
    </w:p>
    <w:p w14:paraId="5CB690C2" w14:textId="77777777" w:rsidR="0048679D" w:rsidRPr="00A538DD" w:rsidRDefault="0048679D">
      <w:pPr>
        <w:pStyle w:val="Innehll1"/>
      </w:pPr>
      <w:r w:rsidRPr="00A538DD">
        <w:t>Riksbankens bolag</w:t>
      </w:r>
      <w:r w:rsidRPr="00A538DD">
        <w:tab/>
        <w:t>59</w:t>
      </w:r>
    </w:p>
    <w:p w14:paraId="62DC5989" w14:textId="77777777" w:rsidR="0048679D" w:rsidRPr="00A538DD" w:rsidRDefault="0048679D">
      <w:pPr>
        <w:pStyle w:val="Innehll1"/>
      </w:pPr>
      <w:r w:rsidRPr="00A538DD">
        <w:t>Balansräkning och resultaträkning</w:t>
      </w:r>
      <w:r w:rsidRPr="00A538DD">
        <w:tab/>
        <w:t>61</w:t>
      </w:r>
    </w:p>
    <w:p w14:paraId="3A63CEA9" w14:textId="77777777" w:rsidR="0048679D" w:rsidRPr="00A538DD" w:rsidRDefault="0048679D">
      <w:pPr>
        <w:pStyle w:val="Innehll2"/>
      </w:pPr>
      <w:r w:rsidRPr="00A538DD">
        <w:t>Redovisningsprinciper</w:t>
      </w:r>
      <w:r w:rsidRPr="00A538DD">
        <w:tab/>
        <w:t>61</w:t>
      </w:r>
    </w:p>
    <w:p w14:paraId="21FC06D5" w14:textId="77777777" w:rsidR="0048679D" w:rsidRPr="00A538DD" w:rsidRDefault="0048679D">
      <w:pPr>
        <w:pStyle w:val="Innehll2"/>
      </w:pPr>
      <w:r w:rsidRPr="00A538DD">
        <w:t>Balansräkning</w:t>
      </w:r>
      <w:r w:rsidRPr="00A538DD">
        <w:tab/>
        <w:t>65</w:t>
      </w:r>
    </w:p>
    <w:p w14:paraId="5C9EE042" w14:textId="77777777" w:rsidR="0048679D" w:rsidRPr="00A538DD" w:rsidRDefault="0048679D">
      <w:pPr>
        <w:pStyle w:val="Innehll2"/>
      </w:pPr>
      <w:r w:rsidRPr="00A538DD">
        <w:t>Resultaträkning</w:t>
      </w:r>
      <w:r w:rsidRPr="00A538DD">
        <w:tab/>
        <w:t>67</w:t>
      </w:r>
    </w:p>
    <w:p w14:paraId="560E3DBC" w14:textId="77777777" w:rsidR="0048679D" w:rsidRPr="00A538DD" w:rsidRDefault="0048679D">
      <w:pPr>
        <w:pStyle w:val="Innehll2"/>
      </w:pPr>
      <w:r w:rsidRPr="00A538DD">
        <w:t>Noter</w:t>
      </w:r>
      <w:r w:rsidRPr="00A538DD">
        <w:tab/>
        <w:t>68</w:t>
      </w:r>
    </w:p>
    <w:p w14:paraId="7B633580" w14:textId="77777777" w:rsidR="0048679D" w:rsidRPr="00A538DD" w:rsidRDefault="0048679D">
      <w:pPr>
        <w:pStyle w:val="Innehll2"/>
      </w:pPr>
      <w:r w:rsidRPr="00A538DD">
        <w:t>Femårsöversikt</w:t>
      </w:r>
      <w:r w:rsidRPr="00A538DD">
        <w:tab/>
        <w:t>82</w:t>
      </w:r>
    </w:p>
    <w:p w14:paraId="28087865" w14:textId="77777777" w:rsidR="0048679D" w:rsidRPr="00A538DD" w:rsidRDefault="0048679D">
      <w:pPr>
        <w:pStyle w:val="Innehll2"/>
      </w:pPr>
      <w:r w:rsidRPr="00A538DD">
        <w:t>Riksbankens bolag</w:t>
      </w:r>
      <w:r w:rsidRPr="00A538DD">
        <w:tab/>
        <w:t>86</w:t>
      </w:r>
    </w:p>
    <w:p w14:paraId="67FF8F22" w14:textId="77777777" w:rsidR="0048679D" w:rsidRPr="00A538DD" w:rsidRDefault="0048679D">
      <w:pPr>
        <w:pStyle w:val="Innehll1"/>
      </w:pPr>
      <w:r w:rsidRPr="00A538DD">
        <w:t>Remissyttranden 2004</w:t>
      </w:r>
      <w:r w:rsidRPr="00A538DD">
        <w:tab/>
        <w:t>89</w:t>
      </w:r>
    </w:p>
    <w:p w14:paraId="52230064" w14:textId="77777777" w:rsidR="0048679D" w:rsidRPr="00A538DD" w:rsidRDefault="0048679D">
      <w:pPr>
        <w:pStyle w:val="Innehll1"/>
      </w:pPr>
      <w:r w:rsidRPr="00A538DD">
        <w:t>Ordlista</w:t>
      </w:r>
      <w:r w:rsidRPr="00A538DD">
        <w:tab/>
        <w:t>94</w:t>
      </w:r>
    </w:p>
    <w:p w14:paraId="23D2CB88" w14:textId="77777777" w:rsidR="0048679D" w:rsidRPr="00A538DD" w:rsidRDefault="0048679D">
      <w:pPr>
        <w:pStyle w:val="Innehll1"/>
      </w:pPr>
      <w:r w:rsidRPr="00A538DD">
        <w:t>Riksbankens pris i ekonomisk vetenskap 2004</w:t>
      </w:r>
      <w:r w:rsidRPr="00A538DD">
        <w:tab/>
        <w:t>98</w:t>
      </w:r>
    </w:p>
    <w:p w14:paraId="68D6D3A8" w14:textId="77777777" w:rsidR="0048679D" w:rsidRPr="00A538DD" w:rsidRDefault="0048679D"/>
    <w:p w14:paraId="1482B72A" w14:textId="77777777" w:rsidR="0048679D" w:rsidRPr="00A538DD" w:rsidRDefault="0048679D">
      <w:pPr>
        <w:pStyle w:val="Normaltindrag"/>
        <w:sectPr w:rsidR="00000000" w:rsidRPr="00A538D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14:paraId="75B985A5" w14:textId="77777777" w:rsidR="0048679D" w:rsidRPr="00A538DD" w:rsidRDefault="0048679D">
      <w:pPr>
        <w:pStyle w:val="Rubrik1"/>
        <w:rPr>
          <w:noProof w:val="0"/>
        </w:rPr>
      </w:pPr>
      <w:bookmarkStart w:id="4" w:name="Ordförande"/>
      <w:bookmarkStart w:id="5" w:name="RRDeltagare"/>
      <w:bookmarkStart w:id="6" w:name="_Toc97613748"/>
      <w:bookmarkEnd w:id="4"/>
      <w:bookmarkEnd w:id="5"/>
      <w:r w:rsidRPr="00A538DD">
        <w:rPr>
          <w:noProof w:val="0"/>
        </w:rPr>
        <w:t>Inledning</w:t>
      </w:r>
      <w:bookmarkEnd w:id="6"/>
    </w:p>
    <w:p w14:paraId="6948FE67" w14:textId="77777777" w:rsidR="0048679D" w:rsidRPr="00A538DD" w:rsidRDefault="0048679D">
      <w:r w:rsidRPr="00A538DD">
        <w:t>Riksbanken är Sveriges centralbank och en myndighet under riksdagen. Rik</w:t>
      </w:r>
      <w:r w:rsidRPr="00A538DD">
        <w:t>s</w:t>
      </w:r>
      <w:r w:rsidRPr="00A538DD">
        <w:t>banken ansvarar för penningpolitiken med målet att upprätthålla ett fast pe</w:t>
      </w:r>
      <w:r w:rsidRPr="00A538DD">
        <w:t>n</w:t>
      </w:r>
      <w:r w:rsidRPr="00A538DD">
        <w:t>ningvärde. Riksbanken ska i sin verksamhet också främja ett säkert och e</w:t>
      </w:r>
      <w:r w:rsidRPr="00A538DD">
        <w:t>f</w:t>
      </w:r>
      <w:r w:rsidRPr="00A538DD">
        <w:t xml:space="preserve">fektivt betalningsväsende.  </w:t>
      </w:r>
    </w:p>
    <w:p w14:paraId="3054B22D" w14:textId="77777777" w:rsidR="0048679D" w:rsidRPr="00A538DD" w:rsidRDefault="0048679D">
      <w:pPr>
        <w:pStyle w:val="Normaltindrag"/>
      </w:pPr>
      <w:r w:rsidRPr="00A538DD">
        <w:t xml:space="preserve">Riksbanken har drygt 400 medarbetare och leds av en direktion med en riksbankschef, Lars Heikensten, och fem vice riksbankschefer. Direktionens ledamöter utses av riksbanksfullmäktige för mandatperioder om sex år. </w:t>
      </w:r>
    </w:p>
    <w:p w14:paraId="3C442C62" w14:textId="77777777" w:rsidR="0048679D" w:rsidRPr="00A538DD" w:rsidRDefault="0048679D">
      <w:pPr>
        <w:pStyle w:val="Rubrik1"/>
        <w:spacing w:before="680" w:after="120"/>
        <w:rPr>
          <w:noProof w:val="0"/>
        </w:rPr>
      </w:pPr>
      <w:bookmarkStart w:id="7" w:name="_Toc97613749"/>
      <w:r w:rsidRPr="00A538DD">
        <w:rPr>
          <w:noProof w:val="0"/>
        </w:rPr>
        <w:t>Året i korthet</w:t>
      </w:r>
      <w:bookmarkEnd w:id="7"/>
    </w:p>
    <w:p w14:paraId="1E6782BF" w14:textId="77777777" w:rsidR="0048679D" w:rsidRPr="00A538DD" w:rsidRDefault="0048679D">
      <w:pPr>
        <w:numPr>
          <w:ilvl w:val="0"/>
          <w:numId w:val="13"/>
        </w:numPr>
        <w:tabs>
          <w:tab w:val="clear" w:pos="720"/>
          <w:tab w:val="num" w:pos="284"/>
        </w:tabs>
        <w:ind w:left="284" w:hanging="284"/>
      </w:pPr>
      <w:r w:rsidRPr="00A538DD">
        <w:t>Inflationen, mätt som förändring av konsumentprisindex (KPI) samt med det vanligt förekommande måttet på underliggande inflation UND1X, uppgick under året till i genomsnitt 0,5 respektive 0,9 %. Den ekonomiska tillväxten i Sverige uppgick enligt Riksbankens senaste bedömning till 3,6 %.</w:t>
      </w:r>
    </w:p>
    <w:p w14:paraId="040F9662" w14:textId="77777777" w:rsidR="0048679D" w:rsidRPr="00A538DD" w:rsidRDefault="0048679D">
      <w:pPr>
        <w:numPr>
          <w:ilvl w:val="0"/>
          <w:numId w:val="13"/>
        </w:numPr>
        <w:tabs>
          <w:tab w:val="clear" w:pos="720"/>
          <w:tab w:val="num" w:pos="284"/>
        </w:tabs>
        <w:spacing w:before="187"/>
        <w:ind w:left="284" w:hanging="284"/>
      </w:pPr>
      <w:r w:rsidRPr="00A538DD">
        <w:t>Stabiliteten i det finansiella systemet var fortsatt god.</w:t>
      </w:r>
    </w:p>
    <w:p w14:paraId="6508DB88" w14:textId="77777777" w:rsidR="0048679D" w:rsidRPr="00A538DD" w:rsidRDefault="0048679D">
      <w:pPr>
        <w:numPr>
          <w:ilvl w:val="0"/>
          <w:numId w:val="13"/>
        </w:numPr>
        <w:tabs>
          <w:tab w:val="clear" w:pos="720"/>
          <w:tab w:val="num" w:pos="284"/>
        </w:tabs>
        <w:spacing w:before="187"/>
        <w:ind w:left="284" w:hanging="284"/>
      </w:pPr>
      <w:r w:rsidRPr="00A538DD">
        <w:t>Riksbanken beslutade den 5 februari att sänka reporäntan med 0,25 pr</w:t>
      </w:r>
      <w:r w:rsidRPr="00A538DD">
        <w:t>o</w:t>
      </w:r>
      <w:r w:rsidRPr="00A538DD">
        <w:t xml:space="preserve">centenheter till 2,5 %. Den 31 mars beslutades att sänka reporäntan med 0,5 procentenheter till 2,0 %. </w:t>
      </w:r>
    </w:p>
    <w:p w14:paraId="1FDAD783" w14:textId="77777777" w:rsidR="0048679D" w:rsidRPr="00A538DD" w:rsidRDefault="0048679D">
      <w:pPr>
        <w:numPr>
          <w:ilvl w:val="0"/>
          <w:numId w:val="13"/>
        </w:numPr>
        <w:tabs>
          <w:tab w:val="clear" w:pos="720"/>
          <w:tab w:val="num" w:pos="284"/>
        </w:tabs>
        <w:spacing w:before="187"/>
        <w:ind w:left="284" w:hanging="284"/>
      </w:pPr>
      <w:r w:rsidRPr="00A538DD">
        <w:t xml:space="preserve">Riksbanken publicerade under året fyra inflationsrapporter och två </w:t>
      </w:r>
      <w:r w:rsidRPr="00A538DD">
        <w:br/>
        <w:t>rap</w:t>
      </w:r>
      <w:r w:rsidRPr="00A538DD">
        <w:t>p</w:t>
      </w:r>
      <w:r w:rsidRPr="00A538DD">
        <w:t xml:space="preserve">orter om den finansiella stabiliteten. </w:t>
      </w:r>
    </w:p>
    <w:p w14:paraId="298A6DAB" w14:textId="77777777" w:rsidR="0048679D" w:rsidRPr="00A538DD" w:rsidRDefault="0048679D">
      <w:pPr>
        <w:numPr>
          <w:ilvl w:val="0"/>
          <w:numId w:val="13"/>
        </w:numPr>
        <w:tabs>
          <w:tab w:val="clear" w:pos="720"/>
          <w:tab w:val="num" w:pos="284"/>
        </w:tabs>
        <w:spacing w:before="187"/>
        <w:ind w:left="284" w:hanging="284"/>
      </w:pPr>
      <w:r w:rsidRPr="00A538DD">
        <w:t>Riksbankens översyn av kontanthanteringen, som påbörjades 1997, gick under året in i ett avslutande skede. Rörelsen i Pengar i Sverige AB a</w:t>
      </w:r>
      <w:r w:rsidRPr="00A538DD">
        <w:t>v</w:t>
      </w:r>
      <w:r w:rsidRPr="00A538DD">
        <w:t>vecklades och den operativa verksamheten i Svensk Kontantförsörjning AB (SKAB) överfördes till Riksbanken.</w:t>
      </w:r>
    </w:p>
    <w:p w14:paraId="3E9E11FD" w14:textId="77777777" w:rsidR="0048679D" w:rsidRPr="00A538DD" w:rsidRDefault="0048679D">
      <w:r w:rsidRPr="00A538DD">
        <w:t xml:space="preserve">Riksbankens resultat blev </w:t>
      </w:r>
      <w:r w:rsidRPr="00A538DD">
        <w:rPr>
          <w:b/>
        </w:rPr>
        <w:t>–</w:t>
      </w:r>
      <w:r w:rsidRPr="00A538DD">
        <w:t>2,8 miljarder kronor. Förstärkningen av kronan påverkade resultatet med –5,6 miljarder kronor.</w:t>
      </w:r>
    </w:p>
    <w:p w14:paraId="5124DAB8" w14:textId="77777777" w:rsidR="0048679D" w:rsidRPr="00A538DD" w:rsidRDefault="0048679D"/>
    <w:p w14:paraId="0DE7AD72" w14:textId="77777777" w:rsidR="0048679D" w:rsidRPr="00A538DD" w:rsidRDefault="0048679D">
      <w:pPr>
        <w:pStyle w:val="Normaltindrag"/>
      </w:pPr>
    </w:p>
    <w:p w14:paraId="0BF5B7C6" w14:textId="77777777" w:rsidR="0048679D" w:rsidRPr="00A538DD" w:rsidRDefault="0048679D">
      <w:pPr>
        <w:pStyle w:val="Normaltindrag"/>
        <w:sectPr w:rsidR="00000000" w:rsidRPr="00A538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14:paraId="6C97D3BC" w14:textId="77777777" w:rsidR="0048679D" w:rsidRPr="00A538DD" w:rsidRDefault="0048679D">
      <w:pPr>
        <w:pStyle w:val="Rubrik1"/>
        <w:spacing w:after="120"/>
        <w:rPr>
          <w:noProof w:val="0"/>
        </w:rPr>
      </w:pPr>
      <w:bookmarkStart w:id="8" w:name="_Toc97613750"/>
      <w:r w:rsidRPr="00A538DD">
        <w:rPr>
          <w:noProof w:val="0"/>
        </w:rPr>
        <w:t>Året i siffror</w:t>
      </w:r>
      <w:bookmarkEnd w:id="8"/>
      <w:r w:rsidRPr="00A538DD">
        <w:rPr>
          <w:noProof w:val="0"/>
        </w:rPr>
        <w:t xml:space="preserve"> </w:t>
      </w:r>
    </w:p>
    <w:p w14:paraId="17A2C4F7" w14:textId="77777777" w:rsidR="0048679D" w:rsidRPr="00A538DD" w:rsidRDefault="0048679D"/>
    <w:tbl>
      <w:tblPr>
        <w:tblW w:w="0" w:type="auto"/>
        <w:tblInd w:w="-142" w:type="dxa"/>
        <w:tblLayout w:type="fixed"/>
        <w:tblCellMar>
          <w:left w:w="70" w:type="dxa"/>
          <w:right w:w="70" w:type="dxa"/>
        </w:tblCellMar>
        <w:tblLook w:val="0000" w:firstRow="0" w:lastRow="0" w:firstColumn="0" w:lastColumn="0" w:noHBand="0" w:noVBand="0"/>
      </w:tblPr>
      <w:tblGrid>
        <w:gridCol w:w="3402"/>
        <w:gridCol w:w="567"/>
        <w:gridCol w:w="567"/>
        <w:gridCol w:w="567"/>
      </w:tblGrid>
      <w:tr w:rsidR="00000000" w:rsidRPr="00A538DD" w14:paraId="3C8DE606" w14:textId="77777777">
        <w:tblPrEx>
          <w:tblCellMar>
            <w:top w:w="0" w:type="dxa"/>
            <w:bottom w:w="0" w:type="dxa"/>
          </w:tblCellMar>
        </w:tblPrEx>
        <w:tc>
          <w:tcPr>
            <w:tcW w:w="3402" w:type="dxa"/>
            <w:tcBorders>
              <w:top w:val="nil"/>
              <w:left w:val="nil"/>
              <w:bottom w:val="single" w:sz="4" w:space="0" w:color="auto"/>
              <w:right w:val="nil"/>
            </w:tcBorders>
          </w:tcPr>
          <w:p w14:paraId="5A6B0056" w14:textId="77777777" w:rsidR="0048679D" w:rsidRPr="00A538DD" w:rsidRDefault="0048679D">
            <w:pPr>
              <w:jc w:val="left"/>
            </w:pPr>
            <w:r w:rsidRPr="00A538DD">
              <w:t>Nyckeltal</w:t>
            </w:r>
          </w:p>
        </w:tc>
        <w:tc>
          <w:tcPr>
            <w:tcW w:w="567" w:type="dxa"/>
            <w:tcBorders>
              <w:top w:val="nil"/>
              <w:left w:val="nil"/>
              <w:bottom w:val="single" w:sz="4" w:space="0" w:color="auto"/>
              <w:right w:val="nil"/>
            </w:tcBorders>
          </w:tcPr>
          <w:p w14:paraId="55F8BD74" w14:textId="77777777" w:rsidR="0048679D" w:rsidRPr="00A538DD" w:rsidRDefault="0048679D">
            <w:pPr>
              <w:jc w:val="right"/>
            </w:pPr>
            <w:r w:rsidRPr="00A538DD">
              <w:t>2004</w:t>
            </w:r>
          </w:p>
        </w:tc>
        <w:tc>
          <w:tcPr>
            <w:tcW w:w="567" w:type="dxa"/>
            <w:tcBorders>
              <w:top w:val="nil"/>
              <w:left w:val="nil"/>
              <w:bottom w:val="single" w:sz="4" w:space="0" w:color="auto"/>
              <w:right w:val="nil"/>
            </w:tcBorders>
          </w:tcPr>
          <w:p w14:paraId="4288FFA7" w14:textId="77777777" w:rsidR="0048679D" w:rsidRPr="00A538DD" w:rsidRDefault="0048679D">
            <w:pPr>
              <w:jc w:val="right"/>
            </w:pPr>
            <w:r w:rsidRPr="00A538DD">
              <w:t>2003</w:t>
            </w:r>
          </w:p>
        </w:tc>
        <w:tc>
          <w:tcPr>
            <w:tcW w:w="567" w:type="dxa"/>
            <w:tcBorders>
              <w:top w:val="nil"/>
              <w:left w:val="nil"/>
              <w:bottom w:val="single" w:sz="4" w:space="0" w:color="auto"/>
              <w:right w:val="nil"/>
            </w:tcBorders>
          </w:tcPr>
          <w:p w14:paraId="1CC494D1" w14:textId="77777777" w:rsidR="0048679D" w:rsidRPr="00A538DD" w:rsidRDefault="0048679D">
            <w:pPr>
              <w:jc w:val="right"/>
            </w:pPr>
            <w:r w:rsidRPr="00A538DD">
              <w:t>2002</w:t>
            </w:r>
          </w:p>
        </w:tc>
      </w:tr>
      <w:tr w:rsidR="00000000" w:rsidRPr="00A538DD" w14:paraId="2020E39F" w14:textId="77777777">
        <w:tblPrEx>
          <w:tblCellMar>
            <w:top w:w="0" w:type="dxa"/>
            <w:bottom w:w="0" w:type="dxa"/>
          </w:tblCellMar>
        </w:tblPrEx>
        <w:tc>
          <w:tcPr>
            <w:tcW w:w="3402" w:type="dxa"/>
          </w:tcPr>
          <w:p w14:paraId="2ABE54B0" w14:textId="77777777" w:rsidR="0048679D" w:rsidRPr="00A538DD" w:rsidRDefault="0048679D">
            <w:pPr>
              <w:jc w:val="left"/>
            </w:pPr>
          </w:p>
        </w:tc>
        <w:tc>
          <w:tcPr>
            <w:tcW w:w="567" w:type="dxa"/>
          </w:tcPr>
          <w:p w14:paraId="62C3BBFA" w14:textId="77777777" w:rsidR="0048679D" w:rsidRPr="00A538DD" w:rsidRDefault="0048679D">
            <w:pPr>
              <w:jc w:val="right"/>
            </w:pPr>
          </w:p>
        </w:tc>
        <w:tc>
          <w:tcPr>
            <w:tcW w:w="567" w:type="dxa"/>
          </w:tcPr>
          <w:p w14:paraId="0A0F5012" w14:textId="77777777" w:rsidR="0048679D" w:rsidRPr="00A538DD" w:rsidRDefault="0048679D">
            <w:pPr>
              <w:jc w:val="right"/>
            </w:pPr>
          </w:p>
        </w:tc>
        <w:tc>
          <w:tcPr>
            <w:tcW w:w="567" w:type="dxa"/>
          </w:tcPr>
          <w:p w14:paraId="087F8BBF" w14:textId="77777777" w:rsidR="0048679D" w:rsidRPr="00A538DD" w:rsidRDefault="0048679D">
            <w:pPr>
              <w:jc w:val="right"/>
            </w:pPr>
          </w:p>
        </w:tc>
      </w:tr>
      <w:tr w:rsidR="00000000" w:rsidRPr="00A538DD" w14:paraId="7DBE7B6D" w14:textId="77777777">
        <w:tblPrEx>
          <w:tblCellMar>
            <w:top w:w="0" w:type="dxa"/>
            <w:bottom w:w="0" w:type="dxa"/>
          </w:tblCellMar>
        </w:tblPrEx>
        <w:tc>
          <w:tcPr>
            <w:tcW w:w="3402" w:type="dxa"/>
          </w:tcPr>
          <w:p w14:paraId="28C91E4F" w14:textId="77777777" w:rsidR="0048679D" w:rsidRPr="00A538DD" w:rsidRDefault="0048679D">
            <w:pPr>
              <w:jc w:val="left"/>
            </w:pPr>
            <w:r w:rsidRPr="00A538DD">
              <w:t>Vid årets utgång</w:t>
            </w:r>
          </w:p>
        </w:tc>
        <w:tc>
          <w:tcPr>
            <w:tcW w:w="567" w:type="dxa"/>
          </w:tcPr>
          <w:p w14:paraId="469C847B" w14:textId="77777777" w:rsidR="0048679D" w:rsidRPr="00A538DD" w:rsidRDefault="0048679D">
            <w:pPr>
              <w:jc w:val="right"/>
            </w:pPr>
          </w:p>
        </w:tc>
        <w:tc>
          <w:tcPr>
            <w:tcW w:w="567" w:type="dxa"/>
          </w:tcPr>
          <w:p w14:paraId="7D933CF8" w14:textId="77777777" w:rsidR="0048679D" w:rsidRPr="00A538DD" w:rsidRDefault="0048679D">
            <w:pPr>
              <w:jc w:val="right"/>
            </w:pPr>
          </w:p>
        </w:tc>
        <w:tc>
          <w:tcPr>
            <w:tcW w:w="567" w:type="dxa"/>
          </w:tcPr>
          <w:p w14:paraId="1496F194" w14:textId="77777777" w:rsidR="0048679D" w:rsidRPr="00A538DD" w:rsidRDefault="0048679D">
            <w:pPr>
              <w:jc w:val="right"/>
            </w:pPr>
          </w:p>
        </w:tc>
      </w:tr>
      <w:tr w:rsidR="00000000" w:rsidRPr="00A538DD" w14:paraId="18ADEC16" w14:textId="77777777">
        <w:tblPrEx>
          <w:tblCellMar>
            <w:top w:w="0" w:type="dxa"/>
            <w:bottom w:w="0" w:type="dxa"/>
          </w:tblCellMar>
        </w:tblPrEx>
        <w:tc>
          <w:tcPr>
            <w:tcW w:w="3402" w:type="dxa"/>
          </w:tcPr>
          <w:p w14:paraId="0F91FB70" w14:textId="77777777" w:rsidR="0048679D" w:rsidRPr="00A538DD" w:rsidRDefault="0048679D">
            <w:pPr>
              <w:pStyle w:val="Deltagare"/>
              <w:keepLines w:val="0"/>
              <w:spacing w:before="62" w:line="250" w:lineRule="atLeast"/>
              <w:jc w:val="left"/>
              <w:rPr>
                <w:noProof w:val="0"/>
              </w:rPr>
            </w:pPr>
            <w:r w:rsidRPr="00A538DD">
              <w:rPr>
                <w:noProof w:val="0"/>
              </w:rPr>
              <w:t>Årets resultat (mdkr)</w:t>
            </w:r>
          </w:p>
        </w:tc>
        <w:tc>
          <w:tcPr>
            <w:tcW w:w="567" w:type="dxa"/>
          </w:tcPr>
          <w:p w14:paraId="6E67AE75" w14:textId="77777777" w:rsidR="0048679D" w:rsidRPr="00A538DD" w:rsidRDefault="0048679D">
            <w:pPr>
              <w:jc w:val="right"/>
            </w:pPr>
            <w:r w:rsidRPr="00A538DD">
              <w:t>–2,8</w:t>
            </w:r>
          </w:p>
        </w:tc>
        <w:tc>
          <w:tcPr>
            <w:tcW w:w="567" w:type="dxa"/>
          </w:tcPr>
          <w:p w14:paraId="1A9CB63E" w14:textId="77777777" w:rsidR="0048679D" w:rsidRPr="00A538DD" w:rsidRDefault="0048679D">
            <w:pPr>
              <w:jc w:val="right"/>
            </w:pPr>
            <w:r w:rsidRPr="00A538DD">
              <w:t xml:space="preserve">–9,3 </w:t>
            </w:r>
          </w:p>
        </w:tc>
        <w:tc>
          <w:tcPr>
            <w:tcW w:w="567" w:type="dxa"/>
          </w:tcPr>
          <w:p w14:paraId="09082631" w14:textId="77777777" w:rsidR="0048679D" w:rsidRPr="00A538DD" w:rsidRDefault="0048679D">
            <w:pPr>
              <w:jc w:val="right"/>
            </w:pPr>
            <w:r w:rsidRPr="00A538DD">
              <w:t>–0,1</w:t>
            </w:r>
          </w:p>
        </w:tc>
      </w:tr>
      <w:tr w:rsidR="00000000" w:rsidRPr="00A538DD" w14:paraId="1363D941" w14:textId="77777777">
        <w:tblPrEx>
          <w:tblCellMar>
            <w:top w:w="0" w:type="dxa"/>
            <w:bottom w:w="0" w:type="dxa"/>
          </w:tblCellMar>
        </w:tblPrEx>
        <w:tc>
          <w:tcPr>
            <w:tcW w:w="3402" w:type="dxa"/>
          </w:tcPr>
          <w:p w14:paraId="6346CA01" w14:textId="77777777" w:rsidR="0048679D" w:rsidRPr="00A538DD" w:rsidRDefault="0048679D">
            <w:pPr>
              <w:jc w:val="left"/>
            </w:pPr>
            <w:r w:rsidRPr="00A538DD">
              <w:t>Guld- och valutareserv (mdkr)</w:t>
            </w:r>
          </w:p>
        </w:tc>
        <w:tc>
          <w:tcPr>
            <w:tcW w:w="567" w:type="dxa"/>
          </w:tcPr>
          <w:p w14:paraId="2DC0632E" w14:textId="77777777" w:rsidR="0048679D" w:rsidRPr="00A538DD" w:rsidRDefault="0048679D">
            <w:pPr>
              <w:jc w:val="right"/>
            </w:pPr>
            <w:r w:rsidRPr="00A538DD">
              <w:t>163</w:t>
            </w:r>
          </w:p>
        </w:tc>
        <w:tc>
          <w:tcPr>
            <w:tcW w:w="567" w:type="dxa"/>
          </w:tcPr>
          <w:p w14:paraId="48A994E2" w14:textId="77777777" w:rsidR="0048679D" w:rsidRPr="00A538DD" w:rsidRDefault="0048679D">
            <w:pPr>
              <w:jc w:val="right"/>
            </w:pPr>
            <w:r w:rsidRPr="00A538DD">
              <w:t>159</w:t>
            </w:r>
          </w:p>
        </w:tc>
        <w:tc>
          <w:tcPr>
            <w:tcW w:w="567" w:type="dxa"/>
          </w:tcPr>
          <w:p w14:paraId="2CC16C48" w14:textId="77777777" w:rsidR="0048679D" w:rsidRPr="00A538DD" w:rsidRDefault="0048679D">
            <w:pPr>
              <w:jc w:val="right"/>
            </w:pPr>
            <w:r w:rsidRPr="00A538DD">
              <w:t>166</w:t>
            </w:r>
          </w:p>
        </w:tc>
      </w:tr>
      <w:tr w:rsidR="00000000" w:rsidRPr="00A538DD" w14:paraId="21F67C64" w14:textId="77777777">
        <w:tblPrEx>
          <w:tblCellMar>
            <w:top w:w="0" w:type="dxa"/>
            <w:bottom w:w="0" w:type="dxa"/>
          </w:tblCellMar>
        </w:tblPrEx>
        <w:tc>
          <w:tcPr>
            <w:tcW w:w="3402" w:type="dxa"/>
          </w:tcPr>
          <w:p w14:paraId="789256F2" w14:textId="77777777" w:rsidR="0048679D" w:rsidRPr="00A538DD" w:rsidRDefault="0048679D">
            <w:pPr>
              <w:jc w:val="left"/>
            </w:pPr>
            <w:r w:rsidRPr="00A538DD">
              <w:t>Antal årsarbetskrafter</w:t>
            </w:r>
          </w:p>
        </w:tc>
        <w:tc>
          <w:tcPr>
            <w:tcW w:w="567" w:type="dxa"/>
          </w:tcPr>
          <w:p w14:paraId="211E74EE" w14:textId="77777777" w:rsidR="0048679D" w:rsidRPr="00A538DD" w:rsidRDefault="0048679D">
            <w:pPr>
              <w:jc w:val="right"/>
            </w:pPr>
            <w:r w:rsidRPr="00A538DD">
              <w:t>434</w:t>
            </w:r>
            <w:r w:rsidRPr="00A538DD">
              <w:rPr>
                <w:sz w:val="16"/>
                <w:vertAlign w:val="superscript"/>
              </w:rPr>
              <w:t>1</w:t>
            </w:r>
          </w:p>
        </w:tc>
        <w:tc>
          <w:tcPr>
            <w:tcW w:w="567" w:type="dxa"/>
          </w:tcPr>
          <w:p w14:paraId="2878A169" w14:textId="77777777" w:rsidR="0048679D" w:rsidRPr="00A538DD" w:rsidRDefault="0048679D">
            <w:pPr>
              <w:jc w:val="right"/>
            </w:pPr>
            <w:r w:rsidRPr="00A538DD">
              <w:t>426</w:t>
            </w:r>
          </w:p>
        </w:tc>
        <w:tc>
          <w:tcPr>
            <w:tcW w:w="567" w:type="dxa"/>
          </w:tcPr>
          <w:p w14:paraId="36D4EF8B" w14:textId="77777777" w:rsidR="0048679D" w:rsidRPr="00A538DD" w:rsidRDefault="0048679D">
            <w:pPr>
              <w:jc w:val="right"/>
            </w:pPr>
            <w:r w:rsidRPr="00A538DD">
              <w:t>440</w:t>
            </w:r>
          </w:p>
        </w:tc>
      </w:tr>
      <w:tr w:rsidR="00000000" w:rsidRPr="00A538DD" w14:paraId="69A399CB" w14:textId="77777777">
        <w:tblPrEx>
          <w:tblCellMar>
            <w:top w:w="0" w:type="dxa"/>
            <w:bottom w:w="0" w:type="dxa"/>
          </w:tblCellMar>
        </w:tblPrEx>
        <w:tc>
          <w:tcPr>
            <w:tcW w:w="3402" w:type="dxa"/>
          </w:tcPr>
          <w:p w14:paraId="080EDA74" w14:textId="77777777" w:rsidR="0048679D" w:rsidRPr="00A538DD" w:rsidRDefault="0048679D">
            <w:pPr>
              <w:jc w:val="left"/>
            </w:pPr>
          </w:p>
        </w:tc>
        <w:tc>
          <w:tcPr>
            <w:tcW w:w="567" w:type="dxa"/>
          </w:tcPr>
          <w:p w14:paraId="3CDF4A9D" w14:textId="77777777" w:rsidR="0048679D" w:rsidRPr="00A538DD" w:rsidRDefault="0048679D">
            <w:pPr>
              <w:jc w:val="right"/>
            </w:pPr>
          </w:p>
        </w:tc>
        <w:tc>
          <w:tcPr>
            <w:tcW w:w="567" w:type="dxa"/>
          </w:tcPr>
          <w:p w14:paraId="5D3E44E5" w14:textId="77777777" w:rsidR="0048679D" w:rsidRPr="00A538DD" w:rsidRDefault="0048679D">
            <w:pPr>
              <w:jc w:val="right"/>
            </w:pPr>
          </w:p>
        </w:tc>
        <w:tc>
          <w:tcPr>
            <w:tcW w:w="567" w:type="dxa"/>
          </w:tcPr>
          <w:p w14:paraId="38E5F98E" w14:textId="77777777" w:rsidR="0048679D" w:rsidRPr="00A538DD" w:rsidRDefault="0048679D">
            <w:pPr>
              <w:jc w:val="right"/>
            </w:pPr>
          </w:p>
        </w:tc>
      </w:tr>
      <w:tr w:rsidR="00000000" w:rsidRPr="00A538DD" w14:paraId="715606B4" w14:textId="77777777">
        <w:tblPrEx>
          <w:tblCellMar>
            <w:top w:w="0" w:type="dxa"/>
            <w:bottom w:w="0" w:type="dxa"/>
          </w:tblCellMar>
        </w:tblPrEx>
        <w:tc>
          <w:tcPr>
            <w:tcW w:w="3402" w:type="dxa"/>
          </w:tcPr>
          <w:p w14:paraId="444FFF73" w14:textId="77777777" w:rsidR="0048679D" w:rsidRPr="00A538DD" w:rsidRDefault="0048679D">
            <w:pPr>
              <w:jc w:val="left"/>
            </w:pPr>
            <w:r w:rsidRPr="00A538DD">
              <w:t>Reporänta (%)</w:t>
            </w:r>
          </w:p>
        </w:tc>
        <w:tc>
          <w:tcPr>
            <w:tcW w:w="567" w:type="dxa"/>
          </w:tcPr>
          <w:p w14:paraId="4C07BE89" w14:textId="77777777" w:rsidR="0048679D" w:rsidRPr="00A538DD" w:rsidRDefault="0048679D">
            <w:pPr>
              <w:jc w:val="right"/>
            </w:pPr>
            <w:r w:rsidRPr="00A538DD">
              <w:t>2,0</w:t>
            </w:r>
          </w:p>
        </w:tc>
        <w:tc>
          <w:tcPr>
            <w:tcW w:w="567" w:type="dxa"/>
          </w:tcPr>
          <w:p w14:paraId="60256CDA" w14:textId="77777777" w:rsidR="0048679D" w:rsidRPr="00A538DD" w:rsidRDefault="0048679D">
            <w:pPr>
              <w:jc w:val="right"/>
            </w:pPr>
            <w:r w:rsidRPr="00A538DD">
              <w:t>2,75</w:t>
            </w:r>
          </w:p>
        </w:tc>
        <w:tc>
          <w:tcPr>
            <w:tcW w:w="567" w:type="dxa"/>
          </w:tcPr>
          <w:p w14:paraId="16CDD44B" w14:textId="77777777" w:rsidR="0048679D" w:rsidRPr="00A538DD" w:rsidRDefault="0048679D">
            <w:pPr>
              <w:jc w:val="right"/>
            </w:pPr>
            <w:r w:rsidRPr="00A538DD">
              <w:t>3,75</w:t>
            </w:r>
          </w:p>
        </w:tc>
      </w:tr>
      <w:tr w:rsidR="00000000" w:rsidRPr="00A538DD" w14:paraId="1EDCBA3A" w14:textId="77777777">
        <w:tblPrEx>
          <w:tblCellMar>
            <w:top w:w="0" w:type="dxa"/>
            <w:bottom w:w="0" w:type="dxa"/>
          </w:tblCellMar>
        </w:tblPrEx>
        <w:tc>
          <w:tcPr>
            <w:tcW w:w="3402" w:type="dxa"/>
          </w:tcPr>
          <w:p w14:paraId="0C4C0FD8" w14:textId="77777777" w:rsidR="0048679D" w:rsidRPr="00A538DD" w:rsidRDefault="0048679D">
            <w:pPr>
              <w:pStyle w:val="Deltagare"/>
              <w:keepLines w:val="0"/>
              <w:spacing w:before="62" w:line="250" w:lineRule="atLeast"/>
              <w:jc w:val="left"/>
              <w:rPr>
                <w:noProof w:val="0"/>
              </w:rPr>
            </w:pPr>
            <w:r w:rsidRPr="00A538DD">
              <w:rPr>
                <w:noProof w:val="0"/>
              </w:rPr>
              <w:t>Kort ränta (tre månader SSVX, %)</w:t>
            </w:r>
          </w:p>
        </w:tc>
        <w:tc>
          <w:tcPr>
            <w:tcW w:w="567" w:type="dxa"/>
          </w:tcPr>
          <w:p w14:paraId="5D088D09" w14:textId="77777777" w:rsidR="0048679D" w:rsidRPr="00A538DD" w:rsidRDefault="0048679D">
            <w:pPr>
              <w:jc w:val="right"/>
            </w:pPr>
            <w:r w:rsidRPr="00A538DD">
              <w:t>1,99</w:t>
            </w:r>
          </w:p>
        </w:tc>
        <w:tc>
          <w:tcPr>
            <w:tcW w:w="567" w:type="dxa"/>
          </w:tcPr>
          <w:p w14:paraId="2C177B9F" w14:textId="77777777" w:rsidR="0048679D" w:rsidRPr="00A538DD" w:rsidRDefault="0048679D">
            <w:pPr>
              <w:jc w:val="right"/>
            </w:pPr>
            <w:r w:rsidRPr="00A538DD">
              <w:t>2,65</w:t>
            </w:r>
          </w:p>
        </w:tc>
        <w:tc>
          <w:tcPr>
            <w:tcW w:w="567" w:type="dxa"/>
          </w:tcPr>
          <w:p w14:paraId="1BEE4513" w14:textId="77777777" w:rsidR="0048679D" w:rsidRPr="00A538DD" w:rsidRDefault="0048679D">
            <w:pPr>
              <w:jc w:val="right"/>
            </w:pPr>
            <w:r w:rsidRPr="00A538DD">
              <w:t>3,57</w:t>
            </w:r>
          </w:p>
        </w:tc>
      </w:tr>
      <w:tr w:rsidR="00000000" w:rsidRPr="00A538DD" w14:paraId="6DE582C8" w14:textId="77777777">
        <w:tblPrEx>
          <w:tblCellMar>
            <w:top w:w="0" w:type="dxa"/>
            <w:bottom w:w="0" w:type="dxa"/>
          </w:tblCellMar>
        </w:tblPrEx>
        <w:tc>
          <w:tcPr>
            <w:tcW w:w="3402" w:type="dxa"/>
          </w:tcPr>
          <w:p w14:paraId="14E1121F" w14:textId="77777777" w:rsidR="0048679D" w:rsidRPr="00A538DD" w:rsidRDefault="0048679D">
            <w:pPr>
              <w:jc w:val="left"/>
            </w:pPr>
            <w:r w:rsidRPr="00A538DD">
              <w:t>Lång ränta (tio år statsobligationer, %)</w:t>
            </w:r>
          </w:p>
        </w:tc>
        <w:tc>
          <w:tcPr>
            <w:tcW w:w="567" w:type="dxa"/>
          </w:tcPr>
          <w:p w14:paraId="1980FAF1" w14:textId="77777777" w:rsidR="0048679D" w:rsidRPr="00A538DD" w:rsidRDefault="0048679D">
            <w:pPr>
              <w:jc w:val="right"/>
            </w:pPr>
            <w:r w:rsidRPr="00A538DD">
              <w:t>4,03</w:t>
            </w:r>
          </w:p>
        </w:tc>
        <w:tc>
          <w:tcPr>
            <w:tcW w:w="567" w:type="dxa"/>
          </w:tcPr>
          <w:p w14:paraId="0427B490" w14:textId="77777777" w:rsidR="0048679D" w:rsidRPr="00A538DD" w:rsidRDefault="0048679D">
            <w:pPr>
              <w:jc w:val="right"/>
            </w:pPr>
            <w:r w:rsidRPr="00A538DD">
              <w:t>4,78</w:t>
            </w:r>
          </w:p>
        </w:tc>
        <w:tc>
          <w:tcPr>
            <w:tcW w:w="567" w:type="dxa"/>
          </w:tcPr>
          <w:p w14:paraId="0246B6F5" w14:textId="77777777" w:rsidR="0048679D" w:rsidRPr="00A538DD" w:rsidRDefault="0048679D">
            <w:pPr>
              <w:jc w:val="right"/>
            </w:pPr>
            <w:r w:rsidRPr="00A538DD">
              <w:t>4,71</w:t>
            </w:r>
          </w:p>
        </w:tc>
      </w:tr>
      <w:tr w:rsidR="00000000" w:rsidRPr="00A538DD" w14:paraId="23244471" w14:textId="77777777">
        <w:tblPrEx>
          <w:tblCellMar>
            <w:top w:w="0" w:type="dxa"/>
            <w:bottom w:w="0" w:type="dxa"/>
          </w:tblCellMar>
        </w:tblPrEx>
        <w:tc>
          <w:tcPr>
            <w:tcW w:w="3402" w:type="dxa"/>
          </w:tcPr>
          <w:p w14:paraId="18D73230" w14:textId="77777777" w:rsidR="0048679D" w:rsidRPr="00A538DD" w:rsidRDefault="0048679D">
            <w:pPr>
              <w:jc w:val="left"/>
            </w:pPr>
          </w:p>
        </w:tc>
        <w:tc>
          <w:tcPr>
            <w:tcW w:w="567" w:type="dxa"/>
          </w:tcPr>
          <w:p w14:paraId="12AD2BD7" w14:textId="77777777" w:rsidR="0048679D" w:rsidRPr="00A538DD" w:rsidRDefault="0048679D">
            <w:pPr>
              <w:jc w:val="right"/>
            </w:pPr>
          </w:p>
        </w:tc>
        <w:tc>
          <w:tcPr>
            <w:tcW w:w="567" w:type="dxa"/>
          </w:tcPr>
          <w:p w14:paraId="187786C3" w14:textId="77777777" w:rsidR="0048679D" w:rsidRPr="00A538DD" w:rsidRDefault="0048679D">
            <w:pPr>
              <w:jc w:val="right"/>
            </w:pPr>
          </w:p>
        </w:tc>
        <w:tc>
          <w:tcPr>
            <w:tcW w:w="567" w:type="dxa"/>
          </w:tcPr>
          <w:p w14:paraId="3C79AE66" w14:textId="77777777" w:rsidR="0048679D" w:rsidRPr="00A538DD" w:rsidRDefault="0048679D">
            <w:pPr>
              <w:jc w:val="right"/>
            </w:pPr>
          </w:p>
        </w:tc>
      </w:tr>
      <w:tr w:rsidR="00000000" w:rsidRPr="00A538DD" w14:paraId="72E5F36B" w14:textId="77777777">
        <w:tblPrEx>
          <w:tblCellMar>
            <w:top w:w="0" w:type="dxa"/>
            <w:bottom w:w="0" w:type="dxa"/>
          </w:tblCellMar>
        </w:tblPrEx>
        <w:tc>
          <w:tcPr>
            <w:tcW w:w="3402" w:type="dxa"/>
          </w:tcPr>
          <w:p w14:paraId="41625E2B" w14:textId="77777777" w:rsidR="0048679D" w:rsidRPr="00A538DD" w:rsidRDefault="0048679D">
            <w:pPr>
              <w:jc w:val="left"/>
              <w:rPr>
                <w:u w:val="single"/>
              </w:rPr>
            </w:pPr>
            <w:r w:rsidRPr="00A538DD">
              <w:rPr>
                <w:u w:val="single"/>
              </w:rPr>
              <w:t>I genomsnitt</w:t>
            </w:r>
          </w:p>
        </w:tc>
        <w:tc>
          <w:tcPr>
            <w:tcW w:w="567" w:type="dxa"/>
          </w:tcPr>
          <w:p w14:paraId="75C37D85" w14:textId="77777777" w:rsidR="0048679D" w:rsidRPr="00A538DD" w:rsidRDefault="0048679D">
            <w:pPr>
              <w:jc w:val="right"/>
            </w:pPr>
          </w:p>
        </w:tc>
        <w:tc>
          <w:tcPr>
            <w:tcW w:w="567" w:type="dxa"/>
          </w:tcPr>
          <w:p w14:paraId="67B358B7" w14:textId="77777777" w:rsidR="0048679D" w:rsidRPr="00A538DD" w:rsidRDefault="0048679D">
            <w:pPr>
              <w:jc w:val="right"/>
            </w:pPr>
          </w:p>
        </w:tc>
        <w:tc>
          <w:tcPr>
            <w:tcW w:w="567" w:type="dxa"/>
          </w:tcPr>
          <w:p w14:paraId="665F58FE" w14:textId="77777777" w:rsidR="0048679D" w:rsidRPr="00A538DD" w:rsidRDefault="0048679D">
            <w:pPr>
              <w:jc w:val="right"/>
            </w:pPr>
          </w:p>
        </w:tc>
      </w:tr>
      <w:tr w:rsidR="00000000" w:rsidRPr="00A538DD" w14:paraId="60CAAF55" w14:textId="77777777">
        <w:tblPrEx>
          <w:tblCellMar>
            <w:top w:w="0" w:type="dxa"/>
            <w:bottom w:w="0" w:type="dxa"/>
          </w:tblCellMar>
        </w:tblPrEx>
        <w:tc>
          <w:tcPr>
            <w:tcW w:w="3402" w:type="dxa"/>
          </w:tcPr>
          <w:p w14:paraId="7AB84654" w14:textId="77777777" w:rsidR="0048679D" w:rsidRPr="00A538DD" w:rsidRDefault="0048679D">
            <w:pPr>
              <w:jc w:val="left"/>
            </w:pPr>
            <w:r w:rsidRPr="00A538DD">
              <w:t>BNP (procentuell förändring)</w:t>
            </w:r>
          </w:p>
        </w:tc>
        <w:tc>
          <w:tcPr>
            <w:tcW w:w="567" w:type="dxa"/>
          </w:tcPr>
          <w:p w14:paraId="0A6F0B77" w14:textId="77777777" w:rsidR="0048679D" w:rsidRPr="00A538DD" w:rsidRDefault="0048679D">
            <w:pPr>
              <w:jc w:val="right"/>
            </w:pPr>
            <w:r w:rsidRPr="00A538DD">
              <w:t>3,6</w:t>
            </w:r>
            <w:r w:rsidRPr="00A538DD">
              <w:rPr>
                <w:sz w:val="16"/>
                <w:vertAlign w:val="superscript"/>
              </w:rPr>
              <w:t>2</w:t>
            </w:r>
          </w:p>
        </w:tc>
        <w:tc>
          <w:tcPr>
            <w:tcW w:w="567" w:type="dxa"/>
          </w:tcPr>
          <w:p w14:paraId="61178CF3" w14:textId="77777777" w:rsidR="0048679D" w:rsidRPr="00A538DD" w:rsidRDefault="0048679D">
            <w:pPr>
              <w:jc w:val="right"/>
            </w:pPr>
            <w:r w:rsidRPr="00A538DD">
              <w:t>1,5</w:t>
            </w:r>
          </w:p>
        </w:tc>
        <w:tc>
          <w:tcPr>
            <w:tcW w:w="567" w:type="dxa"/>
          </w:tcPr>
          <w:p w14:paraId="5F87335F" w14:textId="77777777" w:rsidR="0048679D" w:rsidRPr="00A538DD" w:rsidRDefault="0048679D">
            <w:pPr>
              <w:jc w:val="right"/>
            </w:pPr>
            <w:r w:rsidRPr="00A538DD">
              <w:t>2,0</w:t>
            </w:r>
          </w:p>
        </w:tc>
      </w:tr>
      <w:tr w:rsidR="00000000" w:rsidRPr="00A538DD" w14:paraId="718872DE" w14:textId="77777777">
        <w:tblPrEx>
          <w:tblCellMar>
            <w:top w:w="0" w:type="dxa"/>
            <w:bottom w:w="0" w:type="dxa"/>
          </w:tblCellMar>
        </w:tblPrEx>
        <w:tc>
          <w:tcPr>
            <w:tcW w:w="3402" w:type="dxa"/>
          </w:tcPr>
          <w:p w14:paraId="5AB53854" w14:textId="77777777" w:rsidR="0048679D" w:rsidRPr="00A538DD" w:rsidRDefault="0048679D">
            <w:pPr>
              <w:jc w:val="left"/>
            </w:pPr>
            <w:r w:rsidRPr="00A538DD">
              <w:t>Arbetslöshet (%)</w:t>
            </w:r>
          </w:p>
        </w:tc>
        <w:tc>
          <w:tcPr>
            <w:tcW w:w="567" w:type="dxa"/>
          </w:tcPr>
          <w:p w14:paraId="753ED04B" w14:textId="77777777" w:rsidR="0048679D" w:rsidRPr="00A538DD" w:rsidRDefault="0048679D">
            <w:pPr>
              <w:jc w:val="right"/>
            </w:pPr>
            <w:r w:rsidRPr="00A538DD">
              <w:t>5,5</w:t>
            </w:r>
            <w:r w:rsidRPr="00A538DD">
              <w:rPr>
                <w:sz w:val="16"/>
                <w:vertAlign w:val="superscript"/>
              </w:rPr>
              <w:t>2</w:t>
            </w:r>
          </w:p>
        </w:tc>
        <w:tc>
          <w:tcPr>
            <w:tcW w:w="567" w:type="dxa"/>
          </w:tcPr>
          <w:p w14:paraId="05C9CF07" w14:textId="77777777" w:rsidR="0048679D" w:rsidRPr="00A538DD" w:rsidRDefault="0048679D">
            <w:pPr>
              <w:jc w:val="right"/>
            </w:pPr>
            <w:r w:rsidRPr="00A538DD">
              <w:t>4,9</w:t>
            </w:r>
          </w:p>
        </w:tc>
        <w:tc>
          <w:tcPr>
            <w:tcW w:w="567" w:type="dxa"/>
          </w:tcPr>
          <w:p w14:paraId="2A17E3BC" w14:textId="77777777" w:rsidR="0048679D" w:rsidRPr="00A538DD" w:rsidRDefault="0048679D">
            <w:pPr>
              <w:jc w:val="right"/>
            </w:pPr>
            <w:r w:rsidRPr="00A538DD">
              <w:t>4,0</w:t>
            </w:r>
          </w:p>
        </w:tc>
      </w:tr>
      <w:tr w:rsidR="00000000" w:rsidRPr="00A538DD" w14:paraId="69FA046D" w14:textId="77777777">
        <w:tblPrEx>
          <w:tblCellMar>
            <w:top w:w="0" w:type="dxa"/>
            <w:bottom w:w="0" w:type="dxa"/>
          </w:tblCellMar>
        </w:tblPrEx>
        <w:tc>
          <w:tcPr>
            <w:tcW w:w="3402" w:type="dxa"/>
          </w:tcPr>
          <w:p w14:paraId="1AABAB1B" w14:textId="77777777" w:rsidR="0048679D" w:rsidRPr="00A538DD" w:rsidRDefault="0048679D">
            <w:pPr>
              <w:pStyle w:val="Deltagare"/>
              <w:keepLines w:val="0"/>
              <w:spacing w:before="62" w:line="250" w:lineRule="atLeast"/>
              <w:jc w:val="left"/>
              <w:rPr>
                <w:noProof w:val="0"/>
              </w:rPr>
            </w:pPr>
            <w:r w:rsidRPr="00A538DD">
              <w:rPr>
                <w:noProof w:val="0"/>
              </w:rPr>
              <w:t>Inflation, mätt med KPI (procentuell fö</w:t>
            </w:r>
            <w:r w:rsidRPr="00A538DD">
              <w:rPr>
                <w:noProof w:val="0"/>
              </w:rPr>
              <w:t>r</w:t>
            </w:r>
            <w:r w:rsidRPr="00A538DD">
              <w:rPr>
                <w:noProof w:val="0"/>
              </w:rPr>
              <w:t>än</w:t>
            </w:r>
            <w:r w:rsidRPr="00A538DD">
              <w:rPr>
                <w:noProof w:val="0"/>
              </w:rPr>
              <w:t>d</w:t>
            </w:r>
            <w:r w:rsidRPr="00A538DD">
              <w:rPr>
                <w:noProof w:val="0"/>
              </w:rPr>
              <w:t>ring)</w:t>
            </w:r>
          </w:p>
        </w:tc>
        <w:tc>
          <w:tcPr>
            <w:tcW w:w="567" w:type="dxa"/>
          </w:tcPr>
          <w:p w14:paraId="46CFF969" w14:textId="77777777" w:rsidR="0048679D" w:rsidRPr="00A538DD" w:rsidRDefault="0048679D">
            <w:pPr>
              <w:jc w:val="right"/>
            </w:pPr>
            <w:r w:rsidRPr="00A538DD">
              <w:t>0,5</w:t>
            </w:r>
          </w:p>
        </w:tc>
        <w:tc>
          <w:tcPr>
            <w:tcW w:w="567" w:type="dxa"/>
          </w:tcPr>
          <w:p w14:paraId="339FF960" w14:textId="77777777" w:rsidR="0048679D" w:rsidRPr="00A538DD" w:rsidRDefault="0048679D">
            <w:pPr>
              <w:jc w:val="right"/>
            </w:pPr>
            <w:r w:rsidRPr="00A538DD">
              <w:t>2,0</w:t>
            </w:r>
          </w:p>
        </w:tc>
        <w:tc>
          <w:tcPr>
            <w:tcW w:w="567" w:type="dxa"/>
          </w:tcPr>
          <w:p w14:paraId="1B2EB59D" w14:textId="77777777" w:rsidR="0048679D" w:rsidRPr="00A538DD" w:rsidRDefault="0048679D">
            <w:pPr>
              <w:jc w:val="right"/>
            </w:pPr>
            <w:r w:rsidRPr="00A538DD">
              <w:t>2,4</w:t>
            </w:r>
          </w:p>
        </w:tc>
      </w:tr>
      <w:tr w:rsidR="00000000" w:rsidRPr="00A538DD" w14:paraId="6C111B25" w14:textId="77777777">
        <w:tblPrEx>
          <w:tblCellMar>
            <w:top w:w="0" w:type="dxa"/>
            <w:bottom w:w="0" w:type="dxa"/>
          </w:tblCellMar>
        </w:tblPrEx>
        <w:tc>
          <w:tcPr>
            <w:tcW w:w="3402" w:type="dxa"/>
          </w:tcPr>
          <w:p w14:paraId="3788B2DF" w14:textId="77777777" w:rsidR="0048679D" w:rsidRPr="00A538DD" w:rsidRDefault="0048679D">
            <w:pPr>
              <w:jc w:val="left"/>
            </w:pPr>
            <w:r w:rsidRPr="00A538DD">
              <w:t>Inflation, mätt med UND1X (procentuell förändring)</w:t>
            </w:r>
          </w:p>
        </w:tc>
        <w:tc>
          <w:tcPr>
            <w:tcW w:w="567" w:type="dxa"/>
          </w:tcPr>
          <w:p w14:paraId="1242F6B9" w14:textId="77777777" w:rsidR="0048679D" w:rsidRPr="00A538DD" w:rsidRDefault="0048679D">
            <w:pPr>
              <w:jc w:val="right"/>
            </w:pPr>
            <w:r w:rsidRPr="00A538DD">
              <w:t>0,9</w:t>
            </w:r>
          </w:p>
        </w:tc>
        <w:tc>
          <w:tcPr>
            <w:tcW w:w="567" w:type="dxa"/>
          </w:tcPr>
          <w:p w14:paraId="2DFFC54A" w14:textId="77777777" w:rsidR="0048679D" w:rsidRPr="00A538DD" w:rsidRDefault="0048679D">
            <w:pPr>
              <w:jc w:val="right"/>
            </w:pPr>
            <w:r w:rsidRPr="00A538DD">
              <w:t>2,3</w:t>
            </w:r>
          </w:p>
        </w:tc>
        <w:tc>
          <w:tcPr>
            <w:tcW w:w="567" w:type="dxa"/>
          </w:tcPr>
          <w:p w14:paraId="4840768F" w14:textId="77777777" w:rsidR="0048679D" w:rsidRPr="00A538DD" w:rsidRDefault="0048679D">
            <w:pPr>
              <w:jc w:val="right"/>
            </w:pPr>
            <w:r w:rsidRPr="00A538DD">
              <w:t>2,5</w:t>
            </w:r>
          </w:p>
        </w:tc>
      </w:tr>
    </w:tbl>
    <w:p w14:paraId="674B5A6B" w14:textId="77777777" w:rsidR="0048679D" w:rsidRPr="00A538DD" w:rsidRDefault="0048679D">
      <w:pPr>
        <w:rPr>
          <w:sz w:val="16"/>
        </w:rPr>
      </w:pPr>
      <w:r w:rsidRPr="00A538DD">
        <w:rPr>
          <w:sz w:val="16"/>
          <w:vertAlign w:val="superscript"/>
        </w:rPr>
        <w:t>1</w:t>
      </w:r>
      <w:r w:rsidRPr="00A538DD">
        <w:rPr>
          <w:sz w:val="16"/>
        </w:rPr>
        <w:t xml:space="preserve"> Varav 33 årsarbetskrafter avser tidigare anställda i SKAB.</w:t>
      </w:r>
    </w:p>
    <w:p w14:paraId="50D89E00" w14:textId="77777777" w:rsidR="0048679D" w:rsidRPr="00A538DD" w:rsidRDefault="0048679D">
      <w:pPr>
        <w:spacing w:before="0"/>
        <w:rPr>
          <w:sz w:val="16"/>
        </w:rPr>
      </w:pPr>
      <w:r w:rsidRPr="00A538DD">
        <w:rPr>
          <w:sz w:val="16"/>
          <w:vertAlign w:val="superscript"/>
        </w:rPr>
        <w:t xml:space="preserve">2 </w:t>
      </w:r>
      <w:r w:rsidRPr="00A538DD">
        <w:rPr>
          <w:sz w:val="16"/>
        </w:rPr>
        <w:t>Prognos enligt Inflationsrapport 2004:4.</w:t>
      </w:r>
    </w:p>
    <w:p w14:paraId="21324BC1" w14:textId="77777777" w:rsidR="0048679D" w:rsidRPr="00A538DD" w:rsidRDefault="0048679D"/>
    <w:p w14:paraId="2190F837" w14:textId="77777777" w:rsidR="0048679D" w:rsidRPr="00A538DD" w:rsidRDefault="0048679D">
      <w:pPr>
        <w:pStyle w:val="Normaltindrag"/>
        <w:sectPr w:rsidR="00000000" w:rsidRPr="00A538DD">
          <w:pgSz w:w="11906" w:h="16838" w:code="9"/>
          <w:pgMar w:top="907" w:right="4649" w:bottom="4508" w:left="1304" w:header="340" w:footer="227" w:gutter="0"/>
          <w:cols w:space="720"/>
          <w:titlePg/>
        </w:sectPr>
      </w:pPr>
    </w:p>
    <w:p w14:paraId="518F2C4C" w14:textId="77777777" w:rsidR="0048679D" w:rsidRPr="00A538DD" w:rsidRDefault="0048679D">
      <w:pPr>
        <w:pStyle w:val="Rubrik1"/>
        <w:spacing w:after="120"/>
        <w:rPr>
          <w:noProof w:val="0"/>
        </w:rPr>
      </w:pPr>
      <w:bookmarkStart w:id="9" w:name="_Toc97613751"/>
      <w:r w:rsidRPr="00A538DD">
        <w:rPr>
          <w:noProof w:val="0"/>
        </w:rPr>
        <w:t>Riksbankschefens kommentar</w:t>
      </w:r>
      <w:bookmarkEnd w:id="9"/>
    </w:p>
    <w:p w14:paraId="7CA34309" w14:textId="77777777" w:rsidR="0048679D" w:rsidRPr="00A538DD" w:rsidRDefault="0048679D">
      <w:pPr>
        <w:autoSpaceDE w:val="0"/>
        <w:autoSpaceDN w:val="0"/>
        <w:adjustRightInd w:val="0"/>
      </w:pPr>
      <w:r w:rsidRPr="00A538DD">
        <w:t>Under 2004 har jag besökt olika platser i Sverige inför Riksbankens ränteb</w:t>
      </w:r>
      <w:r w:rsidRPr="00A538DD">
        <w:t>e</w:t>
      </w:r>
      <w:r w:rsidRPr="00A538DD">
        <w:t>slut. Tanken har varit att träffa lokala företrädare för näringsliv, offentlig verksamhet och allmänhet, både för att förstå vad som händer på det ekon</w:t>
      </w:r>
      <w:r w:rsidRPr="00A538DD">
        <w:t>o</w:t>
      </w:r>
      <w:r w:rsidRPr="00A538DD">
        <w:t xml:space="preserve">miska området och för att berätta om Riksbankens arbete. Att på detta sätt skapa mig en bild av det ekonomiska läget i olika delar av landet är en viktig del av mitt arbete. </w:t>
      </w:r>
    </w:p>
    <w:p w14:paraId="1E4FB1E6" w14:textId="77777777" w:rsidR="0048679D" w:rsidRPr="00A538DD" w:rsidRDefault="0048679D">
      <w:pPr>
        <w:pStyle w:val="Normaltindrag"/>
      </w:pPr>
      <w:r w:rsidRPr="00A538DD">
        <w:t>Många av dem jag träffat har beskrivit hur hjulen snurrat med snabb takt under det gångna året. Det bekräftas också av den officiella statistiken, som tyder på en ekonomisk tillväxt på</w:t>
      </w:r>
      <w:r w:rsidRPr="00A538DD">
        <w:t xml:space="preserve"> drygt 3,5 %. År 2004 verkar därmed bli ett av de bästa åren i tillväxttermer under de senaste 30 åren. Bakom den här utvecklingen ligger bl.a. en förhållandevis expansiv ekonomisk politik, med historiskt låga räntor. </w:t>
      </w:r>
    </w:p>
    <w:p w14:paraId="72688152" w14:textId="77777777" w:rsidR="0048679D" w:rsidRPr="00A538DD" w:rsidRDefault="0048679D">
      <w:pPr>
        <w:pStyle w:val="R2"/>
      </w:pPr>
      <w:r w:rsidRPr="00A538DD">
        <w:t>Inflationen under målet</w:t>
      </w:r>
    </w:p>
    <w:p w14:paraId="2E360C8B" w14:textId="77777777" w:rsidR="0048679D" w:rsidRPr="00A538DD" w:rsidRDefault="0048679D">
      <w:pPr>
        <w:autoSpaceDE w:val="0"/>
        <w:autoSpaceDN w:val="0"/>
        <w:adjustRightInd w:val="0"/>
      </w:pPr>
      <w:r w:rsidRPr="00A538DD">
        <w:t>Trots den goda tillväxten har inflationen förblivit låg. Mätt med KPI respekt</w:t>
      </w:r>
      <w:r w:rsidRPr="00A538DD">
        <w:t>i</w:t>
      </w:r>
      <w:r w:rsidRPr="00A538DD">
        <w:t>ve UND1X, det mått som Riksbanken normalt använt under senare år när politiken utformats, blev inflationen 0,5 respektive 0,9 % under 2004. Att prisökningstakten skulle falla kraftigt var väntat, eftersom elpriserna drev upp inflationen tillfälligt i början på 2003. Men den totala nedgången blev större än förutsett. Bakom de låga prisökningarna i Sverige har främst legat ett lågt inhemskt kostnadstryck, sammanhängande med en stark produktivitetstil</w:t>
      </w:r>
      <w:r w:rsidRPr="00A538DD">
        <w:t>l</w:t>
      </w:r>
      <w:r w:rsidRPr="00A538DD">
        <w:t>växt, men också en svag utveckling av priserna på importer</w:t>
      </w:r>
      <w:r w:rsidRPr="00A538DD">
        <w:t xml:space="preserve">ade varor. </w:t>
      </w:r>
    </w:p>
    <w:p w14:paraId="6A8BFDBF" w14:textId="77777777" w:rsidR="0048679D" w:rsidRPr="00A538DD" w:rsidRDefault="0048679D">
      <w:pPr>
        <w:pStyle w:val="Normaltindrag"/>
      </w:pPr>
      <w:r w:rsidRPr="00A538DD">
        <w:t>Vad som döljer sig bakom uppgången i produktiviteten vet vi inte med s</w:t>
      </w:r>
      <w:r w:rsidRPr="00A538DD">
        <w:t>ä</w:t>
      </w:r>
      <w:r w:rsidRPr="00A538DD">
        <w:t xml:space="preserve">kerhet. En faktor är sannolikt det hårda konkurrenstryck, som allt fler företag och branscher utsätts för, en annan den ökande och allt bredare användningen av informationsteknologi. Om båda fenomenen har det vittnats vid många av de företagsbesök jag gjort ute i landet. </w:t>
      </w:r>
    </w:p>
    <w:p w14:paraId="17926CA5" w14:textId="77777777" w:rsidR="0048679D" w:rsidRPr="00A538DD" w:rsidRDefault="0048679D">
      <w:pPr>
        <w:pStyle w:val="Normaltindrag"/>
      </w:pPr>
      <w:r w:rsidRPr="00A538DD">
        <w:t>Baksidan av den goda produktivitetsutvecklingen har varit en svag arbet</w:t>
      </w:r>
      <w:r w:rsidRPr="00A538DD">
        <w:t>s</w:t>
      </w:r>
      <w:r w:rsidRPr="00A538DD">
        <w:t xml:space="preserve">marknad; uppgången har blivit fördröjd jämfört med vad som är normalt. Det har lett till en diskussion i samhället om vad som kan göras för att få upp sysselsättningen och om penningpolitikens effekter i detta sammanhang. </w:t>
      </w:r>
    </w:p>
    <w:p w14:paraId="675EAAC4" w14:textId="77777777" w:rsidR="0048679D" w:rsidRPr="00A538DD" w:rsidRDefault="0048679D">
      <w:pPr>
        <w:pStyle w:val="R2"/>
      </w:pPr>
      <w:r w:rsidRPr="00A538DD">
        <w:t xml:space="preserve">Riksbanken kan bidra till goda förutsättningar för tillväxt  </w:t>
      </w:r>
    </w:p>
    <w:p w14:paraId="35C9FD37" w14:textId="77777777" w:rsidR="0048679D" w:rsidRPr="00A538DD" w:rsidRDefault="0048679D">
      <w:pPr>
        <w:autoSpaceDE w:val="0"/>
        <w:autoSpaceDN w:val="0"/>
        <w:adjustRightInd w:val="0"/>
        <w:spacing w:before="0"/>
      </w:pPr>
      <w:r w:rsidRPr="00A538DD">
        <w:t>Om Riksbanken lyckas säkra ett fast penningvärde kan vi bidra till att en god grund läggs för ekonomisk tillväxt och hög sysselsättning på sikt. Det hänger samman med att det är lättare och tryggare för hushåll och företag att ta ek</w:t>
      </w:r>
      <w:r w:rsidRPr="00A538DD">
        <w:t>o</w:t>
      </w:r>
      <w:r w:rsidRPr="00A538DD">
        <w:t xml:space="preserve">nomiska beslut när inte utfallet förrycks av svängningar i inflationen. </w:t>
      </w:r>
    </w:p>
    <w:p w14:paraId="210402EB" w14:textId="77777777" w:rsidR="0048679D" w:rsidRPr="00A538DD" w:rsidRDefault="0048679D">
      <w:pPr>
        <w:pStyle w:val="Normaltindrag"/>
      </w:pPr>
      <w:r w:rsidRPr="00A538DD">
        <w:t>Ofta kan Riksbanken också bidra till att utjämna konjunkturen när vi fö</w:t>
      </w:r>
      <w:r w:rsidRPr="00A538DD">
        <w:t>r</w:t>
      </w:r>
      <w:r w:rsidRPr="00A538DD">
        <w:t>söker stabilisera penningvärdet. Tecken tyder på att den reala utvecklingen i ekonomin blivit stabilare under senare decennier i många länder som övergått till en penningpolitik inriktad på låg inflation. Det innebär dock inte att vi kan räkna med att det går att helt undvika svängningar i tillväxt och sysselsät</w:t>
      </w:r>
      <w:r w:rsidRPr="00A538DD">
        <w:t>t</w:t>
      </w:r>
      <w:r w:rsidRPr="00A538DD">
        <w:t>ning. Vi vet helt enkelt inte tillräckligt mycket om hur ekonomin fungerar för att kunna klara av detta.</w:t>
      </w:r>
    </w:p>
    <w:p w14:paraId="31F0C657" w14:textId="77777777" w:rsidR="0048679D" w:rsidRPr="00A538DD" w:rsidRDefault="0048679D">
      <w:pPr>
        <w:pStyle w:val="Normaltindrag"/>
      </w:pPr>
      <w:r w:rsidRPr="00A538DD">
        <w:t>Inte heller är det möjligt att uppnå en inflation på exakt 2 % varje år, det har utvecklinge</w:t>
      </w:r>
      <w:r w:rsidRPr="00A538DD">
        <w:t xml:space="preserve">n i Sverige och andra länder visat under de senaste tio åren. Det beror i hög grad på att penningpolitiken påverkar inflationen först med en viss fördröjning och att vi därför måste basera våra beslut om reporäntan på prognoser. </w:t>
      </w:r>
    </w:p>
    <w:p w14:paraId="7CF5D0B1" w14:textId="77777777" w:rsidR="0048679D" w:rsidRPr="00A538DD" w:rsidRDefault="0048679D">
      <w:pPr>
        <w:pStyle w:val="Normaltindrag"/>
      </w:pPr>
      <w:r w:rsidRPr="00A538DD">
        <w:t>Vad svenska folket kan räkna med – och lita på – är att vi hela tiden efte</w:t>
      </w:r>
      <w:r w:rsidRPr="00A538DD">
        <w:t>r</w:t>
      </w:r>
      <w:r w:rsidRPr="00A538DD">
        <w:t xml:space="preserve">strävar en inflation på målet. Det här är också ett budskap som verkar ha gått hem; den förväntade inflationen ett par år fram i tiden har varit stabil runt 2 %. </w:t>
      </w:r>
    </w:p>
    <w:p w14:paraId="7D541560" w14:textId="77777777" w:rsidR="0048679D" w:rsidRPr="00A538DD" w:rsidRDefault="0048679D">
      <w:pPr>
        <w:pStyle w:val="Normaltindrag"/>
      </w:pPr>
      <w:r w:rsidRPr="00A538DD">
        <w:t>Det kan också vara värt att observera att de svängningar som skett i infl</w:t>
      </w:r>
      <w:r w:rsidRPr="00A538DD">
        <w:t>a</w:t>
      </w:r>
      <w:r w:rsidRPr="00A538DD">
        <w:t>tionen sedan slutet av 1990-talet till stor del har berott på utbudsstörningar som inte haft några påtagligt negativa effekter på efterfrågeutvecklingen i ekonomin. Det vi upplever just nu, en god produktivitetsutveckling och låga importpriser, har tvärtom snarast positiva effekter på ekonomin. I tillväxtte</w:t>
      </w:r>
      <w:r w:rsidRPr="00A538DD">
        <w:t>r</w:t>
      </w:r>
      <w:r w:rsidRPr="00A538DD">
        <w:t xml:space="preserve">mer har utvecklingen utan tvekan varit avsevärt bättre sedan mitten av 1990-talet då den ekonomiska politiken lades om och inflationen stabiliserades. </w:t>
      </w:r>
    </w:p>
    <w:p w14:paraId="1DC5067A" w14:textId="77777777" w:rsidR="0048679D" w:rsidRPr="00A538DD" w:rsidRDefault="0048679D">
      <w:pPr>
        <w:pStyle w:val="R2"/>
      </w:pPr>
      <w:r w:rsidRPr="00A538DD">
        <w:t>Skuldsättning och bostadspriser har oroat</w:t>
      </w:r>
    </w:p>
    <w:p w14:paraId="2A9640E0" w14:textId="77777777" w:rsidR="0048679D" w:rsidRPr="00A538DD" w:rsidRDefault="0048679D">
      <w:pPr>
        <w:autoSpaceDE w:val="0"/>
        <w:autoSpaceDN w:val="0"/>
        <w:adjustRightInd w:val="0"/>
      </w:pPr>
      <w:r w:rsidRPr="00A538DD">
        <w:t>Riksbanken arbetar också sedan ungefär tio år tillbaka aktivt med att följa och analysera den finansiella stabiliteten i ekonomin. Något som diskuterats en hel del under 2004 var att skuldsättningen hos svenska hushåll och priserna på bostäder fortsatte att öka. Det skapade en del frågetecken om hushållens betalningsförmåga och om riskerna för en tillbakagång på bostadsmarknaden, med möjliga återverkningar på banksystemet och den ekonomiska utvec</w:t>
      </w:r>
      <w:r w:rsidRPr="00A538DD">
        <w:t>k</w:t>
      </w:r>
      <w:r w:rsidRPr="00A538DD">
        <w:t>lingen i stort. En del bedömare krävde av denna anledning högre räntor för att stävja utvecklingen.</w:t>
      </w:r>
    </w:p>
    <w:p w14:paraId="6143A0F2" w14:textId="77777777" w:rsidR="0048679D" w:rsidRPr="00A538DD" w:rsidRDefault="0048679D">
      <w:pPr>
        <w:pStyle w:val="Normaltindrag"/>
      </w:pPr>
      <w:r w:rsidRPr="00A538DD">
        <w:t>Riksbankens analyser tyder på att de skuldsatta hushållen i genomsnitt har förhållandevis goda ekonomiska marginaler för att klara stigande räntor. Priserna på egna hem verkar också gå att förklara med rimliga ekonomiska modeller, vilket talar för att det inte handlar om en mer utbredd spekulativ ”bubbla” på bostadsmarknaden. Någon anledning till oro för stabiliteten i banksystemet har vi inte funnit. Mycket</w:t>
      </w:r>
      <w:r w:rsidRPr="00A538DD">
        <w:t xml:space="preserve"> talar ändå för att frågor kring b</w:t>
      </w:r>
      <w:r w:rsidRPr="00A538DD">
        <w:t>o</w:t>
      </w:r>
      <w:r w:rsidRPr="00A538DD">
        <w:t>stadspriser och hushållens skuldsättning kommer att föranleda uppmärksa</w:t>
      </w:r>
      <w:r w:rsidRPr="00A538DD">
        <w:t>m</w:t>
      </w:r>
      <w:r w:rsidRPr="00A538DD">
        <w:t xml:space="preserve">het också under de närmaste åren, särskilt om ränteläget förblir lågt till följd av fortsatt gynnsamma inflationsperspektiv. </w:t>
      </w:r>
    </w:p>
    <w:p w14:paraId="7A82605E" w14:textId="77777777" w:rsidR="0048679D" w:rsidRPr="00A538DD" w:rsidRDefault="0048679D">
      <w:pPr>
        <w:pStyle w:val="R2"/>
      </w:pPr>
      <w:r w:rsidRPr="00A538DD">
        <w:t>Effektivare arbetsformer</w:t>
      </w:r>
    </w:p>
    <w:p w14:paraId="76B7EB09" w14:textId="77777777" w:rsidR="0048679D" w:rsidRPr="00A538DD" w:rsidRDefault="0048679D">
      <w:pPr>
        <w:autoSpaceDE w:val="0"/>
        <w:autoSpaceDN w:val="0"/>
        <w:adjustRightInd w:val="0"/>
      </w:pPr>
      <w:r w:rsidRPr="00A538DD">
        <w:t xml:space="preserve">Internt i Riksbanken har arbetet med att effektivisera arbetsformerna fortsatt under 2004. Det har tagit sig många konkreta uttryck. </w:t>
      </w:r>
    </w:p>
    <w:p w14:paraId="08C09FE6" w14:textId="77777777" w:rsidR="0048679D" w:rsidRPr="00A538DD" w:rsidRDefault="0048679D">
      <w:pPr>
        <w:pStyle w:val="Normaltindrag"/>
      </w:pPr>
      <w:r w:rsidRPr="00A538DD">
        <w:t>Förändringen av kontanthanteringen har i stort sett slutförts i och med att Tumba Bruk har sålts, Pengar i Sverige AB avvecklats och verksamheten i Svensk Kontantförsörjning AB integrerats i Riksbankens organisation. Det som nu återstår är att i samarbete med bankerna och andra marknadsaktörer lägga sista handen vid den nya strukturen. De förändringar som genomförts har sammantaget inneburit att antalet årsarbetskrafter i Riksbanken och dess bolag under de senaste två åren minskat från 1281 till 423.</w:t>
      </w:r>
    </w:p>
    <w:p w14:paraId="60C2F61F" w14:textId="77777777" w:rsidR="0048679D" w:rsidRPr="00A538DD" w:rsidRDefault="0048679D">
      <w:pPr>
        <w:pStyle w:val="Normaltindrag"/>
      </w:pPr>
      <w:r w:rsidRPr="00A538DD">
        <w:t>Genom en omorganisation har antalet avdelningar i Riksbanken reducerats, samtidigt som en ytterligare delegering av löpande uppgifter skett till avde</w:t>
      </w:r>
      <w:r w:rsidRPr="00A538DD">
        <w:t>l</w:t>
      </w:r>
      <w:r w:rsidRPr="00A538DD">
        <w:t>ningscheferna. Ändringarna i organisation och ledningsformer har förtydligat ansvarsförhållandena, skapat förutsättningar för en mer sammanhållen le</w:t>
      </w:r>
      <w:r w:rsidRPr="00A538DD">
        <w:t>d</w:t>
      </w:r>
      <w:r w:rsidRPr="00A538DD">
        <w:t>ning och gjort att direktionen i högre grad kan fokusera på övergripande och strategiska frågor.</w:t>
      </w:r>
    </w:p>
    <w:p w14:paraId="3268EC9D" w14:textId="77777777" w:rsidR="0048679D" w:rsidRPr="00A538DD" w:rsidRDefault="0048679D">
      <w:pPr>
        <w:pStyle w:val="Normaltindrag"/>
      </w:pPr>
      <w:r w:rsidRPr="00A538DD">
        <w:t>Avslutningsvis vill jag rikta ett stort tack till alla medarbetare för fina i</w:t>
      </w:r>
      <w:r w:rsidRPr="00A538DD">
        <w:t>n</w:t>
      </w:r>
      <w:r w:rsidRPr="00A538DD">
        <w:t>satser under året. Jag vill också tacka mina kollegor i direktionen samt led</w:t>
      </w:r>
      <w:r w:rsidRPr="00A538DD">
        <w:t>a</w:t>
      </w:r>
      <w:r w:rsidRPr="00A538DD">
        <w:t>möterna i riksbanksfullmäktige för ett gott samarbete.</w:t>
      </w:r>
    </w:p>
    <w:p w14:paraId="7E4A0558" w14:textId="77777777" w:rsidR="0048679D" w:rsidRPr="00A538DD" w:rsidRDefault="0048679D">
      <w:pPr>
        <w:autoSpaceDE w:val="0"/>
        <w:autoSpaceDN w:val="0"/>
        <w:adjustRightInd w:val="0"/>
        <w:spacing w:before="187"/>
      </w:pPr>
      <w:r w:rsidRPr="00A538DD">
        <w:t>Stockholm i februari 2005</w:t>
      </w:r>
    </w:p>
    <w:p w14:paraId="78BBF7A7" w14:textId="77777777" w:rsidR="0048679D" w:rsidRPr="00A538DD" w:rsidRDefault="0048679D">
      <w:pPr>
        <w:autoSpaceDE w:val="0"/>
        <w:autoSpaceDN w:val="0"/>
        <w:adjustRightInd w:val="0"/>
        <w:spacing w:before="187"/>
      </w:pPr>
      <w:r w:rsidRPr="00A538DD">
        <w:t>Lars Heikensten</w:t>
      </w:r>
    </w:p>
    <w:p w14:paraId="5E18B714" w14:textId="77777777" w:rsidR="0048679D" w:rsidRPr="00A538DD" w:rsidRDefault="0048679D">
      <w:pPr>
        <w:sectPr w:rsidR="00000000" w:rsidRPr="00A538D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14:paraId="75346C61" w14:textId="77777777" w:rsidR="0048679D" w:rsidRPr="00A538DD" w:rsidRDefault="0048679D">
      <w:pPr>
        <w:pStyle w:val="R1"/>
        <w:rPr>
          <w:u w:val="single"/>
        </w:rPr>
      </w:pPr>
      <w:bookmarkStart w:id="10" w:name="_Toc97613752"/>
      <w:r w:rsidRPr="00A538DD">
        <w:t>FÖRVALTNINGSBERÄTTELSE</w:t>
      </w:r>
      <w:bookmarkEnd w:id="10"/>
    </w:p>
    <w:p w14:paraId="772EB793" w14:textId="77777777" w:rsidR="0048679D" w:rsidRPr="00A538DD" w:rsidRDefault="0048679D">
      <w:pPr>
        <w:pStyle w:val="Rubrik1"/>
        <w:rPr>
          <w:noProof w:val="0"/>
        </w:rPr>
      </w:pPr>
      <w:r w:rsidRPr="00A538DD">
        <w:rPr>
          <w:noProof w:val="0"/>
        </w:rPr>
        <w:t>Riksbankens uppgifter och roll</w:t>
      </w:r>
    </w:p>
    <w:p w14:paraId="564589CC" w14:textId="77777777" w:rsidR="0048679D" w:rsidRPr="00A538DD" w:rsidRDefault="0048679D">
      <w:pPr>
        <w:pStyle w:val="LagtextRubrik"/>
        <w:spacing w:before="62" w:after="0" w:line="250" w:lineRule="atLeast"/>
      </w:pPr>
      <w:r w:rsidRPr="00A538DD">
        <w:t>Riksbanken är Sveriges centralbank och en myndighet under riksdagen. Rik</w:t>
      </w:r>
      <w:r w:rsidRPr="00A538DD">
        <w:t>s</w:t>
      </w:r>
      <w:r w:rsidRPr="00A538DD">
        <w:t xml:space="preserve">banken ansvarar för penningpolitiken med målet att upprätthålla ett fast penningvärde. Riksbanken ska i sin verksamhet också främja ett säkert och effektivt betalningsväsende. </w:t>
      </w:r>
    </w:p>
    <w:p w14:paraId="44C439A4" w14:textId="77777777" w:rsidR="0048679D" w:rsidRPr="00A538DD" w:rsidRDefault="0048679D">
      <w:pPr>
        <w:pStyle w:val="R3"/>
      </w:pPr>
      <w:r w:rsidRPr="00A538DD">
        <w:t xml:space="preserve">Ett fast penningvärde – prisstabilitet </w:t>
      </w:r>
    </w:p>
    <w:p w14:paraId="36E41CF3" w14:textId="77777777" w:rsidR="0048679D" w:rsidRPr="00A538DD" w:rsidRDefault="0048679D">
      <w:pPr>
        <w:ind w:right="-2"/>
        <w:rPr>
          <w:i/>
        </w:rPr>
      </w:pPr>
      <w:r w:rsidRPr="00A538DD">
        <w:t>Det av riksdagen fastlagda målet om ett fast penningvärde innebär att infl</w:t>
      </w:r>
      <w:r w:rsidRPr="00A538DD">
        <w:t>a</w:t>
      </w:r>
      <w:r w:rsidRPr="00A538DD">
        <w:t xml:space="preserve">tionen ska vara låg och stabil. Det ger goda förutsättningar för en gynnsam och uthållig ekonomisk tillväxt. </w:t>
      </w:r>
    </w:p>
    <w:p w14:paraId="68375DFB" w14:textId="77777777" w:rsidR="0048679D" w:rsidRPr="00A538DD" w:rsidRDefault="0048679D">
      <w:pPr>
        <w:pStyle w:val="Normaltindrag"/>
      </w:pPr>
      <w:r w:rsidRPr="00A538DD">
        <w:t>Riksbanken har preciserat målet om ett fast penningvärde till att inflati</w:t>
      </w:r>
      <w:r w:rsidRPr="00A538DD">
        <w:t>o</w:t>
      </w:r>
      <w:r w:rsidRPr="00A538DD">
        <w:t>nen (prisökningstakten), mätt med konsumentprisindex (KPI), ska begränsas till 2 % per år. Kring målet har ett intervall på ±1 %enhet angetts. Syftet med toleransintervallet är att tydliggöra att avvikelser från målet är sannolika men att Riksbankens ambition är att försöka begränsa dessa avvikelser. I praktiken baseras penningpolitiken ofta på mått på den underliggande inflationen, dvs. mått på inflationen där effekter från olika tillfälliga störningar rensats bort. Det i detta sammanhang oftast använda m</w:t>
      </w:r>
      <w:r w:rsidRPr="00A538DD">
        <w:t>åttet har varit UND1X, där effekter av räntekostnader för egnahem samt direkta effekter av förändrade indirekta skatter och subventioner har exklud</w:t>
      </w:r>
      <w:r w:rsidRPr="00A538DD">
        <w:t>e</w:t>
      </w:r>
      <w:r w:rsidRPr="00A538DD">
        <w:t>rats.</w:t>
      </w:r>
    </w:p>
    <w:p w14:paraId="2F1D5FDE" w14:textId="77777777" w:rsidR="0048679D" w:rsidRPr="00A538DD" w:rsidRDefault="0048679D">
      <w:pPr>
        <w:pStyle w:val="Normaltindrag"/>
      </w:pPr>
      <w:r w:rsidRPr="00A538DD">
        <w:t>Reporäntan är Riksbankens viktigaste instrument för att påverka inflati</w:t>
      </w:r>
      <w:r w:rsidRPr="00A538DD">
        <w:t>o</w:t>
      </w:r>
      <w:r w:rsidRPr="00A538DD">
        <w:t>nen. Det är reporäntan som avgör vad bankerna måste betala för att låna pengar hos Riksbanken och den påverkar därmed räntekostnaden för hushåll och företag.</w:t>
      </w:r>
    </w:p>
    <w:p w14:paraId="14F3A0E4" w14:textId="77777777" w:rsidR="0048679D" w:rsidRPr="00A538DD" w:rsidRDefault="0048679D">
      <w:pPr>
        <w:pStyle w:val="Normaltindrag"/>
      </w:pPr>
      <w:r w:rsidRPr="00A538DD">
        <w:t xml:space="preserve">Det tar tid för en ränteförändring att fullt ut påverka prisökningstakten. Merparten av penningpolitikens effekter på inflationen bedöms komma med ett till två års fördröjning. Riksbanken baserar därför sin politik på en prognos över inflationsutvecklingen ett par år framåt i tiden. </w:t>
      </w:r>
    </w:p>
    <w:p w14:paraId="61700B1D" w14:textId="77777777" w:rsidR="0048679D" w:rsidRPr="00A538DD" w:rsidRDefault="0048679D">
      <w:pPr>
        <w:pStyle w:val="R3"/>
      </w:pPr>
      <w:r w:rsidRPr="00A538DD">
        <w:t>Ett säkert och effektivt betalningsväsende – finansiell stabilitet</w:t>
      </w:r>
    </w:p>
    <w:p w14:paraId="226751E5" w14:textId="77777777" w:rsidR="0048679D" w:rsidRPr="00A538DD" w:rsidRDefault="0048679D">
      <w:r w:rsidRPr="00A538DD">
        <w:t>Riksbankens tolkning av uppgiften att främja ett säkert och effektivt beta</w:t>
      </w:r>
      <w:r w:rsidRPr="00A538DD">
        <w:t>l</w:t>
      </w:r>
      <w:r w:rsidRPr="00A538DD">
        <w:t>ningsväsende är att verka för stabilitet i hela det finansiella systemet. I up</w:t>
      </w:r>
      <w:r w:rsidRPr="00A538DD">
        <w:t>p</w:t>
      </w:r>
      <w:r w:rsidRPr="00A538DD">
        <w:t>draget ingår också att ansvara för försörjningen av sedlar och mynt. Riksba</w:t>
      </w:r>
      <w:r w:rsidRPr="00A538DD">
        <w:t>n</w:t>
      </w:r>
      <w:r w:rsidRPr="00A538DD">
        <w:t xml:space="preserve">ken har dessutom ett operativt ansvar för det system som gör det möjligt för bankerna att säkert genomföra stora betalningar mellan varandra. </w:t>
      </w:r>
    </w:p>
    <w:p w14:paraId="70BD896B" w14:textId="77777777" w:rsidR="0048679D" w:rsidRPr="00A538DD" w:rsidRDefault="0048679D">
      <w:pPr>
        <w:pStyle w:val="Normaltindrag"/>
      </w:pPr>
      <w:r w:rsidRPr="00A538DD">
        <w:t>Riksbanken publicerar två gånger per år en rapport om stabiliteten i det svenska finansiella systemet. I rapporten bedöms främst riskerna för problem i de svenska storbankerna och i den centrala finansiella infras</w:t>
      </w:r>
      <w:r w:rsidRPr="00A538DD">
        <w:t>trukturen, efte</w:t>
      </w:r>
      <w:r w:rsidRPr="00A538DD">
        <w:t>r</w:t>
      </w:r>
      <w:r w:rsidRPr="00A538DD">
        <w:t>som dessa anses ha avgörande betydelse för stabiliteten i systemet i sin he</w:t>
      </w:r>
      <w:r w:rsidRPr="00A538DD">
        <w:t>l</w:t>
      </w:r>
      <w:r w:rsidRPr="00A538DD">
        <w:t>het. Finansiell stabilitet är också en viktig förutsättning för att Riksbanken ska kunna upprätthålla prisstabilitet. Något medel liknande reporäntan för att direkt påverka stabiliteten i det finansiella systemet finns däremot inte. Rik</w:t>
      </w:r>
      <w:r w:rsidRPr="00A538DD">
        <w:t>s</w:t>
      </w:r>
      <w:r w:rsidRPr="00A538DD">
        <w:t>banken kan emellertid i en krissituation ge tillfälligt likviditetsstöd till banker under vissa betingelser.</w:t>
      </w:r>
    </w:p>
    <w:p w14:paraId="324DB5CC" w14:textId="77777777" w:rsidR="0048679D" w:rsidRPr="00A538DD" w:rsidRDefault="0048679D">
      <w:pPr>
        <w:pStyle w:val="R3"/>
      </w:pPr>
      <w:r w:rsidRPr="00A538DD">
        <w:t>Riksbankens självständiga ställning</w:t>
      </w:r>
    </w:p>
    <w:p w14:paraId="6A442A8C" w14:textId="77777777" w:rsidR="0048679D" w:rsidRPr="00A538DD" w:rsidRDefault="0048679D">
      <w:pPr>
        <w:ind w:right="-2"/>
      </w:pPr>
      <w:r w:rsidRPr="00A538DD">
        <w:t>Riksbanken är en myndighet under riksdagen. Riksdagen utser de elva led</w:t>
      </w:r>
      <w:r w:rsidRPr="00A538DD">
        <w:t>a</w:t>
      </w:r>
      <w:r w:rsidRPr="00A538DD">
        <w:t>möterna i riksbanksfullmäktige. Riksbanksfullmäktige väljer de sex ledam</w:t>
      </w:r>
      <w:r w:rsidRPr="00A538DD">
        <w:t>ö</w:t>
      </w:r>
      <w:r w:rsidRPr="00A538DD">
        <w:t>terna i Riksbankens direktion för mandatperioder på sex år. Fullmäktiges roll i övrigt är att övervaka och kontrollera direktionens arbete.</w:t>
      </w:r>
    </w:p>
    <w:p w14:paraId="54213C16" w14:textId="77777777" w:rsidR="0048679D" w:rsidRPr="00A538DD" w:rsidRDefault="0048679D">
      <w:pPr>
        <w:pStyle w:val="Normaltindrag"/>
      </w:pPr>
      <w:r w:rsidRPr="00A538DD">
        <w:t>Riksdagen beslutade i slutet av 1990-talet att ge Riksbanken en självstä</w:t>
      </w:r>
      <w:r w:rsidRPr="00A538DD">
        <w:t>n</w:t>
      </w:r>
      <w:r w:rsidRPr="00A538DD">
        <w:t>dig ställning. Detta innebär att Riksbankens direktion fattar de penningpol</w:t>
      </w:r>
      <w:r w:rsidRPr="00A538DD">
        <w:t>i</w:t>
      </w:r>
      <w:r w:rsidRPr="00A538DD">
        <w:t>tiska besluten utan att ta direktiv från någon annan. Genom att delegera up</w:t>
      </w:r>
      <w:r w:rsidRPr="00A538DD">
        <w:t>p</w:t>
      </w:r>
      <w:r w:rsidRPr="00A538DD">
        <w:t xml:space="preserve">giften att upprätthålla ett fast penningvärde till Riksbanken ville riksdagen ge penningpolitiken ett långsiktigt perspektiv och skapa bättre förutsättningar för att målet ska vara trovärdigt. Riksbanksfullmäktiges ordförande och vice ordförande har närvaro- och yttranderätt vid direktionens sammanträden, men inte förslags- och beslutsrätt. </w:t>
      </w:r>
    </w:p>
    <w:p w14:paraId="1A0B022B" w14:textId="77777777" w:rsidR="0048679D" w:rsidRPr="00A538DD" w:rsidRDefault="0048679D">
      <w:pPr>
        <w:pStyle w:val="R3"/>
      </w:pPr>
      <w:r w:rsidRPr="00A538DD">
        <w:t>Verksamhetens i</w:t>
      </w:r>
      <w:r w:rsidRPr="00A538DD">
        <w:t xml:space="preserve">nriktning </w:t>
      </w:r>
    </w:p>
    <w:p w14:paraId="335EEDDC" w14:textId="77777777" w:rsidR="0048679D" w:rsidRPr="00A538DD" w:rsidRDefault="0048679D">
      <w:r w:rsidRPr="00A538DD">
        <w:t>Arbetet i Riksbanken har under senare år vägletts av en uttalad inriktning på effektivitet och koncentration till huvuduppgifterna, en strävan efter öppenhet och tydlighet samt en kontinuerlig förstärkning av kompetensen i organisati</w:t>
      </w:r>
      <w:r w:rsidRPr="00A538DD">
        <w:t>o</w:t>
      </w:r>
      <w:r w:rsidRPr="00A538DD">
        <w:t xml:space="preserve">nen. </w:t>
      </w:r>
    </w:p>
    <w:p w14:paraId="5BD7DA46" w14:textId="77777777" w:rsidR="0048679D" w:rsidRPr="00A538DD" w:rsidRDefault="0048679D">
      <w:pPr>
        <w:pStyle w:val="Normaltindrag"/>
        <w:rPr>
          <w:i/>
        </w:rPr>
      </w:pPr>
      <w:r w:rsidRPr="00A538DD">
        <w:t>Riksbanken har en central roll i samhällsekonomin och en självständig ställning. Det medför höga krav på att bedriva verksamheten effektivt. Ko</w:t>
      </w:r>
      <w:r w:rsidRPr="00A538DD">
        <w:t>n</w:t>
      </w:r>
      <w:r w:rsidRPr="00A538DD">
        <w:t>centration till huvuduppgifterna syftar till att skapa en effektiv verksamhet. Riksbanken har under senare år strävat efter att renodla verksamheten till det analytiska arbetet inom penningpolitik och finansiell stabilitet.</w:t>
      </w:r>
    </w:p>
    <w:p w14:paraId="02DDA8F8" w14:textId="77777777" w:rsidR="0048679D" w:rsidRPr="00A538DD" w:rsidRDefault="0048679D">
      <w:pPr>
        <w:pStyle w:val="Normaltindrag"/>
      </w:pPr>
      <w:r w:rsidRPr="00A538DD">
        <w:t>Riksbankens självständiga ställning förutsätter en hög grad av öppenhet och tydlighet. För att penningpolitiken ska vara trovärdig och förankrad i samhället är det viktigt att den går att förstå för en bred allmänhet, att den diskuteras på ett öppet sätt och att den kan utvärderas. Öppe</w:t>
      </w:r>
      <w:r w:rsidRPr="00A538DD">
        <w:t>nhet och tydlighet är vägledande även för Riksbankens övriga verksamheter.</w:t>
      </w:r>
    </w:p>
    <w:p w14:paraId="0CA7D709" w14:textId="77777777" w:rsidR="0048679D" w:rsidRPr="00A538DD" w:rsidRDefault="0048679D">
      <w:pPr>
        <w:pStyle w:val="Normaltindrag"/>
      </w:pPr>
      <w:r w:rsidRPr="00A538DD">
        <w:t>Hög kompetens krävs inom Riksbankens alla verksamhetsområden. Kval</w:t>
      </w:r>
      <w:r w:rsidRPr="00A538DD">
        <w:t>i</w:t>
      </w:r>
      <w:r w:rsidRPr="00A538DD">
        <w:t>ficerad analys är en förutsättning för välgrundade beslut, och Riksbanken arbetar kontinuerligt med att fördjupa förståelsen av frågeställningar relater</w:t>
      </w:r>
      <w:r w:rsidRPr="00A538DD">
        <w:t>a</w:t>
      </w:r>
      <w:r w:rsidRPr="00A538DD">
        <w:t xml:space="preserve">de till penningpolitiken och betalningsväsendet. Detta sker bl.a. genom att Riksbanken strävar efter en nära koppling mellan den praktiskt tillämpade analysen och teoretisk och empirisk forskning. </w:t>
      </w:r>
    </w:p>
    <w:p w14:paraId="1DF13CCE" w14:textId="77777777" w:rsidR="0048679D" w:rsidRPr="00A538DD" w:rsidRDefault="0048679D">
      <w:pPr>
        <w:sectPr w:rsidR="00000000" w:rsidRPr="00A538DD">
          <w:pgSz w:w="11906" w:h="16838" w:code="9"/>
          <w:pgMar w:top="907" w:right="4649" w:bottom="4508" w:left="1304" w:header="340" w:footer="227" w:gutter="0"/>
          <w:cols w:space="720"/>
          <w:titlePg/>
        </w:sectPr>
      </w:pPr>
    </w:p>
    <w:p w14:paraId="4AB66EB6" w14:textId="77777777" w:rsidR="0048679D" w:rsidRPr="00A538DD" w:rsidRDefault="0048679D">
      <w:pPr>
        <w:pStyle w:val="Rubrik1"/>
        <w:spacing w:after="480"/>
        <w:rPr>
          <w:noProof w:val="0"/>
        </w:rPr>
      </w:pPr>
      <w:r w:rsidRPr="00A538DD">
        <w:rPr>
          <w:noProof w:val="0"/>
        </w:rPr>
        <w:t>Ett fast penningvärde – prisstabilitet</w:t>
      </w:r>
    </w:p>
    <w:p w14:paraId="53C21C70" w14:textId="77777777" w:rsidR="0048679D" w:rsidRPr="00A538DD" w:rsidRDefault="0048679D">
      <w:pPr>
        <w:pStyle w:val="LagtextRubrik"/>
        <w:spacing w:after="0" w:line="250" w:lineRule="atLeast"/>
      </w:pPr>
      <w:r w:rsidRPr="00A538DD">
        <w:t>Inflationen uppgick 2004 till 0,5 % i genomsnitt mätt som ökning av kons</w:t>
      </w:r>
      <w:r w:rsidRPr="00A538DD">
        <w:t>u</w:t>
      </w:r>
      <w:r w:rsidRPr="00A538DD">
        <w:t>mentprisindex. Den underliggande inflationen, mätt som förändringen i UND1X, var i genomsnitt 0,9 %. Den låga prisökningstakten berodde framför allt på elprisernas utveckling, men även på att priserna på importerade pr</w:t>
      </w:r>
      <w:r w:rsidRPr="00A538DD">
        <w:t>o</w:t>
      </w:r>
      <w:r w:rsidRPr="00A538DD">
        <w:t>dukter utvecklades svagt och att produktivitetstillväxten blev överraskande hög. Riksbanken sänkte under 2004 reporäntan med sammanlagt 0,75 pr</w:t>
      </w:r>
      <w:r w:rsidRPr="00A538DD">
        <w:t>o</w:t>
      </w:r>
      <w:r w:rsidRPr="00A538DD">
        <w:t>centenheter och reporä</w:t>
      </w:r>
      <w:r w:rsidRPr="00A538DD">
        <w:t>n</w:t>
      </w:r>
      <w:r w:rsidRPr="00A538DD">
        <w:t xml:space="preserve">tan var vid årets utgång 2,0 %. </w:t>
      </w:r>
    </w:p>
    <w:p w14:paraId="58C9CE73" w14:textId="77777777" w:rsidR="0048679D" w:rsidRPr="00A538DD" w:rsidRDefault="0048679D">
      <w:pPr>
        <w:pStyle w:val="R2"/>
      </w:pPr>
      <w:r w:rsidRPr="00A538DD">
        <w:t xml:space="preserve">Verksamhetsbeskrivning </w:t>
      </w:r>
    </w:p>
    <w:p w14:paraId="510202D8" w14:textId="77777777" w:rsidR="0048679D" w:rsidRPr="00A538DD" w:rsidRDefault="0048679D">
      <w:r w:rsidRPr="00A538DD">
        <w:t>Det lagstadgade målet för Riksbankens verksamhet är att upprätthålla ett fast penningvärde. Riksbanken har preciserat målet om ett fast penningvärde till att inflationen ska begränsas till 2 % per år med ett intervall på ±1 %enhet. Syftet med intervallet är att tydliggöra att avvikelser från målet är sannolika men att Riksbankens ambition är att försöka begränsa dessa avvikelser. Infl</w:t>
      </w:r>
      <w:r w:rsidRPr="00A538DD">
        <w:t>a</w:t>
      </w:r>
      <w:r w:rsidRPr="00A538DD">
        <w:t>tionsmålet definieras i termer av förändringen i konsumentprisindex (KPI). KPI mäter priset på en korg av varor och tjänster som hushållen konsumerar och beräknas varje månad av Statistiska centralbyrån. Penningpolitiken bas</w:t>
      </w:r>
      <w:r w:rsidRPr="00A538DD">
        <w:t>e</w:t>
      </w:r>
      <w:r w:rsidRPr="00A538DD">
        <w:t>ras vanligen på mått på den underliggande inflationen som antas ge en bättre bild av det underliggande, konjunkturrelaterade inflationstrycket. Det vanl</w:t>
      </w:r>
      <w:r w:rsidRPr="00A538DD">
        <w:t>i</w:t>
      </w:r>
      <w:r w:rsidRPr="00A538DD">
        <w:t>gaste måttet är UND1X som exkluderar hushållens räntekostnader för egn</w:t>
      </w:r>
      <w:r w:rsidRPr="00A538DD">
        <w:t>a</w:t>
      </w:r>
      <w:r w:rsidRPr="00A538DD">
        <w:t>hem och direkta effekter av ändrade indirekta skatter och subv</w:t>
      </w:r>
      <w:r w:rsidRPr="00A538DD">
        <w:t>enti</w:t>
      </w:r>
      <w:r w:rsidRPr="00A538DD">
        <w:t>o</w:t>
      </w:r>
      <w:r w:rsidRPr="00A538DD">
        <w:t>ner.</w:t>
      </w:r>
    </w:p>
    <w:p w14:paraId="5533F5FA" w14:textId="77777777" w:rsidR="0048679D" w:rsidRPr="00A538DD" w:rsidRDefault="0048679D">
      <w:pPr>
        <w:pStyle w:val="R3"/>
      </w:pPr>
      <w:r w:rsidRPr="00A538DD">
        <w:t xml:space="preserve">Penningpolitikens transmissionsmekanism </w:t>
      </w:r>
    </w:p>
    <w:p w14:paraId="45706C09" w14:textId="77777777" w:rsidR="0048679D" w:rsidRPr="00A538DD" w:rsidRDefault="0048679D">
      <w:r w:rsidRPr="00A538DD">
        <w:t>För att påverka inflationen varierar Riksbanken styrräntan, den s.k. reporä</w:t>
      </w:r>
      <w:r w:rsidRPr="00A538DD">
        <w:t>n</w:t>
      </w:r>
      <w:r w:rsidRPr="00A538DD">
        <w:t xml:space="preserve">tan. Den ändras i avsikt att påverka andra räntor i ekonomin och därmed den ekonomiska aktiviteten och inflationen. Penningpolitiken verkar dock inte bara genom reporäntans nivå. Hushållens och företagens förväntningar om den framtida ränteutvecklingen och om inflationen är andra faktorer som har betydelse. </w:t>
      </w:r>
    </w:p>
    <w:p w14:paraId="04ED648C" w14:textId="77777777" w:rsidR="0048679D" w:rsidRPr="00A538DD" w:rsidRDefault="0048679D">
      <w:pPr>
        <w:pStyle w:val="Normaltindrag"/>
      </w:pPr>
      <w:r w:rsidRPr="00A538DD">
        <w:t>Hur reporänteförändringar påverkar inflationen och den övriga ekonomin brukar benämnas penningpolitikens transmissionsmekanism. Denna är i själva verket sammansatt av flera olika samverkande mekanismer</w:t>
      </w:r>
      <w:r w:rsidRPr="00A538DD">
        <w:t>. En del av dessa påverkar inflationen relativt omgående medan andra tar längre tid. En allmän uppfattning är att den största effekten på inflationen inträffar ett till två år efter en reporänt</w:t>
      </w:r>
      <w:r w:rsidRPr="00A538DD">
        <w:t>e</w:t>
      </w:r>
      <w:r w:rsidRPr="00A538DD">
        <w:t>förändring.</w:t>
      </w:r>
    </w:p>
    <w:p w14:paraId="22370915" w14:textId="77777777" w:rsidR="0048679D" w:rsidRPr="00A538DD" w:rsidRDefault="0048679D">
      <w:pPr>
        <w:pStyle w:val="Normaltindrag"/>
      </w:pPr>
      <w:r w:rsidRPr="00A538DD">
        <w:t>Riksbanken påverkar marknadens kortaste ränta, den s.k. dagslåneräntan, genom att tillgodose banksystemets efterfrågan på lån i Riksbanken till rep</w:t>
      </w:r>
      <w:r w:rsidRPr="00A538DD">
        <w:t>o</w:t>
      </w:r>
      <w:r w:rsidRPr="00A538DD">
        <w:t>räntan. En gång i veckan erbjuds bankerna finansiering i Riksbanken via så kallade repor. Däremellan får banksystemet låna eller placera i Riksbanken till en ränta nära reporäntan. Riksbanken kontrollerar därigenom i praktiken marknadens dagslån</w:t>
      </w:r>
      <w:r w:rsidRPr="00A538DD">
        <w:t>e</w:t>
      </w:r>
      <w:r w:rsidRPr="00A538DD">
        <w:t xml:space="preserve">ränta. </w:t>
      </w:r>
    </w:p>
    <w:p w14:paraId="34642347" w14:textId="77777777" w:rsidR="0048679D" w:rsidRPr="00A538DD" w:rsidRDefault="0048679D">
      <w:pPr>
        <w:pStyle w:val="Normaltindrag"/>
      </w:pPr>
      <w:r w:rsidRPr="00A538DD">
        <w:t>De korta marknadsräntorna med löptider upp till ungefär ett år påverkas starkt av den förväntade utvecklingen av dagslåneräntan och därmed av fö</w:t>
      </w:r>
      <w:r w:rsidRPr="00A538DD">
        <w:t>r</w:t>
      </w:r>
      <w:r w:rsidRPr="00A538DD">
        <w:t>väntningar om hur Riksbankens reporänta kommer att utvecklas. Räntor med längre löptid påverkas också av andra faktorer såsom förväntningar om fra</w:t>
      </w:r>
      <w:r w:rsidRPr="00A538DD">
        <w:t>m</w:t>
      </w:r>
      <w:r w:rsidRPr="00A538DD">
        <w:t>tida inflation och tillväxt och ränteutvecklingen i omvärlden. Hur stor kva</w:t>
      </w:r>
      <w:r w:rsidRPr="00A538DD">
        <w:t>n</w:t>
      </w:r>
      <w:r w:rsidRPr="00A538DD">
        <w:t>titativ effekt en förändring av reporäntan får på övriga räntor beror bl.a. på hur pass förväntad förändringen är. Riksbankens ambition är att i god tid förbereda allmänhet och marknadens aktörer på förändringar av den framtida penningpolitiken och reporäntan via tal och annan komm</w:t>
      </w:r>
      <w:r w:rsidRPr="00A538DD">
        <w:t>u</w:t>
      </w:r>
      <w:r w:rsidRPr="00A538DD">
        <w:t>nikat</w:t>
      </w:r>
      <w:r w:rsidRPr="00A538DD">
        <w:t xml:space="preserve">ion.  </w:t>
      </w:r>
    </w:p>
    <w:p w14:paraId="00AA1A90" w14:textId="77777777" w:rsidR="0048679D" w:rsidRPr="00A538DD" w:rsidRDefault="0048679D">
      <w:pPr>
        <w:pStyle w:val="Normaltindrag"/>
      </w:pPr>
      <w:r w:rsidRPr="00A538DD">
        <w:t>Bankernas utlåningsränta och räntan på värdepapper påverkas därför av både den faktiska och den förväntade reporäntan. Om en höjning av reporä</w:t>
      </w:r>
      <w:r w:rsidRPr="00A538DD">
        <w:t>n</w:t>
      </w:r>
      <w:r w:rsidRPr="00A538DD">
        <w:t xml:space="preserve">tan förväntas stiger marknadsräntorna normalt redan innan reporäntan höjts. När sedan reporäntehöjningen genomförs behöver detta i sig inte påverka marknadsräntorna ytterligare om det bekräftar det som marknaden förväntade sig. </w:t>
      </w:r>
    </w:p>
    <w:p w14:paraId="18C9A988" w14:textId="77777777" w:rsidR="0048679D" w:rsidRPr="00A538DD" w:rsidRDefault="0048679D">
      <w:pPr>
        <w:pStyle w:val="Normaltindrag"/>
      </w:pPr>
      <w:r w:rsidRPr="00A538DD">
        <w:t>Genom reporäntan får penningpolitiken således effekt på de räntor allmä</w:t>
      </w:r>
      <w:r w:rsidRPr="00A538DD">
        <w:t>n</w:t>
      </w:r>
      <w:r w:rsidRPr="00A538DD">
        <w:t>heten möter och därmed på bl.a. konsumtion, skuldsättning och investeringar. På så vis påverkas den samlade efterfrågan och resursutnyttjandet i ekonomin. De viktigaste kanalerna genom vilka penningpolitiken verkar är räntekanalen, kreditkanalen och växelkurskanalen. Den relativa betydelsen av dessa kanaler kan variera starkt över tiden. Exempelvis är det inte alltid så att en högre ränta medför en starkare växe</w:t>
      </w:r>
      <w:r w:rsidRPr="00A538DD">
        <w:t>l</w:t>
      </w:r>
      <w:r w:rsidRPr="00A538DD">
        <w:t xml:space="preserve">kurs. </w:t>
      </w:r>
    </w:p>
    <w:p w14:paraId="0B798820" w14:textId="77777777" w:rsidR="0048679D" w:rsidRPr="00A538DD" w:rsidRDefault="0048679D">
      <w:pPr>
        <w:pStyle w:val="Diagramrubrik"/>
        <w:spacing w:before="125"/>
        <w:rPr>
          <w:sz w:val="16"/>
        </w:rPr>
      </w:pPr>
      <w:r w:rsidRPr="00A538DD">
        <w:rPr>
          <w:sz w:val="16"/>
        </w:rPr>
        <w:t xml:space="preserve">Figur 1. </w:t>
      </w:r>
      <w:r w:rsidRPr="00A538DD">
        <w:rPr>
          <w:rStyle w:val="Stark"/>
          <w:caps w:val="0"/>
          <w:sz w:val="16"/>
        </w:rPr>
        <w:t>Schematisk bild över den penningpolitiska transmissionsmekani</w:t>
      </w:r>
      <w:r w:rsidRPr="00A538DD">
        <w:rPr>
          <w:rStyle w:val="Stark"/>
          <w:caps w:val="0"/>
          <w:sz w:val="16"/>
        </w:rPr>
        <w:t>s</w:t>
      </w:r>
      <w:r w:rsidRPr="00A538DD">
        <w:rPr>
          <w:rStyle w:val="Stark"/>
          <w:caps w:val="0"/>
          <w:sz w:val="16"/>
        </w:rPr>
        <w:t>men</w:t>
      </w:r>
    </w:p>
    <w:p w14:paraId="5067D7B4" w14:textId="7AA7E008" w:rsidR="0048679D" w:rsidRPr="00A538DD" w:rsidRDefault="00A538DD">
      <w:r w:rsidRPr="00A538DD">
        <w:rPr>
          <w:noProof/>
        </w:rPr>
        <w:drawing>
          <wp:inline distT="0" distB="0" distL="0" distR="0" wp14:anchorId="2BAE410B" wp14:editId="21880801">
            <wp:extent cx="3777615" cy="2601595"/>
            <wp:effectExtent l="0" t="0" r="0" b="0"/>
            <wp:docPr id="2" name="Bild 2" descr="Schematisk bild på transmissionsmekanis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tisk bild på transmissionsmekanismen"/>
                    <pic:cNvPicPr>
                      <a:picLocks noChangeAspect="1" noChangeArrowheads="1"/>
                    </pic:cNvPicPr>
                  </pic:nvPicPr>
                  <pic:blipFill>
                    <a:blip r:embed="rId32">
                      <a:grayscl/>
                      <a:extLst>
                        <a:ext uri="{28A0092B-C50C-407E-A947-70E740481C1C}">
                          <a14:useLocalDpi xmlns:a14="http://schemas.microsoft.com/office/drawing/2010/main" val="0"/>
                        </a:ext>
                      </a:extLst>
                    </a:blip>
                    <a:srcRect/>
                    <a:stretch>
                      <a:fillRect/>
                    </a:stretch>
                  </pic:blipFill>
                  <pic:spPr bwMode="auto">
                    <a:xfrm>
                      <a:off x="0" y="0"/>
                      <a:ext cx="3777615" cy="2601595"/>
                    </a:xfrm>
                    <a:prstGeom prst="rect">
                      <a:avLst/>
                    </a:prstGeom>
                    <a:noFill/>
                    <a:ln>
                      <a:noFill/>
                    </a:ln>
                  </pic:spPr>
                </pic:pic>
              </a:graphicData>
            </a:graphic>
          </wp:inline>
        </w:drawing>
      </w:r>
    </w:p>
    <w:p w14:paraId="3ACAECB2" w14:textId="77777777" w:rsidR="0048679D" w:rsidRPr="00A538DD" w:rsidRDefault="0048679D"/>
    <w:p w14:paraId="15E731CC" w14:textId="77777777" w:rsidR="0048679D" w:rsidRPr="00A538DD" w:rsidRDefault="0048679D">
      <w:pPr>
        <w:pStyle w:val="Normaltindrag"/>
      </w:pPr>
    </w:p>
    <w:p w14:paraId="616E1D60" w14:textId="77777777" w:rsidR="0048679D" w:rsidRPr="00A538DD" w:rsidRDefault="0048679D">
      <w:pPr>
        <w:pStyle w:val="R3"/>
      </w:pPr>
      <w:r w:rsidRPr="00A538DD">
        <w:t>Den penningpolitiska beslutsprocessen och den penningpolitiska kommunikationen</w:t>
      </w:r>
    </w:p>
    <w:p w14:paraId="5869C38A" w14:textId="77777777" w:rsidR="0048679D" w:rsidRPr="00A538DD" w:rsidRDefault="0048679D">
      <w:r w:rsidRPr="00A538DD">
        <w:t>Riksbanken strävar efter att förklara den analytiska ram inom vilken pennin</w:t>
      </w:r>
      <w:r w:rsidRPr="00A538DD">
        <w:t>g</w:t>
      </w:r>
      <w:r w:rsidRPr="00A538DD">
        <w:t>politiken bedrivs och att redovisa och motivera de prognoser och bedömnin</w:t>
      </w:r>
      <w:r w:rsidRPr="00A538DD">
        <w:t>g</w:t>
      </w:r>
      <w:r w:rsidRPr="00A538DD">
        <w:t>ar som penningpolitiken baseras på. Detta sker framför allt i de inflations-rapporter som Riksbanken publicerar fyra gånger per år, men också i pres</w:t>
      </w:r>
      <w:r w:rsidRPr="00A538DD">
        <w:t>s</w:t>
      </w:r>
      <w:r w:rsidRPr="00A538DD">
        <w:t>konferenser och i tal, protokoll och debattinlägg. Inflationsrapporterna syftar till att underlätta för utomstående att följa och förstå penningpolitiken, liksom till att uppmuntra till diskussion kring penningpolitiska frågor. Eftersom penningpolitiken påverkar inflationen med en tidsfö</w:t>
      </w:r>
      <w:r w:rsidRPr="00A538DD">
        <w:t>rdröjning måste Riksba</w:t>
      </w:r>
      <w:r w:rsidRPr="00A538DD">
        <w:t>n</w:t>
      </w:r>
      <w:r w:rsidRPr="00A538DD">
        <w:t>ken basera sina beslut på prognoser för den framtida utvecklingen. I såväl inflationsrapporten som direktionens penningpolitiska diskussion står infl</w:t>
      </w:r>
      <w:r w:rsidRPr="00A538DD">
        <w:t>a</w:t>
      </w:r>
      <w:r w:rsidRPr="00A538DD">
        <w:t xml:space="preserve">tionsprognosen på ett till två års sikt i fokus. </w:t>
      </w:r>
    </w:p>
    <w:p w14:paraId="6C7F72E6" w14:textId="77777777" w:rsidR="0048679D" w:rsidRPr="00A538DD" w:rsidRDefault="0048679D">
      <w:pPr>
        <w:pStyle w:val="Normaltindrag"/>
      </w:pPr>
      <w:r w:rsidRPr="00A538DD">
        <w:t>I inflationsrapporterna ges en översikt över inflationens bestämningsfakt</w:t>
      </w:r>
      <w:r w:rsidRPr="00A538DD">
        <w:t>o</w:t>
      </w:r>
      <w:r w:rsidRPr="00A538DD">
        <w:t>rer och en redovisning av hur Riksbanken kommit fram till sin inflationspr</w:t>
      </w:r>
      <w:r w:rsidRPr="00A538DD">
        <w:t>o</w:t>
      </w:r>
      <w:r w:rsidRPr="00A538DD">
        <w:t>gnos. Rapporternas uppläggning under senare tid har vanligen inneburit att det inledningsvis görs en bedömning av utvecklingen på de finansiella mar</w:t>
      </w:r>
      <w:r w:rsidRPr="00A538DD">
        <w:t>k</w:t>
      </w:r>
      <w:r w:rsidRPr="00A538DD">
        <w:t>naderna, såsom exempelvis växelkursens och räntornas utveckling. Därefter har en bedömning gjorts av den internationella konjunktur- och inflationsu</w:t>
      </w:r>
      <w:r w:rsidRPr="00A538DD">
        <w:t>t</w:t>
      </w:r>
      <w:r w:rsidRPr="00A538DD">
        <w:t>vecklingen. Den internationella prisutvecklingen och växelkursen är viktiga bestämningsfaktorer för den importerade inflationen. Därpå pre</w:t>
      </w:r>
      <w:r w:rsidRPr="00A538DD">
        <w:t>senteras en analys av den svenska konjunkturutvecklingen, som är en viktig bestämning</w:t>
      </w:r>
      <w:r w:rsidRPr="00A538DD">
        <w:t>s</w:t>
      </w:r>
      <w:r w:rsidRPr="00A538DD">
        <w:t>faktor för den inhemska inflationen. Även inflationsförväntningarna studeras. Detta eftersom de genom sin påverkan på prissättning och lönebildning har effekter på inflationen samtidigt som förväntningarna i sig påverkas av t.ex. Riksbankens signaler om penningpolitiken och den makroekonomiska u</w:t>
      </w:r>
      <w:r w:rsidRPr="00A538DD">
        <w:t>t</w:t>
      </w:r>
      <w:r w:rsidRPr="00A538DD">
        <w:t>vecklingen i stort. Tillsammans med en bedömning av olika tillfälliga stö</w:t>
      </w:r>
      <w:r w:rsidRPr="00A538DD">
        <w:t>r</w:t>
      </w:r>
      <w:r w:rsidRPr="00A538DD">
        <w:t>ningar i inflationsutvecklingen, t.ex. kraftiga svängni</w:t>
      </w:r>
      <w:r w:rsidRPr="00A538DD">
        <w:t>ngar i energipriserna, ger den importerade och inhemska inflationen en inflationsprognos i ett huvu</w:t>
      </w:r>
      <w:r w:rsidRPr="00A538DD">
        <w:t>d</w:t>
      </w:r>
      <w:r w:rsidRPr="00A538DD">
        <w:t>scenario.</w:t>
      </w:r>
    </w:p>
    <w:p w14:paraId="7067E5BA" w14:textId="77777777" w:rsidR="0048679D" w:rsidRPr="00A538DD" w:rsidRDefault="0048679D">
      <w:pPr>
        <w:pStyle w:val="Normaltindrag"/>
      </w:pPr>
      <w:r w:rsidRPr="00A538DD">
        <w:t>När de penningpolitiska besluten fattas tas också hänsyn till osäkerheten i prognosen. Riskerna för att inflationen blir högre respektive lägre än i huvu</w:t>
      </w:r>
      <w:r w:rsidRPr="00A538DD">
        <w:t>d</w:t>
      </w:r>
      <w:r w:rsidRPr="00A538DD">
        <w:t>scenariot bedöms och vägs samman. Inflationsprognosen i huvudscenariot justeras därefter eventuellt uppåt eller nedåt beroende på om risken för högre eller lägre inflation d</w:t>
      </w:r>
      <w:r w:rsidRPr="00A538DD">
        <w:t>o</w:t>
      </w:r>
      <w:r w:rsidRPr="00A538DD">
        <w:t xml:space="preserve">minerar. </w:t>
      </w:r>
    </w:p>
    <w:p w14:paraId="5CE4FA4B" w14:textId="77777777" w:rsidR="0048679D" w:rsidRPr="00A538DD" w:rsidRDefault="0048679D">
      <w:pPr>
        <w:pStyle w:val="Normaltindrag"/>
      </w:pPr>
      <w:r w:rsidRPr="00A538DD">
        <w:t>Om inflationsprognosen överstiger målet på ett till två års sikt höjer Rik</w:t>
      </w:r>
      <w:r w:rsidRPr="00A538DD">
        <w:t>s</w:t>
      </w:r>
      <w:r w:rsidRPr="00A538DD">
        <w:t>banken normalt sett reporäntan. På motsvarande sätt sänks reporäntan va</w:t>
      </w:r>
      <w:r w:rsidRPr="00A538DD">
        <w:t>n</w:t>
      </w:r>
      <w:r w:rsidRPr="00A538DD">
        <w:t>ligtvis när inflationsprognosen understiger målet på ett till två års sikt.</w:t>
      </w:r>
      <w:commentRangeStart w:id="11"/>
      <w:commentRangeEnd w:id="11"/>
      <w:r w:rsidRPr="00A538DD">
        <w:rPr>
          <w:rStyle w:val="Kommentarsreferens"/>
          <w:sz w:val="19"/>
        </w:rPr>
        <w:commentReference w:id="11"/>
      </w:r>
      <w:r w:rsidRPr="00A538DD">
        <w:t xml:space="preserve"> Det finns emellertid situationer då Riksbanken kan finna det motiverat att göra avsteg från denna enkla handlingsregel.</w:t>
      </w:r>
      <w:commentRangeStart w:id="12"/>
      <w:commentRangeEnd w:id="12"/>
      <w:r w:rsidRPr="00A538DD">
        <w:rPr>
          <w:rStyle w:val="Kommentarsreferens"/>
          <w:sz w:val="19"/>
        </w:rPr>
        <w:commentReference w:id="12"/>
      </w:r>
      <w:r w:rsidRPr="00A538DD">
        <w:t xml:space="preserve"> För det första kan inflati</w:t>
      </w:r>
      <w:r w:rsidRPr="00A538DD">
        <w:t>o</w:t>
      </w:r>
      <w:r w:rsidRPr="00A538DD">
        <w:t>nen påverkas av faktorer som inte bedöms ha någon betydande varaktig i</w:t>
      </w:r>
      <w:r w:rsidRPr="00A538DD">
        <w:t>n</w:t>
      </w:r>
      <w:r w:rsidRPr="00A538DD">
        <w:t>verkan på inflationen eller inflationsprocessen. Riksbanken kan då välja att inte försöka motverka störningen. För det andra kan det ha inträffat störningar som gjort att inflationen kommit att avvika kraftigt från inflationsmålet. I ett sådant fall kan Riksbanken välja att föra inflationen tillbaka till målet under en lite längre period än de normala ett till två åren, för att undvika alltför stora svän</w:t>
      </w:r>
      <w:r w:rsidRPr="00A538DD">
        <w:t>g</w:t>
      </w:r>
      <w:r w:rsidRPr="00A538DD">
        <w:t>ninga</w:t>
      </w:r>
      <w:r w:rsidRPr="00A538DD">
        <w:t>r i den ekonomiska aktiviteten.</w:t>
      </w:r>
    </w:p>
    <w:p w14:paraId="5762F479" w14:textId="77777777" w:rsidR="0048679D" w:rsidRPr="00A538DD" w:rsidRDefault="0048679D">
      <w:pPr>
        <w:pStyle w:val="R3"/>
      </w:pPr>
      <w:r w:rsidRPr="00A538DD">
        <w:t>Den penningpolitiska arbetsprocessen</w:t>
      </w:r>
    </w:p>
    <w:p w14:paraId="0A49AF03" w14:textId="77777777" w:rsidR="0048679D" w:rsidRPr="00A538DD" w:rsidRDefault="0048679D">
      <w:r w:rsidRPr="00A538DD">
        <w:t>Direktionen har vanligtvis åtta schemalagda penningpolitiska möten under ett år. Vid fyra av dessa möten publiceras en inflationsrapport. Vid de övriga fyra mötena tar direktionen ställning till den information som inkommit med en mer kortfattad intern rapport som underlag. Vid behov kan direktionen sa</w:t>
      </w:r>
      <w:r w:rsidRPr="00A538DD">
        <w:t>m</w:t>
      </w:r>
      <w:r w:rsidRPr="00A538DD">
        <w:t>mankalla extra penningpolitiska möten utöver de schemalagda mötena.</w:t>
      </w:r>
    </w:p>
    <w:p w14:paraId="47CBAC87" w14:textId="77777777" w:rsidR="0048679D" w:rsidRPr="00A538DD" w:rsidRDefault="0048679D">
      <w:pPr>
        <w:pStyle w:val="Normaltindrag"/>
      </w:pPr>
      <w:r w:rsidRPr="00A538DD">
        <w:t>Processen med att ta fram en inflationsrapport startar cirka sex veckor i</w:t>
      </w:r>
      <w:r w:rsidRPr="00A538DD">
        <w:t>n</w:t>
      </w:r>
      <w:r w:rsidRPr="00A538DD">
        <w:t>nan rapporten ska publiceras. Både mindre, partiella modeller och större ekonometriska modeller används i arbetet och kombineras med bedömningar av sektorsexperter. Detta arbete sammanfattas i en intern rapport om den förväntade framtida utvecklingen. Rapporten presenteras för direktionen och omarbetas till en inflationsrapport som speglar direktionens uppfattning om konjunktur- och inflationsutsikte</w:t>
      </w:r>
      <w:r w:rsidRPr="00A538DD">
        <w:t>r</w:t>
      </w:r>
      <w:r w:rsidRPr="00A538DD">
        <w:t xml:space="preserve">na. </w:t>
      </w:r>
    </w:p>
    <w:p w14:paraId="6BA697D9" w14:textId="77777777" w:rsidR="0048679D" w:rsidRPr="00A538DD" w:rsidRDefault="0048679D">
      <w:pPr>
        <w:pStyle w:val="Normaltindrag"/>
      </w:pPr>
      <w:r w:rsidRPr="00A538DD">
        <w:t>Dagen innan inflationsrapporten publiceras samlas direktionen till ett pe</w:t>
      </w:r>
      <w:r w:rsidRPr="00A538DD">
        <w:t>n</w:t>
      </w:r>
      <w:r w:rsidRPr="00A538DD">
        <w:t>ningpolitiskt sammanträde. Direktionen tar ställning till inflationsrapporten och fattar beslut om nivån på reporäntan. Inflationsrapporten och räntebesl</w:t>
      </w:r>
      <w:r w:rsidRPr="00A538DD">
        <w:t>u</w:t>
      </w:r>
      <w:r w:rsidRPr="00A538DD">
        <w:t xml:space="preserve">tet offentliggörs påföljande dag. Räntebeslutet tillämpas i samband med nästa penningpolitiska repotransaktion. Cirka två veckor efter det penningpolitiska mötet publiceras ett protokoll som återger de diskussioner som fördes. Där framgår också om någon eller några av direktionens ledamöter reserverat sig mot det beslut som fattades och vilka skälen i så </w:t>
      </w:r>
      <w:r w:rsidRPr="00A538DD">
        <w:t xml:space="preserve">fall varit. </w:t>
      </w:r>
    </w:p>
    <w:p w14:paraId="711C53BE" w14:textId="77777777" w:rsidR="0048679D" w:rsidRPr="00A538DD" w:rsidRDefault="0048679D">
      <w:pPr>
        <w:pStyle w:val="R3"/>
      </w:pPr>
      <w:r w:rsidRPr="00A538DD">
        <w:t>Internationellt arbete, forskning, statistikproduktion och remisser</w:t>
      </w:r>
    </w:p>
    <w:p w14:paraId="66C5A039" w14:textId="77777777" w:rsidR="0048679D" w:rsidRPr="00A538DD" w:rsidRDefault="0048679D">
      <w:r w:rsidRPr="00A538DD">
        <w:t>Riksbanken följer och bidrar till analysen av aktuella penning- och valutap</w:t>
      </w:r>
      <w:r w:rsidRPr="00A538DD">
        <w:t>o</w:t>
      </w:r>
      <w:r w:rsidRPr="00A538DD">
        <w:t>litiska frågeställningar i kretsen av centralbanker och i internationella organ</w:t>
      </w:r>
      <w:r w:rsidRPr="00A538DD">
        <w:t>i</w:t>
      </w:r>
      <w:r w:rsidRPr="00A538DD">
        <w:t>sationer. Ledamöterna i Riksbankens direktion deltar aktivt i internationella möten anordnade av EU, Europeiska centralbankssystemet (ECBS), Bank for International Settlements (BIS), Internationella Valutafonden (IMF) och Organisation for Economic Co-operation and Development (OECD). Det internationella arbetet inom det penningpolitiska området syftar dels till att inhämta information för Riksbankens penningpolitiska analys, de</w:t>
      </w:r>
      <w:r w:rsidRPr="00A538DD">
        <w:t>ls till att bidra med Riksbankens egna erfarenheter och analyser i frågor som rör det internationella monetära och finansiella s</w:t>
      </w:r>
      <w:r w:rsidRPr="00A538DD">
        <w:t>y</w:t>
      </w:r>
      <w:r w:rsidRPr="00A538DD">
        <w:t xml:space="preserve">stemet. </w:t>
      </w:r>
    </w:p>
    <w:p w14:paraId="46A0A2D1" w14:textId="77777777" w:rsidR="0048679D" w:rsidRPr="00A538DD" w:rsidRDefault="0048679D">
      <w:pPr>
        <w:pStyle w:val="Normaltindrag"/>
      </w:pPr>
      <w:r w:rsidRPr="00A538DD">
        <w:t>I syfte att förbättra och fördjupa underlagen för de penningpolitiska besl</w:t>
      </w:r>
      <w:r w:rsidRPr="00A538DD">
        <w:t>u</w:t>
      </w:r>
      <w:r w:rsidRPr="00A538DD">
        <w:t>ten bedriver Riksbanken empirisk och teoretisk forskning inom området pri</w:t>
      </w:r>
      <w:r w:rsidRPr="00A538DD">
        <w:t>s</w:t>
      </w:r>
      <w:r w:rsidRPr="00A538DD">
        <w:t>stabil</w:t>
      </w:r>
      <w:r w:rsidRPr="00A538DD">
        <w:t>i</w:t>
      </w:r>
      <w:r w:rsidRPr="00A538DD">
        <w:t xml:space="preserve">tet. </w:t>
      </w:r>
    </w:p>
    <w:p w14:paraId="1B930C49" w14:textId="77777777" w:rsidR="0048679D" w:rsidRPr="00A538DD" w:rsidRDefault="0048679D">
      <w:pPr>
        <w:pStyle w:val="Normaltindrag"/>
      </w:pPr>
      <w:r w:rsidRPr="00A538DD">
        <w:t>Riksbanken har enligt EU-fördraget ett lagstadgat ansvar för produktion av betalningsbalansstatistik och viss finansiell statistik. Denna statistik används i den penningpolitiska analysen.</w:t>
      </w:r>
    </w:p>
    <w:p w14:paraId="734B169F" w14:textId="77777777" w:rsidR="0048679D" w:rsidRPr="00A538DD" w:rsidRDefault="0048679D">
      <w:pPr>
        <w:pStyle w:val="Normaltindrag"/>
      </w:pPr>
      <w:r w:rsidRPr="00A538DD">
        <w:t>Riksbanken är också en remissinstans i många ekonomisk-politiska frågor.</w:t>
      </w:r>
    </w:p>
    <w:p w14:paraId="22AFC441" w14:textId="77777777" w:rsidR="0048679D" w:rsidRPr="00A538DD" w:rsidRDefault="0048679D">
      <w:pPr>
        <w:pStyle w:val="R2"/>
      </w:pPr>
      <w:r w:rsidRPr="00A538DD">
        <w:t>Verksamheten 2004</w:t>
      </w:r>
    </w:p>
    <w:p w14:paraId="4C08BA12" w14:textId="77777777" w:rsidR="0048679D" w:rsidRPr="00A538DD" w:rsidRDefault="0048679D">
      <w:r w:rsidRPr="00A538DD">
        <w:t>Utvecklingen av Sveriges ekonomi kännetecknades under året av hög tillväxt i kombination med påfallande låg inflation. Under inledningen av 2004 börj</w:t>
      </w:r>
      <w:r w:rsidRPr="00A538DD">
        <w:t>a</w:t>
      </w:r>
      <w:r w:rsidRPr="00A538DD">
        <w:t>de det stå alltmer klart att den svenska ekonomin var på väg att återhämta sig efter en relativt mild konjunkturnedgång. Hushållens konsumtion utvecklades stabilt, bl.a. som ett resultat av en expansiv finanspolitik och låga räntor. Samtidigt bidrog en återhämtning av världshandeln till en stark exportko</w:t>
      </w:r>
      <w:r w:rsidRPr="00A538DD">
        <w:t>n</w:t>
      </w:r>
      <w:r w:rsidRPr="00A538DD">
        <w:t>junktur, som dock mattades något mot slutet av året. Avmattningen i exporten uppvägdes till en del av att investeringarna vände upp. Den starka efterfråg</w:t>
      </w:r>
      <w:r w:rsidRPr="00A538DD">
        <w:t>e</w:t>
      </w:r>
      <w:r w:rsidRPr="00A538DD">
        <w:t>utvecklingen beräknas enligt Inflationsrapport 2004</w:t>
      </w:r>
      <w:r w:rsidRPr="00A538DD">
        <w:t>:4 ha resulterat i en BNP-tillväxt på 3,6 % under 2004.</w:t>
      </w:r>
    </w:p>
    <w:p w14:paraId="05D710D2" w14:textId="77777777" w:rsidR="0048679D" w:rsidRPr="00A538DD" w:rsidRDefault="0048679D">
      <w:pPr>
        <w:pStyle w:val="R3"/>
      </w:pPr>
      <w:r w:rsidRPr="00A538DD">
        <w:t>Penningpolitiska beslut</w:t>
      </w:r>
    </w:p>
    <w:p w14:paraId="26ACF852" w14:textId="77777777" w:rsidR="0048679D" w:rsidRPr="00A538DD" w:rsidRDefault="0048679D">
      <w:r w:rsidRPr="00A538DD">
        <w:t>I februari sänktes reporäntan med 0,25 procentenheter till 2,5 %. Bakgrunden till beslutet var att både det inhemska och internationella kostnadstrycket bedömdes bli svagt. Aktiviteten på den svenska arbetsmarknaden var alltjämt låg, även med hänsyn till att sysselsättningen historiskt sett reagerar med viss eftersläpning på produktionsförändringar. Löneökningstakten beräknades därför bli något mer dämpad än vad som tidigare antagits. Samtidigt hade produktivitetstillväxten blivit överraskande stark vilket</w:t>
      </w:r>
      <w:r w:rsidRPr="00A538DD">
        <w:t xml:space="preserve"> också bidrog till att sänka inflationsutsikterna. Trots att det hade blivit allt tydligare att den inte</w:t>
      </w:r>
      <w:r w:rsidRPr="00A538DD">
        <w:t>r</w:t>
      </w:r>
      <w:r w:rsidRPr="00A538DD">
        <w:t>nationella konjunkturuppgången tagit fart som förväntat och att konjunkturen förbättrades även i Sverige, fanns det därför skäl att sänka reporä</w:t>
      </w:r>
      <w:r w:rsidRPr="00A538DD">
        <w:t>n</w:t>
      </w:r>
      <w:r w:rsidRPr="00A538DD">
        <w:t>tan.</w:t>
      </w:r>
    </w:p>
    <w:p w14:paraId="54BF25D3" w14:textId="77777777" w:rsidR="0048679D" w:rsidRPr="00A538DD" w:rsidRDefault="0048679D">
      <w:pPr>
        <w:pStyle w:val="Normaltindrag"/>
      </w:pPr>
      <w:r w:rsidRPr="00A538DD">
        <w:t>Vid det penningpolitiska sammanträdet i mars konstaterades att elpriserna, som förväntat, bidrog till en kraftigt fallande inflationstakt under inledningen av 2004. Nedgången i inflationen var dock större än väntat, trots att konjun</w:t>
      </w:r>
      <w:r w:rsidRPr="00A538DD">
        <w:t>k</w:t>
      </w:r>
      <w:r w:rsidRPr="00A538DD">
        <w:t>turuppgången blivit allt tydligare. Detta hade gradvis bidragit till att förändra synen på det inhemska löne- och pristrycket. Anledningen till den dämpade inflationen var lägre importpriser, svagare arbetsmarknad och högre produ</w:t>
      </w:r>
      <w:r w:rsidRPr="00A538DD">
        <w:t>k</w:t>
      </w:r>
      <w:r w:rsidRPr="00A538DD">
        <w:t>tivitetstillväxt än prognostiserat. Inflationen förväntades gradvis stiga i takt med ökat resursutnyttjande men bedömdes ändå i genomsnitt vara påtagligt lägre än målet under de kommande två åren. Mot bakgrund av detta beslutade direktionen att sänka reporäntan med 0,5 procentenhe</w:t>
      </w:r>
      <w:r w:rsidRPr="00A538DD">
        <w:t xml:space="preserve">ter till 2 %. </w:t>
      </w:r>
    </w:p>
    <w:p w14:paraId="441AE6CB" w14:textId="77777777" w:rsidR="0048679D" w:rsidRPr="00A538DD" w:rsidRDefault="0048679D">
      <w:pPr>
        <w:pStyle w:val="Normaltindrag"/>
      </w:pPr>
      <w:r w:rsidRPr="00A538DD">
        <w:t>Synen på den svenska konjunkturutvecklingen blev mer optimistisk under andra halvåret och prognosen för tillväxten justerades upp. Inkommande ny information tydde på en fortsatt god utveckling de närmaste åren. Mot ba</w:t>
      </w:r>
      <w:r w:rsidRPr="00A538DD">
        <w:t>k</w:t>
      </w:r>
      <w:r w:rsidRPr="00A538DD">
        <w:t>grund av att konjunkturen förväntades utvecklas gynnsamt fanns det skäl att anta att inflationstrycket gradvis skulle komma att öka. Detta talade för att penningpolitiken förr eller senare skulle behöva läggas om i en mindre expa</w:t>
      </w:r>
      <w:r w:rsidRPr="00A538DD">
        <w:t>n</w:t>
      </w:r>
      <w:r w:rsidRPr="00A538DD">
        <w:t>siv riktning. Även om inflationen bedömdes vara låg de närmaste åren fö</w:t>
      </w:r>
      <w:r w:rsidRPr="00A538DD">
        <w:t>r</w:t>
      </w:r>
      <w:r w:rsidRPr="00A538DD">
        <w:t>väntades den öka i takt med att resursutnyttjandet steg. Gynnsamma kostnad</w:t>
      </w:r>
      <w:r w:rsidRPr="00A538DD">
        <w:t>s</w:t>
      </w:r>
      <w:r w:rsidRPr="00A538DD">
        <w:t>förhållanden bedömdes samtidigt bidra till att inflationsuppgången blev måt</w:t>
      </w:r>
      <w:r w:rsidRPr="00A538DD">
        <w:t>t</w:t>
      </w:r>
      <w:r w:rsidRPr="00A538DD">
        <w:t>lig. De inflationsprognoser som gjordes efter sänkningen a</w:t>
      </w:r>
      <w:r w:rsidRPr="00A538DD">
        <w:t>v reporäntan i mars pekade alltjämt på en inflationsutveckling i linje med målet i slutet av tvåår</w:t>
      </w:r>
      <w:r w:rsidRPr="00A538DD">
        <w:t>s</w:t>
      </w:r>
      <w:r w:rsidRPr="00A538DD">
        <w:t>perioden. Reporäntan lämnades därför oförändrad under resten av 2004.</w:t>
      </w:r>
    </w:p>
    <w:p w14:paraId="5714DD1A" w14:textId="77777777" w:rsidR="0048679D" w:rsidRPr="00A538DD" w:rsidRDefault="0048679D">
      <w:pPr>
        <w:pStyle w:val="R3"/>
      </w:pPr>
      <w:r w:rsidRPr="00A538DD">
        <w:t>Räntebeslut 2004</w:t>
      </w:r>
    </w:p>
    <w:p w14:paraId="567302BD" w14:textId="77777777" w:rsidR="0048679D" w:rsidRPr="00A538DD" w:rsidRDefault="0048679D">
      <w:r w:rsidRPr="00A538DD">
        <w:rPr>
          <w:b/>
        </w:rPr>
        <w:t>5 februari:</w:t>
      </w:r>
      <w:r w:rsidRPr="00A538DD">
        <w:t xml:space="preserve"> Reporäntan sänktes med 0,25 procentenheter till 2,5 %. Kristina Persson reserverade sig mot beslutet och ansåg att reporäntan borde sänkas med 0,5 %enheter, bl.a. med hänvisning till att inflationsprognosen redan i december pekat på ett utrymme att sänka räntan och att utvecklingen därefter indikera ett ännu svagare pristryck.</w:t>
      </w:r>
    </w:p>
    <w:p w14:paraId="153CF3C4" w14:textId="77777777" w:rsidR="0048679D" w:rsidRPr="00A538DD" w:rsidRDefault="0048679D">
      <w:r w:rsidRPr="00A538DD">
        <w:rPr>
          <w:b/>
        </w:rPr>
        <w:t>31 mars:</w:t>
      </w:r>
      <w:r w:rsidRPr="00A538DD">
        <w:t xml:space="preserve"> Reporäntan sänktes med 0,5 procentenheter till 2,0 %. Villy Ber</w:t>
      </w:r>
      <w:r w:rsidRPr="00A538DD">
        <w:t>g</w:t>
      </w:r>
      <w:r w:rsidRPr="00A538DD">
        <w:t>ström och Eva Srejber reserverade sig mot beslutet och ansåg att reporäntan borde sänkas med 0,25 procentenheter. De förordade en större försiktighet med den penningpolitiska stimulansen, bl.a. för att inte uppmuntra till ökad skuldsättning hos hushållen. Ett annat anfört skäl var osäkerheten om styrkan och varaktigheten i den produktivitetsutveckling och växande internationella konkurrens som hållit inflationen nere trots en expansiv ekonomis</w:t>
      </w:r>
      <w:r w:rsidRPr="00A538DD">
        <w:t>k politik på flera håll i världen.</w:t>
      </w:r>
    </w:p>
    <w:p w14:paraId="5E605748" w14:textId="77777777" w:rsidR="0048679D" w:rsidRPr="00A538DD" w:rsidRDefault="0048679D">
      <w:r w:rsidRPr="00A538DD">
        <w:rPr>
          <w:b/>
        </w:rPr>
        <w:t>28 april:</w:t>
      </w:r>
      <w:r w:rsidRPr="00A538DD">
        <w:t xml:space="preserve"> Reporäntan hölls oförändrad på 2,0 %. </w:t>
      </w:r>
    </w:p>
    <w:p w14:paraId="31013E06" w14:textId="77777777" w:rsidR="0048679D" w:rsidRPr="00A538DD" w:rsidRDefault="0048679D">
      <w:r w:rsidRPr="00A538DD">
        <w:rPr>
          <w:b/>
        </w:rPr>
        <w:t>27 maj:</w:t>
      </w:r>
      <w:r w:rsidRPr="00A538DD">
        <w:t xml:space="preserve"> Reporäntan hölls oförändrad på 2,0 %.</w:t>
      </w:r>
    </w:p>
    <w:p w14:paraId="17B52FFE" w14:textId="77777777" w:rsidR="0048679D" w:rsidRPr="00A538DD" w:rsidRDefault="0048679D">
      <w:r w:rsidRPr="00A538DD">
        <w:rPr>
          <w:b/>
        </w:rPr>
        <w:t>23 juni:</w:t>
      </w:r>
      <w:r w:rsidRPr="00A538DD">
        <w:t xml:space="preserve"> Reporäntan hölls oförändrad på 2,0 %.</w:t>
      </w:r>
    </w:p>
    <w:p w14:paraId="1CFEE583" w14:textId="77777777" w:rsidR="0048679D" w:rsidRPr="00A538DD" w:rsidRDefault="0048679D">
      <w:r w:rsidRPr="00A538DD">
        <w:rPr>
          <w:b/>
        </w:rPr>
        <w:t>19 augusti:</w:t>
      </w:r>
      <w:r w:rsidRPr="00A538DD">
        <w:t xml:space="preserve"> Reporäntan hölls oförändrad på 2,0 %.</w:t>
      </w:r>
    </w:p>
    <w:p w14:paraId="79B79BF1" w14:textId="77777777" w:rsidR="0048679D" w:rsidRPr="00A538DD" w:rsidRDefault="0048679D">
      <w:r w:rsidRPr="00A538DD">
        <w:rPr>
          <w:b/>
        </w:rPr>
        <w:t>13 oktober:</w:t>
      </w:r>
      <w:r w:rsidRPr="00A538DD">
        <w:t xml:space="preserve"> Reporäntan hölls oförän</w:t>
      </w:r>
      <w:r w:rsidRPr="00A538DD">
        <w:t>d</w:t>
      </w:r>
      <w:r w:rsidRPr="00A538DD">
        <w:t>rad på 2,0 %.</w:t>
      </w:r>
    </w:p>
    <w:p w14:paraId="13E66616" w14:textId="77777777" w:rsidR="0048679D" w:rsidRPr="00A538DD" w:rsidRDefault="0048679D">
      <w:r w:rsidRPr="00A538DD">
        <w:rPr>
          <w:b/>
        </w:rPr>
        <w:t>8 december:</w:t>
      </w:r>
      <w:r w:rsidRPr="00A538DD">
        <w:t xml:space="preserve"> Reporäntan hölls oförän</w:t>
      </w:r>
      <w:r w:rsidRPr="00A538DD">
        <w:t>d</w:t>
      </w:r>
      <w:r w:rsidRPr="00A538DD">
        <w:t>rad på 2,0 %.</w:t>
      </w:r>
    </w:p>
    <w:p w14:paraId="08E72573" w14:textId="77777777" w:rsidR="0048679D" w:rsidRPr="00A538DD" w:rsidRDefault="0048679D">
      <w:pPr>
        <w:pStyle w:val="R3"/>
      </w:pPr>
      <w:r w:rsidRPr="00A538DD">
        <w:t xml:space="preserve">Internationellt arbete, forskning, statistikproduktion och remisser </w:t>
      </w:r>
    </w:p>
    <w:p w14:paraId="26945CE2" w14:textId="77777777" w:rsidR="0048679D" w:rsidRPr="00A538DD" w:rsidRDefault="0048679D">
      <w:r w:rsidRPr="00A538DD">
        <w:t>Riksbanken har fortsatt sitt aktiva deltagande i det internationella arbetet inom det penningpolitiska området. Det sker både inom ramen för internati</w:t>
      </w:r>
      <w:r w:rsidRPr="00A538DD">
        <w:t>o</w:t>
      </w:r>
      <w:r w:rsidRPr="00A538DD">
        <w:t>nella organisationer och genom bilaterala kontakter med andra centralbanker. Under året har det bl.a. skett ett erfarenhetsutbyte med centralbankerna i de nya EU-länder som har inflationsmål. Några av de frågeställningar som di</w:t>
      </w:r>
      <w:r w:rsidRPr="00A538DD">
        <w:t>s</w:t>
      </w:r>
      <w:r w:rsidRPr="00A538DD">
        <w:t>kuterats vid internationella möten under året har varit effekten av oljepriserna på världsekonomin, hur de globala finansiella obalanserna ska kunna hant</w:t>
      </w:r>
      <w:r w:rsidRPr="00A538DD">
        <w:t>e</w:t>
      </w:r>
      <w:r w:rsidRPr="00A538DD">
        <w:t>ras, om den rikliga tillgången på likviditet innebär risker för den finansiella stabiliteten samt hur EU-ländernas s.k. stabilite</w:t>
      </w:r>
      <w:r w:rsidRPr="00A538DD">
        <w:t>ts- och tillväxtpakt ska kunna förbät</w:t>
      </w:r>
      <w:r w:rsidRPr="00A538DD">
        <w:t>t</w:t>
      </w:r>
      <w:r w:rsidRPr="00A538DD">
        <w:t xml:space="preserve">ras. </w:t>
      </w:r>
    </w:p>
    <w:p w14:paraId="24BC151B" w14:textId="77777777" w:rsidR="0048679D" w:rsidRPr="00A538DD" w:rsidRDefault="0048679D">
      <w:pPr>
        <w:pStyle w:val="Normaltindrag"/>
      </w:pPr>
      <w:r w:rsidRPr="00A538DD">
        <w:t>Under 2004 har forskningsarbetet inriktats på att utveckla metoderna för den penningpolitiska analysen. Riksbankens forskare har t.ex. utvecklat al</w:t>
      </w:r>
      <w:r w:rsidRPr="00A538DD">
        <w:t>l</w:t>
      </w:r>
      <w:r w:rsidRPr="00A538DD">
        <w:t>mänjämviktsmodeller baserade på teoretisk och empirisk forskning. Det gäl</w:t>
      </w:r>
      <w:r w:rsidRPr="00A538DD">
        <w:t>l</w:t>
      </w:r>
      <w:r w:rsidRPr="00A538DD">
        <w:t>er modeller över såväl euroområdets som Sveriges ekonomi. Syftet med detta arbete är att stärka kopplingarna mellan den penningpolitiska analysen och aktuell forskning, men också att erbjuda Riksbankens direktion ett underlag som på ett smidigt sätt kan hantera de komplexa frågor som den praktiska penningpolitiken ställs inför. Parallellt med detta utvecklingsarbete, som gradvis kommer att påverka arbetet med de penningpolitiska unde</w:t>
      </w:r>
      <w:r w:rsidRPr="00A538DD">
        <w:t>rlagen de närmaste åren, har det lagts ner resurser på att dokumentera och systematisera de data, metoder och prognoser som analysen hittills baserats på. Syftet är att olika prognosmetoder lättare ska kunna jämföras och utvärd</w:t>
      </w:r>
      <w:r w:rsidRPr="00A538DD">
        <w:t>e</w:t>
      </w:r>
      <w:r w:rsidRPr="00A538DD">
        <w:t xml:space="preserve">ras. </w:t>
      </w:r>
    </w:p>
    <w:p w14:paraId="5E827FD4" w14:textId="77777777" w:rsidR="0048679D" w:rsidRPr="00A538DD" w:rsidRDefault="0048679D">
      <w:pPr>
        <w:pStyle w:val="Normaltindrag"/>
      </w:pPr>
      <w:r w:rsidRPr="00A538DD">
        <w:t>Beträffande statistikproduktion har den ökande finansiella integrationen, som t.ex. yttrar sig i gränsöverskridande företagssammanslagningar i den finansiella sektorn, inneburit att kontakterna och samarbetet mellan de no</w:t>
      </w:r>
      <w:r w:rsidRPr="00A538DD">
        <w:t>r</w:t>
      </w:r>
      <w:r w:rsidRPr="00A538DD">
        <w:t>diska ce</w:t>
      </w:r>
      <w:r w:rsidRPr="00A538DD">
        <w:t>n</w:t>
      </w:r>
      <w:r w:rsidRPr="00A538DD">
        <w:t xml:space="preserve">tralbankerna inom statistikområdet har intensifierats. </w:t>
      </w:r>
    </w:p>
    <w:p w14:paraId="4F6ECBBF" w14:textId="77777777" w:rsidR="0048679D" w:rsidRPr="00A538DD" w:rsidRDefault="0048679D">
      <w:pPr>
        <w:pStyle w:val="Normaltindrag"/>
      </w:pPr>
      <w:r w:rsidRPr="00A538DD">
        <w:t>Riksbanken har under 2004 avgivit sex remissyttranden inom det ekon</w:t>
      </w:r>
      <w:r w:rsidRPr="00A538DD">
        <w:t>o</w:t>
      </w:r>
      <w:r w:rsidRPr="00A538DD">
        <w:t>misk-politiska området. Se Riksba</w:t>
      </w:r>
      <w:r w:rsidRPr="00A538DD">
        <w:t>n</w:t>
      </w:r>
      <w:r w:rsidRPr="00A538DD">
        <w:t>kens remissyttranden på s. 89–93.</w:t>
      </w:r>
    </w:p>
    <w:p w14:paraId="688B2F28" w14:textId="77777777" w:rsidR="0048679D" w:rsidRPr="00A538DD" w:rsidRDefault="0048679D">
      <w:pPr>
        <w:pStyle w:val="R2"/>
      </w:pPr>
      <w:r w:rsidRPr="00A538DD">
        <w:t>Uppföljning av Riksbankens penningpolitik</w:t>
      </w:r>
    </w:p>
    <w:p w14:paraId="3E9D0A64" w14:textId="77777777" w:rsidR="0048679D" w:rsidRPr="00A538DD" w:rsidRDefault="0048679D">
      <w:pPr>
        <w:pStyle w:val="R3"/>
      </w:pPr>
      <w:r w:rsidRPr="00A538DD">
        <w:t>Målavvikelse 2004</w:t>
      </w:r>
    </w:p>
    <w:p w14:paraId="29A477A5" w14:textId="77777777" w:rsidR="0048679D" w:rsidRPr="00A538DD" w:rsidRDefault="0048679D">
      <w:r w:rsidRPr="00A538DD">
        <w:t>Trots att den konjunkturuppgång som inleddes under andra halvåret 2003 befästes alltmer under 2004 blev inflationen betydligt lägre än målet på 2 %. KPI steg med i genomsnitt 0,5 % och målavvikelsen blev således 1,5 procen</w:t>
      </w:r>
      <w:r w:rsidRPr="00A538DD">
        <w:t>t</w:t>
      </w:r>
      <w:r w:rsidRPr="00A538DD">
        <w:t>enheter. Penningpolitiken baseras vanligen på mått på den underliggande inflationen som antas ge en bättre bild av det konjunkturrelaterade inflation</w:t>
      </w:r>
      <w:r w:rsidRPr="00A538DD">
        <w:t>s</w:t>
      </w:r>
      <w:r w:rsidRPr="00A538DD">
        <w:t>trycket. Enligt det mått som används mest, UND1X, uppgick inflationen till 0,9 % 2004. Avvikelsen var med detta mått följaktligen mindre än för KPI. Den största delen av avvikelsen enligt UND1X berodde på att de höga elpr</w:t>
      </w:r>
      <w:r w:rsidRPr="00A538DD">
        <w:t>i</w:t>
      </w:r>
      <w:r w:rsidRPr="00A538DD">
        <w:t>serna 2003 föll tillbaka mer än väntat under 2004. En annan viktig förklaring till att inflationen mätt i termer av KPI blev väsentligt läg</w:t>
      </w:r>
      <w:r w:rsidRPr="00A538DD">
        <w:t>re än inflationen mätt som UND1X är att de relativt omfattande penningpolitiska lättnader som inleddes i slutet av 2002 har hållit nere hushållens räntekostnader för egn</w:t>
      </w:r>
      <w:r w:rsidRPr="00A538DD">
        <w:t>a</w:t>
      </w:r>
      <w:r w:rsidRPr="00A538DD">
        <w:t xml:space="preserve">hem. </w:t>
      </w:r>
    </w:p>
    <w:p w14:paraId="258EBC33" w14:textId="77777777" w:rsidR="0048679D" w:rsidRPr="00A538DD" w:rsidRDefault="0048679D">
      <w:pPr>
        <w:pStyle w:val="Tabellrubrik"/>
        <w:spacing w:before="125"/>
        <w:rPr>
          <w:b/>
        </w:rPr>
      </w:pPr>
      <w:r w:rsidRPr="00A538DD">
        <w:rPr>
          <w:b/>
        </w:rPr>
        <w:t>Tabell 1.</w:t>
      </w:r>
      <w:r w:rsidRPr="00A538DD">
        <w:rPr>
          <w:b/>
        </w:rPr>
        <w:tab/>
        <w:t xml:space="preserve">Jämförelse mellan olika inflationsmått </w:t>
      </w:r>
    </w:p>
    <w:tbl>
      <w:tblPr>
        <w:tblW w:w="0" w:type="auto"/>
        <w:tblInd w:w="-70" w:type="dxa"/>
        <w:tblLayout w:type="fixed"/>
        <w:tblCellMar>
          <w:left w:w="70" w:type="dxa"/>
          <w:right w:w="70" w:type="dxa"/>
        </w:tblCellMar>
        <w:tblLook w:val="0000" w:firstRow="0" w:lastRow="0" w:firstColumn="0" w:lastColumn="0" w:noHBand="0" w:noVBand="0"/>
      </w:tblPr>
      <w:tblGrid>
        <w:gridCol w:w="2031"/>
        <w:gridCol w:w="2031"/>
        <w:gridCol w:w="2031"/>
      </w:tblGrid>
      <w:tr w:rsidR="00000000" w:rsidRPr="00A538DD" w14:paraId="1C9FFB06" w14:textId="77777777">
        <w:tblPrEx>
          <w:tblCellMar>
            <w:top w:w="0" w:type="dxa"/>
            <w:bottom w:w="0" w:type="dxa"/>
          </w:tblCellMar>
        </w:tblPrEx>
        <w:trPr>
          <w:cantSplit/>
        </w:trPr>
        <w:tc>
          <w:tcPr>
            <w:tcW w:w="6093" w:type="dxa"/>
            <w:gridSpan w:val="3"/>
          </w:tcPr>
          <w:p w14:paraId="6FD6C066" w14:textId="77777777" w:rsidR="0048679D" w:rsidRPr="00A538DD" w:rsidRDefault="0048679D">
            <w:pPr>
              <w:jc w:val="center"/>
            </w:pPr>
            <w:r w:rsidRPr="00A538DD">
              <w:t>Årlig procentuell förändring</w:t>
            </w:r>
          </w:p>
        </w:tc>
      </w:tr>
      <w:tr w:rsidR="00000000" w:rsidRPr="00A538DD" w14:paraId="504FD457" w14:textId="77777777">
        <w:tblPrEx>
          <w:tblCellMar>
            <w:top w:w="0" w:type="dxa"/>
            <w:bottom w:w="0" w:type="dxa"/>
          </w:tblCellMar>
        </w:tblPrEx>
        <w:trPr>
          <w:cantSplit/>
        </w:trPr>
        <w:tc>
          <w:tcPr>
            <w:tcW w:w="6093" w:type="dxa"/>
            <w:gridSpan w:val="3"/>
          </w:tcPr>
          <w:p w14:paraId="406DD34C" w14:textId="77777777" w:rsidR="0048679D" w:rsidRPr="00A538DD" w:rsidRDefault="0048679D">
            <w:pPr>
              <w:jc w:val="center"/>
            </w:pPr>
            <w:r w:rsidRPr="00A538DD">
              <w:t>Årsgenomsnitt</w:t>
            </w:r>
          </w:p>
        </w:tc>
      </w:tr>
      <w:tr w:rsidR="00000000" w:rsidRPr="00A538DD" w14:paraId="55433553" w14:textId="77777777">
        <w:tblPrEx>
          <w:tblCellMar>
            <w:top w:w="0" w:type="dxa"/>
            <w:bottom w:w="0" w:type="dxa"/>
          </w:tblCellMar>
        </w:tblPrEx>
        <w:trPr>
          <w:cantSplit/>
        </w:trPr>
        <w:tc>
          <w:tcPr>
            <w:tcW w:w="2031" w:type="dxa"/>
          </w:tcPr>
          <w:p w14:paraId="2191DD42" w14:textId="77777777" w:rsidR="0048679D" w:rsidRPr="00A538DD" w:rsidRDefault="0048679D">
            <w:pPr>
              <w:jc w:val="center"/>
            </w:pPr>
          </w:p>
        </w:tc>
        <w:tc>
          <w:tcPr>
            <w:tcW w:w="2031" w:type="dxa"/>
          </w:tcPr>
          <w:p w14:paraId="73E1E3AC" w14:textId="77777777" w:rsidR="0048679D" w:rsidRPr="00A538DD" w:rsidRDefault="0048679D">
            <w:pPr>
              <w:jc w:val="center"/>
            </w:pPr>
            <w:r w:rsidRPr="00A538DD">
              <w:t>2004</w:t>
            </w:r>
          </w:p>
        </w:tc>
        <w:tc>
          <w:tcPr>
            <w:tcW w:w="2031" w:type="dxa"/>
          </w:tcPr>
          <w:p w14:paraId="3BE82E41" w14:textId="77777777" w:rsidR="0048679D" w:rsidRPr="00A538DD" w:rsidRDefault="0048679D">
            <w:pPr>
              <w:jc w:val="center"/>
            </w:pPr>
            <w:r w:rsidRPr="00A538DD">
              <w:t>1995–2003</w:t>
            </w:r>
          </w:p>
        </w:tc>
      </w:tr>
      <w:tr w:rsidR="00000000" w:rsidRPr="00A538DD" w14:paraId="42A15196" w14:textId="77777777">
        <w:tblPrEx>
          <w:tblCellMar>
            <w:top w:w="0" w:type="dxa"/>
            <w:bottom w:w="0" w:type="dxa"/>
          </w:tblCellMar>
        </w:tblPrEx>
        <w:tc>
          <w:tcPr>
            <w:tcW w:w="2031" w:type="dxa"/>
          </w:tcPr>
          <w:p w14:paraId="0E619675" w14:textId="77777777" w:rsidR="0048679D" w:rsidRPr="00A538DD" w:rsidRDefault="0048679D">
            <w:r w:rsidRPr="00A538DD">
              <w:t>KPI</w:t>
            </w:r>
          </w:p>
        </w:tc>
        <w:tc>
          <w:tcPr>
            <w:tcW w:w="2031" w:type="dxa"/>
          </w:tcPr>
          <w:p w14:paraId="50D5D028" w14:textId="77777777" w:rsidR="0048679D" w:rsidRPr="00A538DD" w:rsidRDefault="0048679D">
            <w:pPr>
              <w:jc w:val="center"/>
            </w:pPr>
            <w:r w:rsidRPr="00A538DD">
              <w:t>0,5</w:t>
            </w:r>
          </w:p>
        </w:tc>
        <w:tc>
          <w:tcPr>
            <w:tcW w:w="2031" w:type="dxa"/>
          </w:tcPr>
          <w:p w14:paraId="359F7D93" w14:textId="77777777" w:rsidR="0048679D" w:rsidRPr="00A538DD" w:rsidRDefault="0048679D">
            <w:pPr>
              <w:jc w:val="center"/>
            </w:pPr>
            <w:r w:rsidRPr="00A538DD">
              <w:t>1,5</w:t>
            </w:r>
          </w:p>
        </w:tc>
      </w:tr>
      <w:tr w:rsidR="00000000" w:rsidRPr="00A538DD" w14:paraId="2B334F7A" w14:textId="77777777">
        <w:tblPrEx>
          <w:tblCellMar>
            <w:top w:w="0" w:type="dxa"/>
            <w:bottom w:w="0" w:type="dxa"/>
          </w:tblCellMar>
        </w:tblPrEx>
        <w:tc>
          <w:tcPr>
            <w:tcW w:w="2031" w:type="dxa"/>
          </w:tcPr>
          <w:p w14:paraId="41C3B186" w14:textId="77777777" w:rsidR="0048679D" w:rsidRPr="00A538DD" w:rsidRDefault="0048679D">
            <w:r w:rsidRPr="00A538DD">
              <w:t>UND1X</w:t>
            </w:r>
          </w:p>
        </w:tc>
        <w:tc>
          <w:tcPr>
            <w:tcW w:w="2031" w:type="dxa"/>
          </w:tcPr>
          <w:p w14:paraId="0B7E26D8" w14:textId="77777777" w:rsidR="0048679D" w:rsidRPr="00A538DD" w:rsidRDefault="0048679D">
            <w:pPr>
              <w:jc w:val="center"/>
            </w:pPr>
            <w:r w:rsidRPr="00A538DD">
              <w:t>0,9</w:t>
            </w:r>
          </w:p>
        </w:tc>
        <w:tc>
          <w:tcPr>
            <w:tcW w:w="2031" w:type="dxa"/>
          </w:tcPr>
          <w:p w14:paraId="01A4D2B0" w14:textId="77777777" w:rsidR="0048679D" w:rsidRPr="00A538DD" w:rsidRDefault="0048679D">
            <w:pPr>
              <w:jc w:val="center"/>
            </w:pPr>
            <w:r w:rsidRPr="00A538DD">
              <w:t>2,0</w:t>
            </w:r>
          </w:p>
        </w:tc>
      </w:tr>
      <w:tr w:rsidR="00000000" w:rsidRPr="00A538DD" w14:paraId="3076ABC2" w14:textId="77777777">
        <w:tblPrEx>
          <w:tblCellMar>
            <w:top w:w="0" w:type="dxa"/>
            <w:bottom w:w="0" w:type="dxa"/>
          </w:tblCellMar>
        </w:tblPrEx>
        <w:tc>
          <w:tcPr>
            <w:tcW w:w="2031" w:type="dxa"/>
          </w:tcPr>
          <w:p w14:paraId="6A7CD53C" w14:textId="77777777" w:rsidR="0048679D" w:rsidRPr="00A538DD" w:rsidRDefault="0048679D">
            <w:r w:rsidRPr="00A538DD">
              <w:t>UNDIMPX</w:t>
            </w:r>
          </w:p>
        </w:tc>
        <w:tc>
          <w:tcPr>
            <w:tcW w:w="2031" w:type="dxa"/>
          </w:tcPr>
          <w:p w14:paraId="520D42F0" w14:textId="77777777" w:rsidR="0048679D" w:rsidRPr="00A538DD" w:rsidRDefault="0048679D">
            <w:pPr>
              <w:jc w:val="center"/>
            </w:pPr>
            <w:r w:rsidRPr="00A538DD">
              <w:t>–0,6</w:t>
            </w:r>
          </w:p>
        </w:tc>
        <w:tc>
          <w:tcPr>
            <w:tcW w:w="2031" w:type="dxa"/>
          </w:tcPr>
          <w:p w14:paraId="61CDD524" w14:textId="77777777" w:rsidR="0048679D" w:rsidRPr="00A538DD" w:rsidRDefault="0048679D">
            <w:pPr>
              <w:jc w:val="center"/>
            </w:pPr>
            <w:r w:rsidRPr="00A538DD">
              <w:t>0,7</w:t>
            </w:r>
          </w:p>
        </w:tc>
      </w:tr>
      <w:tr w:rsidR="00000000" w:rsidRPr="00A538DD" w14:paraId="7DA95700" w14:textId="77777777">
        <w:tblPrEx>
          <w:tblCellMar>
            <w:top w:w="0" w:type="dxa"/>
            <w:bottom w:w="0" w:type="dxa"/>
          </w:tblCellMar>
        </w:tblPrEx>
        <w:tc>
          <w:tcPr>
            <w:tcW w:w="2031" w:type="dxa"/>
          </w:tcPr>
          <w:p w14:paraId="53A7F79C" w14:textId="77777777" w:rsidR="0048679D" w:rsidRPr="00A538DD" w:rsidRDefault="0048679D">
            <w:r w:rsidRPr="00A538DD">
              <w:t>UNDINHX</w:t>
            </w:r>
          </w:p>
        </w:tc>
        <w:tc>
          <w:tcPr>
            <w:tcW w:w="2031" w:type="dxa"/>
          </w:tcPr>
          <w:p w14:paraId="6DD2F61C" w14:textId="77777777" w:rsidR="0048679D" w:rsidRPr="00A538DD" w:rsidRDefault="0048679D">
            <w:pPr>
              <w:jc w:val="center"/>
            </w:pPr>
            <w:r w:rsidRPr="00A538DD">
              <w:t>1,7</w:t>
            </w:r>
          </w:p>
        </w:tc>
        <w:tc>
          <w:tcPr>
            <w:tcW w:w="2031" w:type="dxa"/>
          </w:tcPr>
          <w:p w14:paraId="5138733A" w14:textId="77777777" w:rsidR="0048679D" w:rsidRPr="00A538DD" w:rsidRDefault="0048679D">
            <w:pPr>
              <w:jc w:val="center"/>
            </w:pPr>
            <w:r w:rsidRPr="00A538DD">
              <w:t>2,5</w:t>
            </w:r>
          </w:p>
        </w:tc>
      </w:tr>
      <w:tr w:rsidR="00000000" w:rsidRPr="00A538DD" w14:paraId="006AF5F3" w14:textId="77777777">
        <w:tblPrEx>
          <w:tblCellMar>
            <w:top w:w="0" w:type="dxa"/>
            <w:bottom w:w="0" w:type="dxa"/>
          </w:tblCellMar>
        </w:tblPrEx>
        <w:tc>
          <w:tcPr>
            <w:tcW w:w="2031" w:type="dxa"/>
          </w:tcPr>
          <w:p w14:paraId="647BA085" w14:textId="77777777" w:rsidR="0048679D" w:rsidRPr="00A538DD" w:rsidRDefault="0048679D">
            <w:pPr>
              <w:pStyle w:val="Deltagare"/>
              <w:keepLines w:val="0"/>
              <w:spacing w:before="62" w:line="250" w:lineRule="atLeast"/>
              <w:rPr>
                <w:noProof w:val="0"/>
              </w:rPr>
            </w:pPr>
            <w:r w:rsidRPr="00A538DD">
              <w:rPr>
                <w:noProof w:val="0"/>
              </w:rPr>
              <w:t>UND1X exkl. energi</w:t>
            </w:r>
          </w:p>
        </w:tc>
        <w:tc>
          <w:tcPr>
            <w:tcW w:w="2031" w:type="dxa"/>
          </w:tcPr>
          <w:p w14:paraId="75CA0287" w14:textId="77777777" w:rsidR="0048679D" w:rsidRPr="00A538DD" w:rsidRDefault="0048679D">
            <w:pPr>
              <w:jc w:val="center"/>
            </w:pPr>
            <w:r w:rsidRPr="00A538DD">
              <w:t>0,8</w:t>
            </w:r>
          </w:p>
        </w:tc>
        <w:tc>
          <w:tcPr>
            <w:tcW w:w="2031" w:type="dxa"/>
          </w:tcPr>
          <w:p w14:paraId="61CFEAAE" w14:textId="77777777" w:rsidR="0048679D" w:rsidRPr="00A538DD" w:rsidRDefault="0048679D">
            <w:pPr>
              <w:jc w:val="center"/>
            </w:pPr>
            <w:r w:rsidRPr="00A538DD">
              <w:t>1,9</w:t>
            </w:r>
          </w:p>
        </w:tc>
      </w:tr>
    </w:tbl>
    <w:p w14:paraId="226A0B80" w14:textId="77777777" w:rsidR="0048679D" w:rsidRPr="00A538DD" w:rsidRDefault="0048679D">
      <w:pPr>
        <w:pStyle w:val="Fotnotstextindrag"/>
        <w:spacing w:before="125"/>
        <w:ind w:left="-142" w:firstLine="142"/>
        <w:rPr>
          <w:sz w:val="16"/>
        </w:rPr>
      </w:pPr>
      <w:r w:rsidRPr="00A538DD">
        <w:rPr>
          <w:sz w:val="16"/>
        </w:rPr>
        <w:t>Källa: SCB</w:t>
      </w:r>
    </w:p>
    <w:p w14:paraId="5947E506" w14:textId="77777777" w:rsidR="0048679D" w:rsidRPr="00A538DD" w:rsidRDefault="0048679D"/>
    <w:p w14:paraId="3629ED03" w14:textId="77777777" w:rsidR="0048679D" w:rsidRPr="00A538DD" w:rsidRDefault="0048679D">
      <w:pPr>
        <w:rPr>
          <w:b/>
        </w:rPr>
      </w:pPr>
      <w:r w:rsidRPr="00A538DD">
        <w:br w:type="page"/>
      </w:r>
      <w:r w:rsidRPr="00A538DD">
        <w:rPr>
          <w:b/>
        </w:rPr>
        <w:t xml:space="preserve">Olika mått på inflation: </w:t>
      </w:r>
    </w:p>
    <w:p w14:paraId="01765560" w14:textId="77777777" w:rsidR="0048679D" w:rsidRPr="00A538DD" w:rsidRDefault="0048679D">
      <w:r w:rsidRPr="00A538DD">
        <w:rPr>
          <w:b/>
        </w:rPr>
        <w:t>Konsumentprisindex (KPI):</w:t>
      </w:r>
      <w:r w:rsidRPr="00A538DD">
        <w:t xml:space="preserve"> Förändringen i KPI mäter hur priserna på de varor och tjänster som ingår i den privata konsumtionen utvecklas över tiden.</w:t>
      </w:r>
    </w:p>
    <w:p w14:paraId="33B5E9B7" w14:textId="77777777" w:rsidR="0048679D" w:rsidRPr="00A538DD" w:rsidRDefault="0048679D">
      <w:r w:rsidRPr="00A538DD">
        <w:rPr>
          <w:b/>
        </w:rPr>
        <w:t>Underliggande inflation (UND1X):</w:t>
      </w:r>
      <w:r w:rsidRPr="00A538DD">
        <w:t xml:space="preserve"> KPI-inflation exklusive hushållens räntekostnader för egnahem och direkta effekter av ändrade indirekta skatter och su</w:t>
      </w:r>
      <w:r w:rsidRPr="00A538DD">
        <w:t>b</w:t>
      </w:r>
      <w:r w:rsidRPr="00A538DD">
        <w:t>ventioner.</w:t>
      </w:r>
    </w:p>
    <w:p w14:paraId="64D3E0E7" w14:textId="77777777" w:rsidR="0048679D" w:rsidRPr="00A538DD" w:rsidRDefault="0048679D">
      <w:r w:rsidRPr="00A538DD">
        <w:rPr>
          <w:b/>
        </w:rPr>
        <w:t>Importerad underliggande inflation (UNDIMPX):</w:t>
      </w:r>
      <w:r w:rsidRPr="00A538DD">
        <w:t xml:space="preserve"> UND1X exklusive i huvudsak inhemskt producerade varor och tjänster.</w:t>
      </w:r>
    </w:p>
    <w:p w14:paraId="2F67F7F1" w14:textId="77777777" w:rsidR="0048679D" w:rsidRPr="00A538DD" w:rsidRDefault="0048679D">
      <w:r w:rsidRPr="00A538DD">
        <w:rPr>
          <w:b/>
        </w:rPr>
        <w:t>Inhemsk underliggande inflation (UNDINHX):</w:t>
      </w:r>
      <w:r w:rsidRPr="00A538DD">
        <w:t xml:space="preserve"> UND1X exklusive i h</w:t>
      </w:r>
      <w:r w:rsidRPr="00A538DD">
        <w:t>u</w:t>
      </w:r>
      <w:r w:rsidRPr="00A538DD">
        <w:t>vudsak importerade varor och tjänster.</w:t>
      </w:r>
    </w:p>
    <w:p w14:paraId="429F97A4" w14:textId="77777777" w:rsidR="0048679D" w:rsidRPr="00A538DD" w:rsidRDefault="0048679D">
      <w:r w:rsidRPr="00A538DD">
        <w:rPr>
          <w:b/>
        </w:rPr>
        <w:t>Harmoniserat index för konsumentpriser (HIKP):</w:t>
      </w:r>
      <w:r w:rsidRPr="00A538DD">
        <w:t xml:space="preserve"> EU-harmoniserat index som tagits fram för att mäta inflationen i EU-området och som är jämförbart länderna emellan. En stor del av prisutvecklingen för boende i egnahem som ingår i KPI ingår inte i HIKP. HIKP innehåller däremot vissa komponenter som för närvarande inte ingår i KPI, t.ex. avgifter för barn- och äldreo</w:t>
      </w:r>
      <w:r w:rsidRPr="00A538DD">
        <w:t>m</w:t>
      </w:r>
      <w:r w:rsidRPr="00A538DD">
        <w:t>sorg.</w:t>
      </w:r>
    </w:p>
    <w:p w14:paraId="7F89462A" w14:textId="77777777" w:rsidR="0048679D" w:rsidRPr="00A538DD" w:rsidRDefault="0048679D">
      <w:r w:rsidRPr="00A538DD">
        <w:t>Förloppet under året kännetecknades av att inflationen inledningsvis föll kraftigt. Från att ha varit 1,4 % i december 2003 sjönk tolvmånadersförän</w:t>
      </w:r>
      <w:r w:rsidRPr="00A538DD">
        <w:t>d</w:t>
      </w:r>
      <w:r w:rsidRPr="00A538DD">
        <w:t>ringen i KPI (förändringen i förhållande till motsvarande månad året innan) till –0,3 % i februari 2004. Fallet i inflationen mellan februari 2003, då tol</w:t>
      </w:r>
      <w:r w:rsidRPr="00A538DD">
        <w:t>v</w:t>
      </w:r>
      <w:r w:rsidRPr="00A538DD">
        <w:t xml:space="preserve">månadersförändringen i KPI uppgick till 3,4 %, och februari 2004 är det största som noterats under ett år sedan inflationsmålet infördes. Inflationen steg sedan under våren, men låg kvar på en låg nivå. </w:t>
      </w:r>
    </w:p>
    <w:p w14:paraId="5055C66C" w14:textId="77777777" w:rsidR="0048679D" w:rsidRPr="00A538DD" w:rsidRDefault="0048679D">
      <w:pPr>
        <w:pStyle w:val="Diagramrubrik"/>
        <w:spacing w:before="0"/>
      </w:pPr>
      <w:r w:rsidRPr="00A538DD">
        <w:t>Diagram 1. KPI, UND1X och UND1X exklusive energi 1993–2004</w:t>
      </w:r>
    </w:p>
    <w:p w14:paraId="05A9FF2B" w14:textId="77777777" w:rsidR="0048679D" w:rsidRPr="00A538DD" w:rsidRDefault="0048679D">
      <w:pPr>
        <w:rPr>
          <w:sz w:val="16"/>
        </w:rPr>
      </w:pPr>
      <w:r w:rsidRPr="00A538DD">
        <w:rPr>
          <w:sz w:val="16"/>
        </w:rPr>
        <w:t xml:space="preserve">Årlig procentuell förändring </w:t>
      </w:r>
    </w:p>
    <w:p w14:paraId="65AED79B" w14:textId="4898A3FB" w:rsidR="0048679D" w:rsidRPr="00A538DD" w:rsidRDefault="00A538DD">
      <w:pPr>
        <w:ind w:left="-284" w:firstLine="284"/>
      </w:pPr>
      <w:r w:rsidRPr="00A538DD">
        <w:rPr>
          <w:noProof/>
        </w:rPr>
        <w:drawing>
          <wp:inline distT="0" distB="0" distL="0" distR="0" wp14:anchorId="57020D2D" wp14:editId="54DD4B25">
            <wp:extent cx="4441190" cy="26289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1190" cy="2628900"/>
                    </a:xfrm>
                    <a:prstGeom prst="rect">
                      <a:avLst/>
                    </a:prstGeom>
                    <a:noFill/>
                    <a:ln>
                      <a:noFill/>
                    </a:ln>
                  </pic:spPr>
                </pic:pic>
              </a:graphicData>
            </a:graphic>
          </wp:inline>
        </w:drawing>
      </w:r>
    </w:p>
    <w:p w14:paraId="7F923DFB" w14:textId="77777777" w:rsidR="0048679D" w:rsidRPr="00A538DD" w:rsidRDefault="0048679D">
      <w:pPr>
        <w:pStyle w:val="Fotnotstextindrag"/>
        <w:ind w:left="-567" w:firstLine="567"/>
        <w:rPr>
          <w:sz w:val="16"/>
        </w:rPr>
      </w:pPr>
      <w:r w:rsidRPr="00A538DD">
        <w:rPr>
          <w:sz w:val="16"/>
        </w:rPr>
        <w:t>Källor: Riksbanken och SCB</w:t>
      </w:r>
    </w:p>
    <w:p w14:paraId="2860BCDF" w14:textId="77777777" w:rsidR="0048679D" w:rsidRPr="00A538DD" w:rsidRDefault="0048679D">
      <w:pPr>
        <w:pStyle w:val="R3"/>
      </w:pPr>
      <w:r w:rsidRPr="00A538DD">
        <w:t>Varför blev inflationen 2004 så låg?</w:t>
      </w:r>
    </w:p>
    <w:p w14:paraId="223A8610" w14:textId="77777777" w:rsidR="0048679D" w:rsidRPr="00A538DD" w:rsidRDefault="0048679D">
      <w:r w:rsidRPr="00A538DD">
        <w:t>Det snabba fallet i inflationen i början av 2004 var delvis en följd av att ene</w:t>
      </w:r>
      <w:r w:rsidRPr="00A538DD">
        <w:t>r</w:t>
      </w:r>
      <w:r w:rsidRPr="00A538DD">
        <w:t>gipriserna tillfälligt hade stigit i början av 2003. En sådan effekt räknade Riksbanken också med redan i den första inflationsrapporten 2003. Eftersom svängningarna i energipriserna bedömdes påverka inflationen endast tillfälligt ansågs varken uppgången i inflationen i början av 2003 eller den prognostis</w:t>
      </w:r>
      <w:r w:rsidRPr="00A538DD">
        <w:t>e</w:t>
      </w:r>
      <w:r w:rsidRPr="00A538DD">
        <w:t>rade nedgången i början av 2004 utgöra skäl för att vidta penningpolitiska åtgärder. I syfte att tydliggöra att den faktiska och prognostiserade inflationen i hög grad påverkades av tillfälliga störningar</w:t>
      </w:r>
      <w:r w:rsidRPr="00A538DD">
        <w:t xml:space="preserve"> i energipriserna och därför kunde förväntas avvika från målet valde Riksbanken att under större delen av 2003 och början av 2004 utgå ifrån en bedömning av inflationen rensad för energiprisutvecklingen, dvs. inflationsmåttet UND1X exklusive ene</w:t>
      </w:r>
      <w:r w:rsidRPr="00A538DD">
        <w:t>r</w:t>
      </w:r>
      <w:r w:rsidRPr="00A538DD">
        <w:t xml:space="preserve">gi. </w:t>
      </w:r>
    </w:p>
    <w:p w14:paraId="3A35DF7E" w14:textId="77777777" w:rsidR="0048679D" w:rsidRPr="00A538DD" w:rsidRDefault="0048679D">
      <w:pPr>
        <w:pStyle w:val="Diagramrubrik"/>
        <w:spacing w:before="120"/>
        <w:ind w:left="0" w:firstLine="0"/>
      </w:pPr>
      <w:r w:rsidRPr="00A538DD">
        <w:t>Diagram 2. Prognoser för UND1X vid olika tidpunkter samt faktisk utveckling</w:t>
      </w:r>
    </w:p>
    <w:p w14:paraId="3FCBA9C8" w14:textId="77777777" w:rsidR="0048679D" w:rsidRPr="00A538DD" w:rsidRDefault="0048679D">
      <w:pPr>
        <w:ind w:left="-567"/>
        <w:rPr>
          <w:sz w:val="16"/>
        </w:rPr>
      </w:pPr>
      <w:r w:rsidRPr="00A538DD">
        <w:rPr>
          <w:sz w:val="16"/>
        </w:rPr>
        <w:t>Årlig procent</w:t>
      </w:r>
      <w:r w:rsidRPr="00A538DD">
        <w:rPr>
          <w:sz w:val="16"/>
        </w:rPr>
        <w:t>u</w:t>
      </w:r>
      <w:r w:rsidRPr="00A538DD">
        <w:rPr>
          <w:sz w:val="16"/>
        </w:rPr>
        <w:t xml:space="preserve">ell förändring </w:t>
      </w:r>
    </w:p>
    <w:p w14:paraId="033D42AA" w14:textId="17C98E5E" w:rsidR="0048679D" w:rsidRPr="00A538DD" w:rsidRDefault="00A538DD">
      <w:pPr>
        <w:ind w:hanging="709"/>
      </w:pPr>
      <w:r w:rsidRPr="00A538DD">
        <w:rPr>
          <w:noProof/>
        </w:rPr>
        <w:drawing>
          <wp:inline distT="0" distB="0" distL="0" distR="0" wp14:anchorId="04C04A72" wp14:editId="53379E87">
            <wp:extent cx="4653915" cy="28898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53915" cy="2889885"/>
                    </a:xfrm>
                    <a:prstGeom prst="rect">
                      <a:avLst/>
                    </a:prstGeom>
                    <a:noFill/>
                    <a:ln>
                      <a:noFill/>
                    </a:ln>
                  </pic:spPr>
                </pic:pic>
              </a:graphicData>
            </a:graphic>
          </wp:inline>
        </w:drawing>
      </w:r>
    </w:p>
    <w:p w14:paraId="6033218A" w14:textId="77777777" w:rsidR="0048679D" w:rsidRPr="00A538DD" w:rsidRDefault="0048679D">
      <w:pPr>
        <w:pStyle w:val="Fotnotstextindrag"/>
        <w:ind w:left="-567"/>
        <w:rPr>
          <w:sz w:val="16"/>
        </w:rPr>
      </w:pPr>
      <w:r w:rsidRPr="00A538DD">
        <w:rPr>
          <w:sz w:val="16"/>
        </w:rPr>
        <w:t>Källor: SCB (utfall) och Riksbanken (progn</w:t>
      </w:r>
      <w:r w:rsidRPr="00A538DD">
        <w:rPr>
          <w:sz w:val="16"/>
        </w:rPr>
        <w:t>o</w:t>
      </w:r>
      <w:r w:rsidRPr="00A538DD">
        <w:rPr>
          <w:sz w:val="16"/>
        </w:rPr>
        <w:t>ser)</w:t>
      </w:r>
    </w:p>
    <w:p w14:paraId="249A844D" w14:textId="77777777" w:rsidR="0048679D" w:rsidRPr="00A538DD" w:rsidRDefault="0048679D"/>
    <w:p w14:paraId="56D24E4B" w14:textId="77777777" w:rsidR="0048679D" w:rsidRPr="00A538DD" w:rsidRDefault="0048679D">
      <w:r w:rsidRPr="00A538DD">
        <w:t>Trots den alltmer tydliga konjunkturuppgången förblev det inhemska kos</w:t>
      </w:r>
      <w:r w:rsidRPr="00A538DD">
        <w:t>t</w:t>
      </w:r>
      <w:r w:rsidRPr="00A538DD">
        <w:t>nadstrycket svagare än väntat under 2004. Ett viktigt skäl till detta var att produktiviteten utvecklades starkare än vad som var förväntat av såväl Rik</w:t>
      </w:r>
      <w:r w:rsidRPr="00A538DD">
        <w:t>s</w:t>
      </w:r>
      <w:r w:rsidRPr="00A538DD">
        <w:t>banken som många andra konjunkturbedömare. Orsakerna till den höga pr</w:t>
      </w:r>
      <w:r w:rsidRPr="00A538DD">
        <w:t>o</w:t>
      </w:r>
      <w:r w:rsidRPr="00A538DD">
        <w:t>duktivitetstillväxten är oklara men vissa tecken tyder på att den åtminstone till en del är ett mer varaktigt fenomen. En hypotes om varför så skulle vara fallet är att de omfattande investeringar i IT-teknologi som gjordes inom många sektorer under slutet av 1990-talet nu börjar ge resu</w:t>
      </w:r>
      <w:r w:rsidRPr="00A538DD">
        <w:t>ltat. En annan hypotes tar fasta på att Sverige är en mycket öppen ekonomi och därmed gynnas av det globala omvandlingstrycket. Spegelbilden av den höga produktivitetsutvec</w:t>
      </w:r>
      <w:r w:rsidRPr="00A538DD">
        <w:t>k</w:t>
      </w:r>
      <w:r w:rsidRPr="00A538DD">
        <w:t>lingen var att utvecklingen på arbetsmarknaden blev oväntat svag. Detta medförde samtidigt att löneökningarna blev något lägre än väntat. Det svaga inhemska kostnadstrycket bidrog till att prisökningstakten dämpades på i</w:t>
      </w:r>
      <w:r w:rsidRPr="00A538DD">
        <w:t>n</w:t>
      </w:r>
      <w:r w:rsidRPr="00A538DD">
        <w:t xml:space="preserve">hemskt producerade varor.  </w:t>
      </w:r>
    </w:p>
    <w:p w14:paraId="5D1288A8" w14:textId="77777777" w:rsidR="0048679D" w:rsidRPr="00A538DD" w:rsidRDefault="0048679D">
      <w:pPr>
        <w:pStyle w:val="Normaltindrag"/>
      </w:pPr>
      <w:r w:rsidRPr="00A538DD">
        <w:t>Även den importerade inflationen blev låg 2004. Hur den importerade i</w:t>
      </w:r>
      <w:r w:rsidRPr="00A538DD">
        <w:t>n</w:t>
      </w:r>
      <w:r w:rsidRPr="00A538DD">
        <w:t>flationen utvecklas beror på en rad omständigheter som ofta är svåra att föru</w:t>
      </w:r>
      <w:r w:rsidRPr="00A538DD">
        <w:t>t</w:t>
      </w:r>
      <w:r w:rsidRPr="00A538DD">
        <w:t>se, bl.a. hur växelkursen varierar och hur det internationella pristrycket u</w:t>
      </w:r>
      <w:r w:rsidRPr="00A538DD">
        <w:t>t</w:t>
      </w:r>
      <w:r w:rsidRPr="00A538DD">
        <w:t>vecklas. Även förhållandena i Sverige spelar roll för den importerade infl</w:t>
      </w:r>
      <w:r w:rsidRPr="00A538DD">
        <w:t>a</w:t>
      </w:r>
      <w:r w:rsidRPr="00A538DD">
        <w:t>tionen, exempelvis därför att utländska exportörers priser till svenska impo</w:t>
      </w:r>
      <w:r w:rsidRPr="00A538DD">
        <w:t>r</w:t>
      </w:r>
      <w:r w:rsidRPr="00A538DD">
        <w:t>törer kan styras av det svenska efterfrågeläget och att importörernas pri</w:t>
      </w:r>
      <w:r w:rsidRPr="00A538DD">
        <w:t>s</w:t>
      </w:r>
      <w:r w:rsidRPr="00A538DD">
        <w:t>påslag kan påverkas av förändringar i konkurrenssituationen på den svenska marknaden. Det faktum att priserna på importerade konsu</w:t>
      </w:r>
      <w:r w:rsidRPr="00A538DD">
        <w:t>mtionsvaror (exkl. olja) har fallit sedan våren 2003 är sannolikt i huvudsak en följd av ett lågt internationellt pristryck och av att växelkursen stärkts under senare år. Under hösten steg den importerade inflationen, i huvudsak som ett resultat av olj</w:t>
      </w:r>
      <w:r w:rsidRPr="00A538DD">
        <w:t>e</w:t>
      </w:r>
      <w:r w:rsidRPr="00A538DD">
        <w:t>prisuppgången. En förstärkning av kronan mot dollarn bidrog dock till att dämpa prisökningen på olja i kronor räknat.</w:t>
      </w:r>
    </w:p>
    <w:p w14:paraId="2B118713" w14:textId="77777777" w:rsidR="0048679D" w:rsidRPr="00A538DD" w:rsidRDefault="0048679D">
      <w:pPr>
        <w:pStyle w:val="Normaltindrag"/>
      </w:pPr>
      <w:r w:rsidRPr="00A538DD">
        <w:t>Förändrade konkurrensförhållanden i den svenska ekonomin kan också ha spelat en roll för den låga inflationen under året. Det gäller inte mi</w:t>
      </w:r>
      <w:r w:rsidRPr="00A538DD">
        <w:t xml:space="preserve">nst den svenska livsmedelshandeln där flera lågpriskedjor har etablerats under senare år. Detta har bidragit till en ökad konkurrens som sannolikt haft en dämpande inverkan på prisökningarna på såväl inhemskt producerade som importerade produkter. </w:t>
      </w:r>
    </w:p>
    <w:p w14:paraId="5A77A8E9" w14:textId="77777777" w:rsidR="0048679D" w:rsidRPr="00A538DD" w:rsidRDefault="0048679D">
      <w:pPr>
        <w:pStyle w:val="R3"/>
      </w:pPr>
      <w:r w:rsidRPr="00A538DD">
        <w:t>Prognoserna 2002–2003</w:t>
      </w:r>
    </w:p>
    <w:p w14:paraId="3B97D7A6" w14:textId="77777777" w:rsidR="0048679D" w:rsidRPr="00A538DD" w:rsidRDefault="0048679D">
      <w:r w:rsidRPr="00A538DD">
        <w:t>Eftersom penningpolitiken verkar med viss fördröjning påverkades inflati</w:t>
      </w:r>
      <w:r w:rsidRPr="00A538DD">
        <w:t>o</w:t>
      </w:r>
      <w:r w:rsidRPr="00A538DD">
        <w:t xml:space="preserve">nen under 2004 främst av den penningpolitik som bedrevs under 2002 och 2003. En analys av penningpolitiken bör därför i första hand inriktas mot de bedömningar som gjordes och de reporäntebeslut som fattades under dessa båda år. </w:t>
      </w:r>
    </w:p>
    <w:p w14:paraId="4B38CF73" w14:textId="77777777" w:rsidR="0048679D" w:rsidRPr="00A538DD" w:rsidRDefault="0048679D">
      <w:pPr>
        <w:pStyle w:val="Normaltindrag"/>
      </w:pPr>
      <w:r w:rsidRPr="00A538DD">
        <w:t>En svårighet vid bedömningen i efterhand av Riksbankens prognoser är att de görs under antagande om att reporäntan hålls oförändrad. Eftersom rep</w:t>
      </w:r>
      <w:r w:rsidRPr="00A538DD">
        <w:t>o</w:t>
      </w:r>
      <w:r w:rsidRPr="00A538DD">
        <w:t>räntan vanligen ändras under prognosperioden går det inte att utifrån de pu</w:t>
      </w:r>
      <w:r w:rsidRPr="00A538DD">
        <w:t>b</w:t>
      </w:r>
      <w:r w:rsidRPr="00A538DD">
        <w:t>licerade prognoserna få en exakt uppfattning av träffsäkerheten i Riksbankens bedömningar. Det är emellertid normalt möjligt att skapa sig en kvalitativ och ganska god bild av hur väl Riksbanken lyckats i sina progn</w:t>
      </w:r>
      <w:r w:rsidRPr="00A538DD">
        <w:t>o</w:t>
      </w:r>
      <w:r w:rsidRPr="00A538DD">
        <w:t xml:space="preserve">ser. </w:t>
      </w:r>
    </w:p>
    <w:p w14:paraId="5D7B47F1" w14:textId="77777777" w:rsidR="0048679D" w:rsidRPr="00A538DD" w:rsidRDefault="0048679D">
      <w:pPr>
        <w:pStyle w:val="Normaltindrag"/>
      </w:pPr>
      <w:r w:rsidRPr="00A538DD">
        <w:t>BNP-tillväxten 2003, som kan antas ha påverkat inflationsutfallet 2004, överskattades förhållandevis kraftigt i de prognoser som gjordes i början av 2002. Det hörde samman med att den globala konjunkturuppgången f</w:t>
      </w:r>
      <w:r w:rsidRPr="00A538DD">
        <w:t>ördrö</w:t>
      </w:r>
      <w:r w:rsidRPr="00A538DD">
        <w:t>j</w:t>
      </w:r>
      <w:r w:rsidRPr="00A538DD">
        <w:t>des till följd av bl.a. osäkerhet inför kriget i Irak. Tillväxtprognosen justerades emellertid ned gradvis under året i takt med att det började stå alltmer klart att den svenska och internationella konjunkturen inte skulle komma att utvecklas så gynnsamt som tidigare prognostiserats. Vid inledningen av 2003 var pr</w:t>
      </w:r>
      <w:r w:rsidRPr="00A538DD">
        <w:t>o</w:t>
      </w:r>
      <w:r w:rsidRPr="00A538DD">
        <w:t>gnosen i linje med vad som visade sig bli det slutliga utfallet. Eftersom pe</w:t>
      </w:r>
      <w:r w:rsidRPr="00A538DD">
        <w:t>n</w:t>
      </w:r>
      <w:r w:rsidRPr="00A538DD">
        <w:t>ningpolitiken verkar med viss fördröjning hade de räntesänkningar som genomfördes under 2003 sannolikt en förhål</w:t>
      </w:r>
      <w:r w:rsidRPr="00A538DD">
        <w:t xml:space="preserve">landevis begränsad påverkan på BNP-utfallet detta år. </w:t>
      </w:r>
    </w:p>
    <w:p w14:paraId="5D83C83C" w14:textId="77777777" w:rsidR="0048679D" w:rsidRPr="00A538DD" w:rsidRDefault="0048679D">
      <w:pPr>
        <w:pStyle w:val="Tabellrubrik"/>
        <w:spacing w:before="120"/>
        <w:rPr>
          <w:b/>
        </w:rPr>
      </w:pPr>
      <w:r w:rsidRPr="00A538DD">
        <w:rPr>
          <w:b/>
        </w:rPr>
        <w:t>Tabell 2.</w:t>
      </w:r>
      <w:r w:rsidRPr="00A538DD">
        <w:rPr>
          <w:b/>
        </w:rPr>
        <w:tab/>
        <w:t>Utvecklingen av Riksbankens prognoser samt utfall för 2004 för några viktiga variabler för inflation</w:t>
      </w:r>
      <w:r w:rsidRPr="00A538DD">
        <w:rPr>
          <w:b/>
        </w:rPr>
        <w:t>s</w:t>
      </w:r>
      <w:r w:rsidRPr="00A538DD">
        <w:rPr>
          <w:b/>
        </w:rPr>
        <w:t>prognosen.</w:t>
      </w:r>
    </w:p>
    <w:p w14:paraId="23A57DEA" w14:textId="77777777" w:rsidR="0048679D" w:rsidRPr="00A538DD" w:rsidRDefault="0048679D">
      <w:pPr>
        <w:pStyle w:val="Tabellrubrik"/>
        <w:spacing w:before="125"/>
        <w:ind w:hanging="1844"/>
      </w:pPr>
      <w:r w:rsidRPr="00A538DD">
        <w:t>Årsgenomsnitt</w:t>
      </w:r>
    </w:p>
    <w:p w14:paraId="1EDC44DD" w14:textId="08A1BDA6" w:rsidR="0048679D" w:rsidRPr="00A538DD" w:rsidRDefault="00A538DD">
      <w:pPr>
        <w:ind w:left="-993"/>
      </w:pPr>
      <w:r w:rsidRPr="00A538DD">
        <w:rPr>
          <w:noProof/>
        </w:rPr>
        <w:drawing>
          <wp:inline distT="0" distB="0" distL="0" distR="0" wp14:anchorId="5FF4BBBF" wp14:editId="756A4338">
            <wp:extent cx="4572000" cy="17964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72000" cy="1796415"/>
                    </a:xfrm>
                    <a:prstGeom prst="rect">
                      <a:avLst/>
                    </a:prstGeom>
                    <a:noFill/>
                    <a:ln>
                      <a:noFill/>
                    </a:ln>
                  </pic:spPr>
                </pic:pic>
              </a:graphicData>
            </a:graphic>
          </wp:inline>
        </w:drawing>
      </w:r>
    </w:p>
    <w:p w14:paraId="034A9760" w14:textId="77777777" w:rsidR="0048679D" w:rsidRPr="00A538DD" w:rsidRDefault="0048679D">
      <w:pPr>
        <w:pStyle w:val="Fotnotstextindrag"/>
        <w:spacing w:before="125"/>
        <w:ind w:left="-567" w:firstLine="567"/>
        <w:rPr>
          <w:sz w:val="16"/>
        </w:rPr>
      </w:pPr>
      <w:r w:rsidRPr="00A538DD">
        <w:rPr>
          <w:sz w:val="16"/>
        </w:rPr>
        <w:t>Källor: SCB, OECD, International Petroleum Exchange (utfall) och Riksbanken (prognoser)</w:t>
      </w:r>
    </w:p>
    <w:p w14:paraId="5F9DDD1E" w14:textId="77777777" w:rsidR="0048679D" w:rsidRPr="00A538DD" w:rsidRDefault="0048679D">
      <w:pPr>
        <w:spacing w:before="187"/>
      </w:pPr>
      <w:r w:rsidRPr="00A538DD">
        <w:t>Omvärderingen i början av 2003 av konjunkturutsikterna på kortare sikt me</w:t>
      </w:r>
      <w:r w:rsidRPr="00A538DD">
        <w:t>d</w:t>
      </w:r>
      <w:r w:rsidRPr="00A538DD">
        <w:t>förde att även inflationsprognosen för 2004 justerades ned något. De progn</w:t>
      </w:r>
      <w:r w:rsidRPr="00A538DD">
        <w:t>o</w:t>
      </w:r>
      <w:r w:rsidRPr="00A538DD">
        <w:t>ser som gjordes 2003 för den underliggande inflationen 2004 låg därefter relativt väl i linje med det slutliga utfallet. Det faktum att prognoserna baseras på antagandet att reporäntan hålls oförändrad medan den i praktiken sänktes med sammanlagt en procentenhet under 2003 indikerar att de prognoser som gjordes 2003 ändå öve</w:t>
      </w:r>
      <w:r w:rsidRPr="00A538DD">
        <w:t>r</w:t>
      </w:r>
      <w:r w:rsidRPr="00A538DD">
        <w:t>skattade inflationsutvecklingen.</w:t>
      </w:r>
    </w:p>
    <w:p w14:paraId="4638BE4A" w14:textId="77777777" w:rsidR="0048679D" w:rsidRPr="00A538DD" w:rsidRDefault="0048679D">
      <w:pPr>
        <w:pStyle w:val="Normaltindrag"/>
      </w:pPr>
      <w:r w:rsidRPr="00A538DD">
        <w:t>Inflationsprognosen för 2004 justerades ned i ett andra steg i början av 200</w:t>
      </w:r>
      <w:r w:rsidRPr="00A538DD">
        <w:t>4. Inflationsutfallen hade då visat sig bli ännu lägre än förutsett trots att konjunkturuppgången hade befästs alltmer. Detta ledde till en omvärdering av det inhemska och internationella kostnadstrycket och penningpolitiken lätt</w:t>
      </w:r>
      <w:r w:rsidRPr="00A538DD">
        <w:t>a</w:t>
      </w:r>
      <w:r w:rsidRPr="00A538DD">
        <w:t>des ytterligare under det första kvartalet 2004. Omvärderingen hängde bl.a. samman med en mer positiv syn på produktivitetsutvecklingen och en förhå</w:t>
      </w:r>
      <w:r w:rsidRPr="00A538DD">
        <w:t>l</w:t>
      </w:r>
      <w:r w:rsidRPr="00A538DD">
        <w:t>landevis kraftig nedjustering av prognosen för den importerade inflationen. Prognoserna för den inhemska kostnadsutvecklingen sänktes</w:t>
      </w:r>
      <w:r w:rsidRPr="00A538DD">
        <w:t xml:space="preserve"> ytterligare under loppet av 2004 medan den importerade inflationen justerades upp något, bl.a. mot bakgrund av de kraftigt stigande oljepriserna. Därmed var inflationspr</w:t>
      </w:r>
      <w:r w:rsidRPr="00A538DD">
        <w:t>o</w:t>
      </w:r>
      <w:r w:rsidRPr="00A538DD">
        <w:t xml:space="preserve">gnosen för 2004 mätt med UND1X tillbaka på ungefär samma nivå som under 2003 och i linje med det slutliga utfallet. </w:t>
      </w:r>
    </w:p>
    <w:p w14:paraId="09E8E711" w14:textId="77777777" w:rsidR="0048679D" w:rsidRPr="00A538DD" w:rsidRDefault="0048679D">
      <w:pPr>
        <w:pStyle w:val="Normaltindrag"/>
        <w:rPr>
          <w:rFonts w:ascii="Syntax" w:hAnsi="Syntax"/>
          <w:b/>
          <w:sz w:val="20"/>
        </w:rPr>
      </w:pPr>
      <w:r w:rsidRPr="00A538DD">
        <w:t>Såväl dämpningen av konjunkturen i slutet av 2002 som det låga intern</w:t>
      </w:r>
      <w:r w:rsidRPr="00A538DD">
        <w:t>a</w:t>
      </w:r>
      <w:r w:rsidRPr="00A538DD">
        <w:t>tionella och inhemska kostnadstrycket tycks ha överraskat de flesta bedömare. Om man studerar ett genomsnitt av prognoserna hos ett drygt tjugotal bed</w:t>
      </w:r>
      <w:r w:rsidRPr="00A538DD">
        <w:t>ö</w:t>
      </w:r>
      <w:r w:rsidRPr="00A538DD">
        <w:t>mare finner man ett liknande mönster som i Riksbankens prognoser. Progn</w:t>
      </w:r>
      <w:r w:rsidRPr="00A538DD">
        <w:t>o</w:t>
      </w:r>
      <w:r w:rsidRPr="00A538DD">
        <w:t>serna för BNP-tillväxten 2003 justerades gradvis ner under andra halvan av 2002 och början av 2003. Detta medförde också en nedjustering av inflation</w:t>
      </w:r>
      <w:r w:rsidRPr="00A538DD">
        <w:t>s</w:t>
      </w:r>
      <w:r w:rsidRPr="00A538DD">
        <w:t>prognoserna för 2004. Riksbanken hörde till de bedömare som tidigast börj</w:t>
      </w:r>
      <w:r w:rsidRPr="00A538DD">
        <w:t>a</w:t>
      </w:r>
      <w:r w:rsidRPr="00A538DD">
        <w:t>de justera ner sina inflationsprognoser. Ett par prognosmakare g</w:t>
      </w:r>
      <w:r w:rsidRPr="00A538DD">
        <w:t>jorde dock något tidigare än Riksbanken bedömningen att inflationen 2004 skulle ko</w:t>
      </w:r>
      <w:r w:rsidRPr="00A538DD">
        <w:t>m</w:t>
      </w:r>
      <w:r w:rsidRPr="00A538DD">
        <w:t>ma att hamna under toleransintervallet. Ännu i slutet av 2003 överskattades dock det faktiska inflationsutfallet 2004 förhållandevis mycket av de flesta bedömare.</w:t>
      </w:r>
    </w:p>
    <w:p w14:paraId="46F523E8" w14:textId="77777777" w:rsidR="0048679D" w:rsidRPr="00A538DD" w:rsidRDefault="0048679D">
      <w:pPr>
        <w:pStyle w:val="Diagramrubrik"/>
      </w:pPr>
      <w:r w:rsidRPr="00A538DD">
        <w:t>Diagram 3. Prognoser för BNP-tillväxten 2003 vid olika tidpunkter, Riksbanken samt ett genomsnitt av prognosmakare</w:t>
      </w:r>
    </w:p>
    <w:p w14:paraId="456F65FB" w14:textId="77777777" w:rsidR="0048679D" w:rsidRPr="00A538DD" w:rsidRDefault="0048679D">
      <w:pPr>
        <w:rPr>
          <w:sz w:val="16"/>
        </w:rPr>
      </w:pPr>
      <w:r w:rsidRPr="00A538DD">
        <w:rPr>
          <w:sz w:val="16"/>
        </w:rPr>
        <w:t>Årlig procentuell förändring</w:t>
      </w:r>
    </w:p>
    <w:p w14:paraId="5DA81AD5" w14:textId="661014EC" w:rsidR="0048679D" w:rsidRPr="00A538DD" w:rsidRDefault="00A538DD">
      <w:pPr>
        <w:ind w:left="-284" w:firstLine="284"/>
      </w:pPr>
      <w:r w:rsidRPr="00A538DD">
        <w:rPr>
          <w:noProof/>
        </w:rPr>
        <w:drawing>
          <wp:inline distT="0" distB="0" distL="0" distR="0" wp14:anchorId="4AD38167" wp14:editId="09C502FB">
            <wp:extent cx="4152900" cy="23025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52900" cy="2302510"/>
                    </a:xfrm>
                    <a:prstGeom prst="rect">
                      <a:avLst/>
                    </a:prstGeom>
                    <a:noFill/>
                    <a:ln>
                      <a:noFill/>
                    </a:ln>
                  </pic:spPr>
                </pic:pic>
              </a:graphicData>
            </a:graphic>
          </wp:inline>
        </w:drawing>
      </w:r>
    </w:p>
    <w:p w14:paraId="151A569E" w14:textId="77777777" w:rsidR="0048679D" w:rsidRPr="00A538DD" w:rsidRDefault="0048679D">
      <w:pPr>
        <w:pStyle w:val="Fotnotstextindrag"/>
        <w:spacing w:before="125"/>
        <w:ind w:left="-567" w:firstLine="567"/>
        <w:rPr>
          <w:sz w:val="16"/>
        </w:rPr>
      </w:pPr>
      <w:r w:rsidRPr="00A538DD">
        <w:rPr>
          <w:sz w:val="16"/>
        </w:rPr>
        <w:t>Källa: Consensus Inc., SCB och Riksbanken</w:t>
      </w:r>
    </w:p>
    <w:p w14:paraId="2E799AD4" w14:textId="77777777" w:rsidR="0048679D" w:rsidRPr="00A538DD" w:rsidRDefault="0048679D">
      <w:pPr>
        <w:pStyle w:val="Diagramrubrik"/>
        <w:ind w:left="0" w:firstLine="0"/>
      </w:pPr>
      <w:r w:rsidRPr="00A538DD">
        <w:t>Diagram 4. Prognoser för KPI-inflationen 2004 vid olika tidpunkter, Riksbanken samt ett genomsnitt av pr</w:t>
      </w:r>
      <w:r w:rsidRPr="00A538DD">
        <w:t>o</w:t>
      </w:r>
      <w:r w:rsidRPr="00A538DD">
        <w:t xml:space="preserve">gnosmakare </w:t>
      </w:r>
    </w:p>
    <w:p w14:paraId="0A359009" w14:textId="77777777" w:rsidR="0048679D" w:rsidRPr="00A538DD" w:rsidRDefault="0048679D">
      <w:pPr>
        <w:rPr>
          <w:sz w:val="16"/>
        </w:rPr>
      </w:pPr>
      <w:r w:rsidRPr="00A538DD">
        <w:rPr>
          <w:sz w:val="16"/>
        </w:rPr>
        <w:t>Årlig procentuell förän</w:t>
      </w:r>
      <w:r w:rsidRPr="00A538DD">
        <w:rPr>
          <w:sz w:val="16"/>
        </w:rPr>
        <w:t>d</w:t>
      </w:r>
      <w:r w:rsidRPr="00A538DD">
        <w:rPr>
          <w:sz w:val="16"/>
        </w:rPr>
        <w:t>ring</w:t>
      </w:r>
    </w:p>
    <w:p w14:paraId="43E354A7" w14:textId="6EC12CC8" w:rsidR="0048679D" w:rsidRPr="00A538DD" w:rsidRDefault="00A538DD">
      <w:r w:rsidRPr="00A538DD">
        <w:rPr>
          <w:noProof/>
        </w:rPr>
        <w:drawing>
          <wp:inline distT="0" distB="0" distL="0" distR="0" wp14:anchorId="2F181F4A" wp14:editId="40148864">
            <wp:extent cx="3891915" cy="21501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91915" cy="2150110"/>
                    </a:xfrm>
                    <a:prstGeom prst="rect">
                      <a:avLst/>
                    </a:prstGeom>
                    <a:noFill/>
                    <a:ln>
                      <a:noFill/>
                    </a:ln>
                  </pic:spPr>
                </pic:pic>
              </a:graphicData>
            </a:graphic>
          </wp:inline>
        </w:drawing>
      </w:r>
    </w:p>
    <w:p w14:paraId="03336B08" w14:textId="77777777" w:rsidR="0048679D" w:rsidRPr="00A538DD" w:rsidRDefault="0048679D">
      <w:pPr>
        <w:pStyle w:val="Fotnotstextindrag"/>
        <w:spacing w:before="125"/>
        <w:ind w:left="-567" w:firstLine="567"/>
        <w:rPr>
          <w:rFonts w:ascii="Syntax" w:hAnsi="Syntax"/>
          <w:sz w:val="16"/>
        </w:rPr>
      </w:pPr>
      <w:r w:rsidRPr="00A538DD">
        <w:rPr>
          <w:sz w:val="16"/>
        </w:rPr>
        <w:t>Källa: Consensus Inc., SCB och Riksbanken</w:t>
      </w:r>
    </w:p>
    <w:p w14:paraId="669DB5A5" w14:textId="77777777" w:rsidR="0048679D" w:rsidRPr="00A538DD" w:rsidRDefault="0048679D">
      <w:pPr>
        <w:pStyle w:val="R3"/>
      </w:pPr>
      <w:r w:rsidRPr="00A538DD">
        <w:t>Direktionens penningpolitiska beslut 2002–2003</w:t>
      </w:r>
    </w:p>
    <w:p w14:paraId="4B4E6D6F" w14:textId="77777777" w:rsidR="0048679D" w:rsidRPr="00A538DD" w:rsidRDefault="0048679D">
      <w:r w:rsidRPr="00A538DD">
        <w:t xml:space="preserve">Vid ingången av 2002 var reporäntan 3,75 %. Den höjdes sedan under våren i två steg till 4,25 %. Med början i november samma år inleddes en period med gradvisa lättnader i penningpolitiken. Reporäntan sänktes i fem steg till 2,75 % i juli 2003. </w:t>
      </w:r>
    </w:p>
    <w:p w14:paraId="1AC91AC9" w14:textId="77777777" w:rsidR="0048679D" w:rsidRPr="00A538DD" w:rsidRDefault="0048679D">
      <w:pPr>
        <w:pStyle w:val="Normaltindrag"/>
      </w:pPr>
      <w:r w:rsidRPr="00A538DD">
        <w:t>Höjningarna under våren 2002 gjordes mot bakgrund av att den expansiva politiken efter terrordåden i USA i september 2001 bedömdes ha lagt grunden för en förhållandevis stabil internationell konjunkturuppgång. Det fanns också tecken på att en återhämtning både i Sverige och i omvärlden var på väg. Den gradvisa uppgången i den underliggande inflationen i kombination med oväntat höga löneökningar i framförallt tjänstenäringarna föreföll tyda på ett högre resursutnyttjande i den svenska ekonomin än vad Riksba</w:t>
      </w:r>
      <w:r w:rsidRPr="00A538DD">
        <w:t xml:space="preserve">nken antagit i tidigare bedömningar. Utvecklingen av löner och inhemska priser ansågs också resa frågor om inflationsbenägenheten i den svenska ekonomin. </w:t>
      </w:r>
    </w:p>
    <w:p w14:paraId="3015543B" w14:textId="77777777" w:rsidR="0048679D" w:rsidRPr="00A538DD" w:rsidRDefault="0048679D">
      <w:pPr>
        <w:pStyle w:val="Normaltindrag"/>
      </w:pPr>
      <w:r w:rsidRPr="00A538DD">
        <w:t>I slutet av 2002 inleddes den period med sänkningar av reporäntan som fortsatte in på 2004. Bakgrunden till omläggningen av Riksbankens pennin</w:t>
      </w:r>
      <w:r w:rsidRPr="00A538DD">
        <w:t>g</w:t>
      </w:r>
      <w:r w:rsidRPr="00A538DD">
        <w:t>politik i mer expansiv riktning var att den internationella konjunkturuppgån</w:t>
      </w:r>
      <w:r w:rsidRPr="00A538DD">
        <w:t>g</w:t>
      </w:r>
      <w:r w:rsidRPr="00A538DD">
        <w:t>en hade börjat tappa fart i takt med att osäkerheten inför vad som skulle ske i Irak ökade. Industrikonjunkturen hade åter försämrats både i omvärlden och i Sverige samtidigt som fortsatt oro på de finansiella marknaderna med bl.a. kraftiga börsfall hade bidragit till att konsument- och företagsförtroendet hade börjat falla igen i många länder. Den svagare efterfrågeutvecklingen i Sverige och utomlands och en väntad förstärkning a</w:t>
      </w:r>
      <w:r w:rsidRPr="00A538DD">
        <w:t>v kronan bedömdes innebära en mer dämpad inflationsutveckling än vad som tidigare prognost</w:t>
      </w:r>
      <w:r w:rsidRPr="00A538DD">
        <w:t>i</w:t>
      </w:r>
      <w:r w:rsidRPr="00A538DD">
        <w:t xml:space="preserve">serats. </w:t>
      </w:r>
    </w:p>
    <w:p w14:paraId="3D4D32A7" w14:textId="77777777" w:rsidR="0048679D" w:rsidRPr="00A538DD" w:rsidRDefault="0048679D">
      <w:pPr>
        <w:pStyle w:val="Normaltindrag"/>
      </w:pPr>
      <w:r w:rsidRPr="00A538DD">
        <w:t>Under 2003 fortsatte Riksbanken att lätta på penningpolitiken, och rep</w:t>
      </w:r>
      <w:r w:rsidRPr="00A538DD">
        <w:t>o</w:t>
      </w:r>
      <w:r w:rsidRPr="00A538DD">
        <w:t>räntan sänktes i mars, juni och juli med sammanlagt 1 procentenhet. Ränt</w:t>
      </w:r>
      <w:r w:rsidRPr="00A538DD">
        <w:t>e</w:t>
      </w:r>
      <w:r w:rsidRPr="00A538DD">
        <w:t>sänkningarna genomfördes mot bakgrund av att den internationella och svenska konjunkturbilden gradvis fortsatte att försämras och den alltjämt förväntade återhämtningen fick skjutas framåt i tiden. Utvecklingen föreföll bl.a. bekräfta farhågor om att anpassningen av hushållens och företagens balansräkningar efter den dramatiska börsnedgången sedan 2000 skulle bli utdragen och under förhållandevis lång tid dämpa konsumtion och investe</w:t>
      </w:r>
      <w:r w:rsidRPr="00A538DD">
        <w:t>r</w:t>
      </w:r>
      <w:r w:rsidRPr="00A538DD">
        <w:t>ingar. I början av året bidrog även säkerhetspolitisk oro, med bl.a. höga olj</w:t>
      </w:r>
      <w:r w:rsidRPr="00A538DD">
        <w:t>e</w:t>
      </w:r>
      <w:r w:rsidRPr="00A538DD">
        <w:t>priser som följd i samband med kriget i Irak, till förväntningar om en svagare utveckling.</w:t>
      </w:r>
    </w:p>
    <w:p w14:paraId="559CF4A0" w14:textId="77777777" w:rsidR="0048679D" w:rsidRPr="00A538DD" w:rsidRDefault="0048679D">
      <w:pPr>
        <w:pStyle w:val="Normaltindrag"/>
      </w:pPr>
      <w:r w:rsidRPr="00A538DD">
        <w:t>Efter sänkningen i juli 2003 gjordes ett uppehåll i de penningpolitiska lät</w:t>
      </w:r>
      <w:r w:rsidRPr="00A538DD">
        <w:t>t</w:t>
      </w:r>
      <w:r w:rsidRPr="00A538DD">
        <w:t>naderna. Detta uppehåll kan i korthet sägas avspegla uppfattningen i Rik</w:t>
      </w:r>
      <w:r w:rsidRPr="00A538DD">
        <w:t>s</w:t>
      </w:r>
      <w:r w:rsidRPr="00A538DD">
        <w:t>bankens direktion att den återhämtning som en tid hållits tillbaka nu hade inletts, bl.a. understödd av de reporäntesänkningar som redan genomförts. Inflationen utvecklades i linje med prognoserna och förväntningarna var att den framöver, med undantag för energipriseffekterna, skulle komma att u</w:t>
      </w:r>
      <w:r w:rsidRPr="00A538DD">
        <w:t>t</w:t>
      </w:r>
      <w:r w:rsidRPr="00A538DD">
        <w:t>vecklas enligt banor som normalt kunde förväntas under en konjunkturup</w:t>
      </w:r>
      <w:r w:rsidRPr="00A538DD">
        <w:t>p</w:t>
      </w:r>
      <w:r w:rsidRPr="00A538DD">
        <w:t>gång. Som redan konstaterats blev dock  inflationsutfallen i början av</w:t>
      </w:r>
      <w:r w:rsidRPr="00A538DD">
        <w:t xml:space="preserve"> 2004 ännu lägre än väntat, vilket föranledde att Riksbanken omvärderade sin syn på det underliggande inflationstrycket. Detta föreföll bli lägre än väntat trots en något starkare konjunktur. Reporäntan sänktes därför i februari och mars 2004 med ytterligare sammanlagt 0,75 procentenheter. </w:t>
      </w:r>
    </w:p>
    <w:p w14:paraId="016194AA" w14:textId="77777777" w:rsidR="0048679D" w:rsidRPr="00A538DD" w:rsidRDefault="0048679D">
      <w:pPr>
        <w:pStyle w:val="Normaltindrag"/>
      </w:pPr>
      <w:r w:rsidRPr="00A538DD">
        <w:t>För att klargöra händelseförloppet vid direktionens räntebeslut 2002 och 2003 redovisas nedan en detaljerad redogörelse över besluten och direktion</w:t>
      </w:r>
      <w:r w:rsidRPr="00A538DD">
        <w:t>s</w:t>
      </w:r>
      <w:r w:rsidRPr="00A538DD">
        <w:t>ledamöternas individuella ställningst</w:t>
      </w:r>
      <w:r w:rsidRPr="00A538DD">
        <w:t>a</w:t>
      </w:r>
      <w:r w:rsidRPr="00A538DD">
        <w:t>ganden.</w:t>
      </w:r>
    </w:p>
    <w:p w14:paraId="1790FEE0" w14:textId="77777777" w:rsidR="0048679D" w:rsidRPr="00A538DD" w:rsidRDefault="0048679D">
      <w:pPr>
        <w:spacing w:before="187"/>
        <w:rPr>
          <w:b/>
        </w:rPr>
      </w:pPr>
      <w:r w:rsidRPr="00A538DD">
        <w:rPr>
          <w:b/>
        </w:rPr>
        <w:t>Räntebeslut 2002</w:t>
      </w:r>
    </w:p>
    <w:p w14:paraId="308E84EF" w14:textId="77777777" w:rsidR="0048679D" w:rsidRPr="00A538DD" w:rsidRDefault="0048679D">
      <w:r w:rsidRPr="00A538DD">
        <w:rPr>
          <w:b/>
        </w:rPr>
        <w:t>7 februari:</w:t>
      </w:r>
      <w:r w:rsidRPr="00A538DD">
        <w:t xml:space="preserve"> Reporäntan hölls oförändrad på 3,75 %. Eva Srejber reserverade sig mot beslutet och ansåg att reporäntan borde höjas med 0,25 %enheter. Som skäl anfördes att den osäkerhet kring utvecklingen i omvärlden som motiverade sänkningen i september inte längre kvarstod och det därför fanns anledning att föra penningpolitiken i en mindre expansiv riktning för att s</w:t>
      </w:r>
      <w:r w:rsidRPr="00A538DD">
        <w:t>ä</w:t>
      </w:r>
      <w:r w:rsidRPr="00A538DD">
        <w:t>kerställa att inflationsförväntningarna också framgent skulle ligga i linje med inflationsm</w:t>
      </w:r>
      <w:r w:rsidRPr="00A538DD">
        <w:t>å</w:t>
      </w:r>
      <w:r w:rsidRPr="00A538DD">
        <w:t>let.</w:t>
      </w:r>
    </w:p>
    <w:p w14:paraId="668E9495" w14:textId="77777777" w:rsidR="0048679D" w:rsidRPr="00A538DD" w:rsidRDefault="0048679D">
      <w:r w:rsidRPr="00A538DD">
        <w:rPr>
          <w:b/>
        </w:rPr>
        <w:t>18 mars:</w:t>
      </w:r>
      <w:r w:rsidRPr="00A538DD">
        <w:t xml:space="preserve"> Reporäntan höjdes med 0,25 procentenheter till 4,0 %. Villy Ber</w:t>
      </w:r>
      <w:r w:rsidRPr="00A538DD">
        <w:t>g</w:t>
      </w:r>
      <w:r w:rsidRPr="00A538DD">
        <w:t>ström reserverade sig mot beslutet och ansåg att reporäntan borde höjas med 0,5 procentenheter bl.a. mot bakgrund av höga löneutfall och risk för ko</w:t>
      </w:r>
      <w:r w:rsidRPr="00A538DD">
        <w:t>m</w:t>
      </w:r>
      <w:r w:rsidRPr="00A538DD">
        <w:t>pensationskrav i löneröre</w:t>
      </w:r>
      <w:r w:rsidRPr="00A538DD">
        <w:t>l</w:t>
      </w:r>
      <w:r w:rsidRPr="00A538DD">
        <w:t>sen.</w:t>
      </w:r>
    </w:p>
    <w:p w14:paraId="06E712D4" w14:textId="77777777" w:rsidR="0048679D" w:rsidRPr="00A538DD" w:rsidRDefault="0048679D">
      <w:r w:rsidRPr="00A538DD">
        <w:rPr>
          <w:b/>
        </w:rPr>
        <w:t>25 april:</w:t>
      </w:r>
      <w:r w:rsidRPr="00A538DD">
        <w:t xml:space="preserve"> Reporäntan höjdes med 0,25 procentenh</w:t>
      </w:r>
      <w:r w:rsidRPr="00A538DD">
        <w:t>e</w:t>
      </w:r>
      <w:r w:rsidRPr="00A538DD">
        <w:t xml:space="preserve">ter till 4,25 %. </w:t>
      </w:r>
    </w:p>
    <w:p w14:paraId="69CA0004" w14:textId="77777777" w:rsidR="0048679D" w:rsidRPr="00A538DD" w:rsidRDefault="0048679D">
      <w:r w:rsidRPr="00A538DD">
        <w:rPr>
          <w:b/>
        </w:rPr>
        <w:t>5 juni:</w:t>
      </w:r>
      <w:r w:rsidRPr="00A538DD">
        <w:t xml:space="preserve"> Reporäntan hölls oförändrad på 4,25 %. Eva Srejber reserverade sig mot beslutet och ansåg att reporäntan borde höjas med 0,25 %enheter bl.a. mot bakgrund av att den ekonomiska politiken i de flesta länder fortfarande var mycket expansiv och att återhämtningen i den svenska ekonomin skedde från ett läge med redan högt resursutnyttjande, där inflation och inflationsfö</w:t>
      </w:r>
      <w:r w:rsidRPr="00A538DD">
        <w:t>r</w:t>
      </w:r>
      <w:r w:rsidRPr="00A538DD">
        <w:t>väntningar låg över målet.</w:t>
      </w:r>
    </w:p>
    <w:p w14:paraId="056F91B8" w14:textId="77777777" w:rsidR="0048679D" w:rsidRPr="00A538DD" w:rsidRDefault="0048679D">
      <w:r w:rsidRPr="00A538DD">
        <w:rPr>
          <w:b/>
        </w:rPr>
        <w:t>4 juli:</w:t>
      </w:r>
      <w:r w:rsidRPr="00A538DD">
        <w:t xml:space="preserve"> Reporäntan hölls oförändrad på 4,25 %.</w:t>
      </w:r>
    </w:p>
    <w:p w14:paraId="2435E16A" w14:textId="77777777" w:rsidR="0048679D" w:rsidRPr="00A538DD" w:rsidRDefault="0048679D">
      <w:r w:rsidRPr="00A538DD">
        <w:rPr>
          <w:b/>
        </w:rPr>
        <w:t>15 augusti:</w:t>
      </w:r>
      <w:r w:rsidRPr="00A538DD">
        <w:t xml:space="preserve"> Reporäntan hölls oförändrad på 4,25 %.</w:t>
      </w:r>
    </w:p>
    <w:p w14:paraId="4215615F" w14:textId="77777777" w:rsidR="0048679D" w:rsidRPr="00A538DD" w:rsidRDefault="0048679D">
      <w:r w:rsidRPr="00A538DD">
        <w:rPr>
          <w:b/>
        </w:rPr>
        <w:t>16 oktober:</w:t>
      </w:r>
      <w:r w:rsidRPr="00A538DD">
        <w:t xml:space="preserve"> Reporäntan hölls oförändrad på 4,25 %. Kristina Persson rese</w:t>
      </w:r>
      <w:r w:rsidRPr="00A538DD">
        <w:t>r</w:t>
      </w:r>
      <w:r w:rsidRPr="00A538DD">
        <w:t>verade sig mot beslutet och ansåg att reporäntan borde sänkas med 0,25 pr</w:t>
      </w:r>
      <w:r w:rsidRPr="00A538DD">
        <w:t>o</w:t>
      </w:r>
      <w:r w:rsidRPr="00A538DD">
        <w:t>centenheter mot bakgrunden att den bild som presenterades i inflationsrap</w:t>
      </w:r>
      <w:r w:rsidRPr="00A538DD">
        <w:t>p</w:t>
      </w:r>
      <w:r w:rsidRPr="00A538DD">
        <w:t>orten i praktiken gav en god grund för en räntesänkning samt att riskerna var stora för en ännu sämre utveckling i såväl Sverige som i omvärlden till följd av den säkerhetspolitiska situationen i Mellanöstern, fortsatt oro på de fina</w:t>
      </w:r>
      <w:r w:rsidRPr="00A538DD">
        <w:t>n</w:t>
      </w:r>
      <w:r w:rsidRPr="00A538DD">
        <w:t>siella marknaderna, svagare inhemsk efterfrågan och minskad finanspo</w:t>
      </w:r>
      <w:r w:rsidRPr="00A538DD">
        <w:t>litisk stimulans.</w:t>
      </w:r>
    </w:p>
    <w:p w14:paraId="49454663" w14:textId="77777777" w:rsidR="0048679D" w:rsidRPr="00A538DD" w:rsidRDefault="0048679D">
      <w:r w:rsidRPr="00A538DD">
        <w:rPr>
          <w:b/>
        </w:rPr>
        <w:t>14 november:</w:t>
      </w:r>
      <w:r w:rsidRPr="00A538DD">
        <w:t xml:space="preserve"> Reporäntan sänktes med 0,25 procente</w:t>
      </w:r>
      <w:r w:rsidRPr="00A538DD">
        <w:t>n</w:t>
      </w:r>
      <w:r w:rsidRPr="00A538DD">
        <w:t>heter till 4,0 %.</w:t>
      </w:r>
    </w:p>
    <w:p w14:paraId="01AA2BBF" w14:textId="77777777" w:rsidR="0048679D" w:rsidRPr="00A538DD" w:rsidRDefault="0048679D">
      <w:r w:rsidRPr="00A538DD">
        <w:rPr>
          <w:b/>
        </w:rPr>
        <w:t>4 december:</w:t>
      </w:r>
      <w:r w:rsidRPr="00A538DD">
        <w:t xml:space="preserve"> Reporäntan sänktes med 0,25 procentenheter till 3,75 %. Eva Srejber reserverade sig mot beslutet och ansåg att reporäntan borde hållas oförändrad bl.a. med motiveringen att inflationsrisken från arbetsmarknaden och lönebildningen sann</w:t>
      </w:r>
      <w:r w:rsidRPr="00A538DD">
        <w:t>o</w:t>
      </w:r>
      <w:r w:rsidRPr="00A538DD">
        <w:t>likt underskattats.</w:t>
      </w:r>
    </w:p>
    <w:p w14:paraId="785CE173" w14:textId="77777777" w:rsidR="0048679D" w:rsidRPr="00A538DD" w:rsidRDefault="0048679D">
      <w:pPr>
        <w:rPr>
          <w:u w:val="single"/>
        </w:rPr>
      </w:pPr>
    </w:p>
    <w:p w14:paraId="1E41F948" w14:textId="77777777" w:rsidR="0048679D" w:rsidRPr="00A538DD" w:rsidRDefault="0048679D">
      <w:pPr>
        <w:pStyle w:val="Normaltindrag"/>
      </w:pPr>
    </w:p>
    <w:p w14:paraId="640511F3" w14:textId="77777777" w:rsidR="0048679D" w:rsidRPr="00A538DD" w:rsidRDefault="0048679D">
      <w:pPr>
        <w:pStyle w:val="Normaltindrag"/>
      </w:pPr>
    </w:p>
    <w:p w14:paraId="318E8C77" w14:textId="77777777" w:rsidR="0048679D" w:rsidRPr="00A538DD" w:rsidRDefault="0048679D">
      <w:pPr>
        <w:rPr>
          <w:b/>
        </w:rPr>
      </w:pPr>
      <w:r w:rsidRPr="00A538DD">
        <w:rPr>
          <w:b/>
        </w:rPr>
        <w:t>Räntebeslut 2003</w:t>
      </w:r>
    </w:p>
    <w:p w14:paraId="44AF8E5E" w14:textId="77777777" w:rsidR="0048679D" w:rsidRPr="00A538DD" w:rsidRDefault="0048679D">
      <w:pPr>
        <w:rPr>
          <w:b/>
        </w:rPr>
      </w:pPr>
      <w:r w:rsidRPr="00A538DD">
        <w:rPr>
          <w:b/>
        </w:rPr>
        <w:t>6 februari:</w:t>
      </w:r>
      <w:r w:rsidRPr="00A538DD">
        <w:t xml:space="preserve"> Reporäntan hölls oförändrad på 3,75 %.</w:t>
      </w:r>
    </w:p>
    <w:p w14:paraId="1DF57D86" w14:textId="77777777" w:rsidR="0048679D" w:rsidRPr="00A538DD" w:rsidRDefault="0048679D">
      <w:pPr>
        <w:rPr>
          <w:b/>
        </w:rPr>
      </w:pPr>
      <w:r w:rsidRPr="00A538DD">
        <w:rPr>
          <w:b/>
        </w:rPr>
        <w:t>17 mars:</w:t>
      </w:r>
      <w:r w:rsidRPr="00A538DD">
        <w:t xml:space="preserve"> Reporäntan sänktes med 0,25 procentenh</w:t>
      </w:r>
      <w:r w:rsidRPr="00A538DD">
        <w:t>e</w:t>
      </w:r>
      <w:r w:rsidRPr="00A538DD">
        <w:t>ter till 3,5 %.</w:t>
      </w:r>
    </w:p>
    <w:p w14:paraId="6DDD3B31" w14:textId="77777777" w:rsidR="0048679D" w:rsidRPr="00A538DD" w:rsidRDefault="0048679D">
      <w:pPr>
        <w:rPr>
          <w:b/>
        </w:rPr>
      </w:pPr>
      <w:r w:rsidRPr="00A538DD">
        <w:rPr>
          <w:b/>
        </w:rPr>
        <w:t>24 april:</w:t>
      </w:r>
      <w:r w:rsidRPr="00A538DD">
        <w:t xml:space="preserve"> Reporäntan hölls oförändrad på 3,5 %. Lars Nyberg och Kristina Persson reserverade sig mot beslutet och ansåg att reporäntan borde sänkas med 0,25 procentenheter och anförde som skäl bl.a. att Riksbankens normala handlingsregel talade för detta och att de internationella nedåtriskerna för inflationen kunde antas vara något större än de inhemska uppåtriske</w:t>
      </w:r>
      <w:r w:rsidRPr="00A538DD">
        <w:t>r</w:t>
      </w:r>
      <w:r w:rsidRPr="00A538DD">
        <w:t>na.</w:t>
      </w:r>
    </w:p>
    <w:p w14:paraId="5B34CBDF" w14:textId="77777777" w:rsidR="0048679D" w:rsidRPr="00A538DD" w:rsidRDefault="0048679D">
      <w:pPr>
        <w:rPr>
          <w:b/>
        </w:rPr>
      </w:pPr>
      <w:r w:rsidRPr="00A538DD">
        <w:rPr>
          <w:b/>
        </w:rPr>
        <w:t>4 juni:</w:t>
      </w:r>
      <w:r w:rsidRPr="00A538DD">
        <w:t xml:space="preserve"> Reporäntan sänktes med 0,5 procentenheter till 3,0 %.</w:t>
      </w:r>
    </w:p>
    <w:p w14:paraId="137E1AA2" w14:textId="77777777" w:rsidR="0048679D" w:rsidRPr="00A538DD" w:rsidRDefault="0048679D">
      <w:pPr>
        <w:rPr>
          <w:b/>
        </w:rPr>
      </w:pPr>
      <w:r w:rsidRPr="00A538DD">
        <w:rPr>
          <w:b/>
        </w:rPr>
        <w:t>3 juli:</w:t>
      </w:r>
      <w:r w:rsidRPr="00A538DD">
        <w:t xml:space="preserve"> Reporäntan sänktes med 0,25 procentenh</w:t>
      </w:r>
      <w:r w:rsidRPr="00A538DD">
        <w:t>e</w:t>
      </w:r>
      <w:r w:rsidRPr="00A538DD">
        <w:t>ter till 2,75 %.</w:t>
      </w:r>
    </w:p>
    <w:p w14:paraId="67D06C8D" w14:textId="77777777" w:rsidR="0048679D" w:rsidRPr="00A538DD" w:rsidRDefault="0048679D">
      <w:pPr>
        <w:rPr>
          <w:b/>
        </w:rPr>
      </w:pPr>
      <w:r w:rsidRPr="00A538DD">
        <w:rPr>
          <w:b/>
        </w:rPr>
        <w:t>14 augusti:</w:t>
      </w:r>
      <w:r w:rsidRPr="00A538DD">
        <w:t xml:space="preserve"> Reporäntan hölls oförändrad på 2,75 %.</w:t>
      </w:r>
    </w:p>
    <w:p w14:paraId="41E143CD" w14:textId="77777777" w:rsidR="0048679D" w:rsidRPr="00A538DD" w:rsidRDefault="0048679D">
      <w:r w:rsidRPr="00A538DD">
        <w:rPr>
          <w:b/>
        </w:rPr>
        <w:t>15 oktober:</w:t>
      </w:r>
      <w:r w:rsidRPr="00A538DD">
        <w:t xml:space="preserve"> Reporäntan hölls oförändrad på 2,75 %. Kristina Persson rese</w:t>
      </w:r>
      <w:r w:rsidRPr="00A538DD">
        <w:t>r</w:t>
      </w:r>
      <w:r w:rsidRPr="00A538DD">
        <w:t>verade sig mot beslutet och ansåg att reporäntan borde sänkas med 0,25 pr</w:t>
      </w:r>
      <w:r w:rsidRPr="00A538DD">
        <w:t>o</w:t>
      </w:r>
      <w:r w:rsidRPr="00A538DD">
        <w:t>centenheter bl.a. med hänvisning till att arbetsmarknaden var fortsatt svag och att det skulle komma att dröja ytterligare en tid innan företagen börjar nya</w:t>
      </w:r>
      <w:r w:rsidRPr="00A538DD">
        <w:t>n</w:t>
      </w:r>
      <w:r w:rsidRPr="00A538DD">
        <w:t>ställa och konjunkturup</w:t>
      </w:r>
      <w:r w:rsidRPr="00A538DD">
        <w:t>p</w:t>
      </w:r>
      <w:r w:rsidRPr="00A538DD">
        <w:t xml:space="preserve">gången stabiliserar sig. </w:t>
      </w:r>
    </w:p>
    <w:p w14:paraId="79F2DC7F" w14:textId="77777777" w:rsidR="0048679D" w:rsidRPr="00A538DD" w:rsidRDefault="0048679D">
      <w:r w:rsidRPr="00A538DD">
        <w:rPr>
          <w:b/>
        </w:rPr>
        <w:t>4 december:</w:t>
      </w:r>
      <w:r w:rsidRPr="00A538DD">
        <w:t xml:space="preserve"> Reporäntan hölls oförändrad på 2,75 %. Villy Bergström och Kristina Persson reserverade sig mot beslutet och ansåg att reporäntan borde sänkas med 0,25 procentenheter bl.a. mot bakgrund av att den svenska ko</w:t>
      </w:r>
      <w:r w:rsidRPr="00A538DD">
        <w:t>n</w:t>
      </w:r>
      <w:r w:rsidRPr="00A538DD">
        <w:t>junkturen riskerade att utvecklas svagare än bedömningen i inflationsrappo</w:t>
      </w:r>
      <w:r w:rsidRPr="00A538DD">
        <w:t>r</w:t>
      </w:r>
      <w:r w:rsidRPr="00A538DD">
        <w:t>ten.</w:t>
      </w:r>
    </w:p>
    <w:p w14:paraId="7501E9D9" w14:textId="77777777" w:rsidR="0048679D" w:rsidRPr="00A538DD" w:rsidRDefault="0048679D">
      <w:pPr>
        <w:pStyle w:val="R3"/>
      </w:pPr>
      <w:r w:rsidRPr="00A538DD">
        <w:t>Relationen mellan räntebeslut och prognoser</w:t>
      </w:r>
    </w:p>
    <w:p w14:paraId="65751175" w14:textId="77777777" w:rsidR="0048679D" w:rsidRPr="00A538DD" w:rsidRDefault="0048679D">
      <w:r w:rsidRPr="00A538DD">
        <w:t>En viktig fråga vid uppföljningen av penningpolitiken är om Riksbankens ränteförändringar varit lättförståeliga givet de prognoser som gjordes. I de fall inflationsprognosen överstigit målet bör Riksbanken normalt ha höjt rep</w:t>
      </w:r>
      <w:r w:rsidRPr="00A538DD">
        <w:t>o</w:t>
      </w:r>
      <w:r w:rsidRPr="00A538DD">
        <w:t xml:space="preserve">räntan medan inflationsprognoser under målet normalt bör ha resulterat i en räntesänkning. </w:t>
      </w:r>
    </w:p>
    <w:p w14:paraId="572B976F" w14:textId="77777777" w:rsidR="0048679D" w:rsidRPr="00A538DD" w:rsidRDefault="0048679D">
      <w:pPr>
        <w:pStyle w:val="Normaltindrag"/>
      </w:pPr>
      <w:r w:rsidRPr="00A538DD">
        <w:t>Sambandet mellan reporäntebeslut och prognosavvikelser på två års sikt, mätt i termer av riskjusterad UND1X (dvs. UND1X justerad uppåt eller nedåt beroende på om risken för högre eller lägre inflation dominerar) under åren 2002–2004, illustreras i diagram 5. I samband med penningpolitiska sa</w:t>
      </w:r>
      <w:r w:rsidRPr="00A538DD">
        <w:t>m</w:t>
      </w:r>
      <w:r w:rsidRPr="00A538DD">
        <w:t>manträden som inte sammanfaller med en inflationsrapport publiceras ingen inflationsprognos. I stället redovisas en mer kvalitativ inflationsbedömning i ett pressmeddelande. Tabell 3 sammanfattar de kvantitativa bedömningarna och räntebesluten vid dessa mellanliggande sammanträden. Det finns ett positivt samband mellan prognosavvikelse och räntebeslut. Små prognosavv</w:t>
      </w:r>
      <w:r w:rsidRPr="00A538DD">
        <w:t>i</w:t>
      </w:r>
      <w:r w:rsidRPr="00A538DD">
        <w:t>kelser har dock inte alltid lett till en förändring av reporäntan och prognosa</w:t>
      </w:r>
      <w:r w:rsidRPr="00A538DD">
        <w:t>v</w:t>
      </w:r>
      <w:r w:rsidRPr="00A538DD">
        <w:t>vikelserna måste vara ganska stora för att räntan ska förändra</w:t>
      </w:r>
      <w:r w:rsidRPr="00A538DD">
        <w:t>s med mer än de 0,25 procentenheter som under senare år varit den vanligaste storleken på en ränt</w:t>
      </w:r>
      <w:r w:rsidRPr="00A538DD">
        <w:t>e</w:t>
      </w:r>
      <w:r w:rsidRPr="00A538DD">
        <w:t xml:space="preserve">förändring. </w:t>
      </w:r>
    </w:p>
    <w:p w14:paraId="3E5D66AC" w14:textId="77777777" w:rsidR="0048679D" w:rsidRPr="00A538DD" w:rsidRDefault="0048679D">
      <w:pPr>
        <w:pStyle w:val="Diagramrubrik"/>
        <w:ind w:left="0" w:firstLine="0"/>
      </w:pPr>
      <w:r w:rsidRPr="00A538DD">
        <w:t>Diagram 5. Relationen mellan räntebeslut och prognoser i infl</w:t>
      </w:r>
      <w:r w:rsidRPr="00A538DD">
        <w:t>a</w:t>
      </w:r>
      <w:r w:rsidRPr="00A538DD">
        <w:t>tion</w:t>
      </w:r>
      <w:r w:rsidRPr="00A538DD">
        <w:t>s</w:t>
      </w:r>
      <w:r w:rsidRPr="00A538DD">
        <w:t>rapporterna</w:t>
      </w:r>
    </w:p>
    <w:p w14:paraId="2038BD29" w14:textId="77777777" w:rsidR="0048679D" w:rsidRPr="00A538DD" w:rsidRDefault="0048679D">
      <w:pPr>
        <w:rPr>
          <w:sz w:val="16"/>
        </w:rPr>
      </w:pPr>
      <w:r w:rsidRPr="00A538DD">
        <w:rPr>
          <w:sz w:val="16"/>
        </w:rPr>
        <w:t>Inflationsrapporterna, IR, publiceras fyra gånger per år</w:t>
      </w:r>
    </w:p>
    <w:p w14:paraId="3BBD9E38" w14:textId="58873DEC" w:rsidR="0048679D" w:rsidRPr="00A538DD" w:rsidRDefault="00A538DD">
      <w:pPr>
        <w:ind w:left="-426"/>
        <w:rPr>
          <w:rFonts w:ascii="Syntax" w:hAnsi="Syntax"/>
          <w:sz w:val="16"/>
        </w:rPr>
      </w:pPr>
      <w:r w:rsidRPr="00A538DD">
        <w:rPr>
          <w:noProof/>
        </w:rPr>
        <w:drawing>
          <wp:inline distT="0" distB="0" distL="0" distR="0" wp14:anchorId="4B752FAD" wp14:editId="74B4D61E">
            <wp:extent cx="4136390" cy="25742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36390" cy="2574290"/>
                    </a:xfrm>
                    <a:prstGeom prst="rect">
                      <a:avLst/>
                    </a:prstGeom>
                    <a:noFill/>
                    <a:ln>
                      <a:noFill/>
                    </a:ln>
                  </pic:spPr>
                </pic:pic>
              </a:graphicData>
            </a:graphic>
          </wp:inline>
        </w:drawing>
      </w:r>
    </w:p>
    <w:p w14:paraId="746B9964" w14:textId="77777777" w:rsidR="0048679D" w:rsidRPr="00A538DD" w:rsidRDefault="0048679D">
      <w:pPr>
        <w:rPr>
          <w:sz w:val="16"/>
        </w:rPr>
      </w:pPr>
      <w:r w:rsidRPr="00A538DD">
        <w:rPr>
          <w:sz w:val="16"/>
        </w:rPr>
        <w:t>Anm. Prognoserna avser riskj</w:t>
      </w:r>
      <w:r w:rsidRPr="00A538DD">
        <w:rPr>
          <w:sz w:val="16"/>
        </w:rPr>
        <w:t>u</w:t>
      </w:r>
      <w:r w:rsidRPr="00A538DD">
        <w:rPr>
          <w:sz w:val="16"/>
        </w:rPr>
        <w:t>sterad UND1X på två års sikt.</w:t>
      </w:r>
    </w:p>
    <w:p w14:paraId="5EE8835E" w14:textId="77777777" w:rsidR="0048679D" w:rsidRPr="00A538DD" w:rsidRDefault="0048679D">
      <w:pPr>
        <w:pStyle w:val="Fotnotstextindrag"/>
        <w:spacing w:before="125"/>
        <w:ind w:left="-567" w:firstLine="567"/>
        <w:rPr>
          <w:sz w:val="16"/>
        </w:rPr>
      </w:pPr>
      <w:r w:rsidRPr="00A538DD">
        <w:rPr>
          <w:sz w:val="16"/>
        </w:rPr>
        <w:t>Källa: Riksbanken</w:t>
      </w:r>
    </w:p>
    <w:p w14:paraId="190498AC" w14:textId="77777777" w:rsidR="0048679D" w:rsidRPr="00A538DD" w:rsidRDefault="0048679D">
      <w:pPr>
        <w:pStyle w:val="Tabellrubrik"/>
        <w:spacing w:before="125"/>
        <w:rPr>
          <w:b/>
        </w:rPr>
      </w:pPr>
      <w:r w:rsidRPr="00A538DD">
        <w:rPr>
          <w:b/>
        </w:rPr>
        <w:t>Tabell 3.</w:t>
      </w:r>
      <w:r w:rsidRPr="00A538DD">
        <w:rPr>
          <w:b/>
        </w:rPr>
        <w:tab/>
        <w:t>Inflationsbedömning och räntebeslut vid penningpol</w:t>
      </w:r>
      <w:r w:rsidRPr="00A538DD">
        <w:rPr>
          <w:b/>
        </w:rPr>
        <w:t>i</w:t>
      </w:r>
      <w:r w:rsidRPr="00A538DD">
        <w:rPr>
          <w:b/>
        </w:rPr>
        <w:t>tiska möten som inte sammanfaller med publiceringen av en infl</w:t>
      </w:r>
      <w:r w:rsidRPr="00A538DD">
        <w:rPr>
          <w:b/>
        </w:rPr>
        <w:t>a</w:t>
      </w:r>
      <w:r w:rsidRPr="00A538DD">
        <w:rPr>
          <w:b/>
        </w:rPr>
        <w:t xml:space="preserve">tionsrapport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261"/>
        <w:gridCol w:w="1628"/>
      </w:tblGrid>
      <w:tr w:rsidR="00000000" w:rsidRPr="00A538DD" w14:paraId="11BCD956" w14:textId="77777777">
        <w:tblPrEx>
          <w:tblCellMar>
            <w:top w:w="0" w:type="dxa"/>
            <w:bottom w:w="0" w:type="dxa"/>
          </w:tblCellMar>
        </w:tblPrEx>
        <w:tc>
          <w:tcPr>
            <w:tcW w:w="1204" w:type="dxa"/>
          </w:tcPr>
          <w:p w14:paraId="6061CB0F" w14:textId="77777777" w:rsidR="0048679D" w:rsidRPr="00A538DD" w:rsidRDefault="0048679D">
            <w:pPr>
              <w:rPr>
                <w:b/>
              </w:rPr>
            </w:pPr>
            <w:r w:rsidRPr="00A538DD">
              <w:rPr>
                <w:b/>
              </w:rPr>
              <w:t>Datum</w:t>
            </w:r>
          </w:p>
        </w:tc>
        <w:tc>
          <w:tcPr>
            <w:tcW w:w="3261" w:type="dxa"/>
          </w:tcPr>
          <w:p w14:paraId="22B7F0B8" w14:textId="77777777" w:rsidR="0048679D" w:rsidRPr="00A538DD" w:rsidRDefault="0048679D">
            <w:pPr>
              <w:pStyle w:val="SakregBetRub"/>
              <w:widowControl/>
              <w:spacing w:before="62" w:line="250" w:lineRule="atLeast"/>
            </w:pPr>
            <w:r w:rsidRPr="00A538DD">
              <w:t>Kvalitativ bedömning</w:t>
            </w:r>
          </w:p>
        </w:tc>
        <w:tc>
          <w:tcPr>
            <w:tcW w:w="1628" w:type="dxa"/>
          </w:tcPr>
          <w:p w14:paraId="059A7666" w14:textId="77777777" w:rsidR="0048679D" w:rsidRPr="00A538DD" w:rsidRDefault="0048679D">
            <w:pPr>
              <w:pStyle w:val="SakregBetRub"/>
              <w:widowControl/>
              <w:spacing w:before="62" w:line="250" w:lineRule="atLeast"/>
            </w:pPr>
            <w:r w:rsidRPr="00A538DD">
              <w:t>Räntebeslut</w:t>
            </w:r>
          </w:p>
        </w:tc>
      </w:tr>
      <w:tr w:rsidR="00000000" w:rsidRPr="00A538DD" w14:paraId="0261F9D4" w14:textId="77777777">
        <w:tblPrEx>
          <w:tblCellMar>
            <w:top w:w="0" w:type="dxa"/>
            <w:bottom w:w="0" w:type="dxa"/>
          </w:tblCellMar>
        </w:tblPrEx>
        <w:tc>
          <w:tcPr>
            <w:tcW w:w="1204" w:type="dxa"/>
          </w:tcPr>
          <w:p w14:paraId="14EA6726" w14:textId="77777777" w:rsidR="0048679D" w:rsidRPr="00A538DD" w:rsidRDefault="0048679D">
            <w:pPr>
              <w:spacing w:before="0"/>
              <w:jc w:val="left"/>
            </w:pPr>
            <w:r w:rsidRPr="00A538DD">
              <w:t>2002-02-07</w:t>
            </w:r>
          </w:p>
        </w:tc>
        <w:tc>
          <w:tcPr>
            <w:tcW w:w="3261" w:type="dxa"/>
          </w:tcPr>
          <w:p w14:paraId="7F83EB67" w14:textId="77777777" w:rsidR="0048679D" w:rsidRPr="00A538DD" w:rsidRDefault="0048679D">
            <w:pPr>
              <w:spacing w:before="0"/>
              <w:jc w:val="left"/>
            </w:pPr>
            <w:r w:rsidRPr="00A538DD">
              <w:t>Inflationsprognosen i linje med målen</w:t>
            </w:r>
          </w:p>
        </w:tc>
        <w:tc>
          <w:tcPr>
            <w:tcW w:w="1628" w:type="dxa"/>
          </w:tcPr>
          <w:p w14:paraId="02EABD04" w14:textId="77777777" w:rsidR="0048679D" w:rsidRPr="00A538DD" w:rsidRDefault="0048679D">
            <w:pPr>
              <w:spacing w:before="0"/>
              <w:jc w:val="left"/>
            </w:pPr>
            <w:r w:rsidRPr="00A538DD">
              <w:t>oförändrad</w:t>
            </w:r>
          </w:p>
        </w:tc>
      </w:tr>
      <w:tr w:rsidR="00000000" w:rsidRPr="00A538DD" w14:paraId="11392D03" w14:textId="77777777">
        <w:tblPrEx>
          <w:tblCellMar>
            <w:top w:w="0" w:type="dxa"/>
            <w:bottom w:w="0" w:type="dxa"/>
          </w:tblCellMar>
        </w:tblPrEx>
        <w:tc>
          <w:tcPr>
            <w:tcW w:w="1204" w:type="dxa"/>
          </w:tcPr>
          <w:p w14:paraId="03B9F66A" w14:textId="77777777" w:rsidR="0048679D" w:rsidRPr="00A538DD" w:rsidRDefault="0048679D">
            <w:pPr>
              <w:spacing w:before="0"/>
              <w:jc w:val="left"/>
            </w:pPr>
            <w:r w:rsidRPr="00A538DD">
              <w:t>2002-04-25</w:t>
            </w:r>
          </w:p>
        </w:tc>
        <w:tc>
          <w:tcPr>
            <w:tcW w:w="3261" w:type="dxa"/>
          </w:tcPr>
          <w:p w14:paraId="102EF40F" w14:textId="77777777" w:rsidR="0048679D" w:rsidRPr="00A538DD" w:rsidRDefault="0048679D">
            <w:pPr>
              <w:spacing w:before="0"/>
              <w:jc w:val="left"/>
            </w:pPr>
            <w:r w:rsidRPr="00A538DD">
              <w:t>Inflationsprognosen över målet</w:t>
            </w:r>
          </w:p>
        </w:tc>
        <w:tc>
          <w:tcPr>
            <w:tcW w:w="1628" w:type="dxa"/>
          </w:tcPr>
          <w:p w14:paraId="74558E18" w14:textId="77777777" w:rsidR="0048679D" w:rsidRPr="00A538DD" w:rsidRDefault="0048679D">
            <w:pPr>
              <w:spacing w:before="0"/>
              <w:jc w:val="left"/>
            </w:pPr>
            <w:r w:rsidRPr="00A538DD">
              <w:t>höjning 0,25 pr</w:t>
            </w:r>
            <w:r w:rsidRPr="00A538DD">
              <w:t>o</w:t>
            </w:r>
            <w:r w:rsidRPr="00A538DD">
              <w:t>cente</w:t>
            </w:r>
            <w:r w:rsidRPr="00A538DD">
              <w:t>n</w:t>
            </w:r>
            <w:r w:rsidRPr="00A538DD">
              <w:t>heter</w:t>
            </w:r>
          </w:p>
        </w:tc>
      </w:tr>
      <w:tr w:rsidR="00000000" w:rsidRPr="00A538DD" w14:paraId="3E054590" w14:textId="77777777">
        <w:tblPrEx>
          <w:tblCellMar>
            <w:top w:w="0" w:type="dxa"/>
            <w:bottom w:w="0" w:type="dxa"/>
          </w:tblCellMar>
        </w:tblPrEx>
        <w:tc>
          <w:tcPr>
            <w:tcW w:w="1204" w:type="dxa"/>
          </w:tcPr>
          <w:p w14:paraId="598098BE" w14:textId="77777777" w:rsidR="0048679D" w:rsidRPr="00A538DD" w:rsidRDefault="0048679D">
            <w:pPr>
              <w:spacing w:before="0"/>
              <w:jc w:val="left"/>
            </w:pPr>
            <w:r w:rsidRPr="00A538DD">
              <w:t>2002-07-04</w:t>
            </w:r>
          </w:p>
        </w:tc>
        <w:tc>
          <w:tcPr>
            <w:tcW w:w="3261" w:type="dxa"/>
          </w:tcPr>
          <w:p w14:paraId="357083E5" w14:textId="77777777" w:rsidR="0048679D" w:rsidRPr="00A538DD" w:rsidRDefault="0048679D">
            <w:pPr>
              <w:spacing w:before="0"/>
              <w:jc w:val="left"/>
            </w:pPr>
            <w:r w:rsidRPr="00A538DD">
              <w:t>Inflationsprognosen i linje med målet</w:t>
            </w:r>
          </w:p>
        </w:tc>
        <w:tc>
          <w:tcPr>
            <w:tcW w:w="1628" w:type="dxa"/>
          </w:tcPr>
          <w:p w14:paraId="3880BDFC" w14:textId="77777777" w:rsidR="0048679D" w:rsidRPr="00A538DD" w:rsidRDefault="0048679D">
            <w:pPr>
              <w:spacing w:before="0"/>
              <w:jc w:val="left"/>
            </w:pPr>
            <w:r w:rsidRPr="00A538DD">
              <w:t>oförändrad</w:t>
            </w:r>
          </w:p>
        </w:tc>
      </w:tr>
      <w:tr w:rsidR="00000000" w:rsidRPr="00A538DD" w14:paraId="5EF11934" w14:textId="77777777">
        <w:tblPrEx>
          <w:tblCellMar>
            <w:top w:w="0" w:type="dxa"/>
            <w:bottom w:w="0" w:type="dxa"/>
          </w:tblCellMar>
        </w:tblPrEx>
        <w:tc>
          <w:tcPr>
            <w:tcW w:w="1204" w:type="dxa"/>
          </w:tcPr>
          <w:p w14:paraId="6B4A770F" w14:textId="77777777" w:rsidR="0048679D" w:rsidRPr="00A538DD" w:rsidRDefault="0048679D">
            <w:pPr>
              <w:spacing w:before="0"/>
              <w:jc w:val="left"/>
            </w:pPr>
            <w:r w:rsidRPr="00A538DD">
              <w:t>2002-08-15</w:t>
            </w:r>
          </w:p>
        </w:tc>
        <w:tc>
          <w:tcPr>
            <w:tcW w:w="3261" w:type="dxa"/>
          </w:tcPr>
          <w:p w14:paraId="22C65ACF" w14:textId="77777777" w:rsidR="0048679D" w:rsidRPr="00A538DD" w:rsidRDefault="0048679D">
            <w:pPr>
              <w:spacing w:before="0"/>
              <w:jc w:val="left"/>
            </w:pPr>
            <w:r w:rsidRPr="00A538DD">
              <w:t>Inflationsprognosen i linje med målet</w:t>
            </w:r>
          </w:p>
        </w:tc>
        <w:tc>
          <w:tcPr>
            <w:tcW w:w="1628" w:type="dxa"/>
          </w:tcPr>
          <w:p w14:paraId="2E968174" w14:textId="77777777" w:rsidR="0048679D" w:rsidRPr="00A538DD" w:rsidRDefault="0048679D">
            <w:pPr>
              <w:spacing w:before="0"/>
              <w:jc w:val="left"/>
            </w:pPr>
            <w:r w:rsidRPr="00A538DD">
              <w:t>oförändrad</w:t>
            </w:r>
          </w:p>
        </w:tc>
      </w:tr>
      <w:tr w:rsidR="00000000" w:rsidRPr="00A538DD" w14:paraId="5CF936B9" w14:textId="77777777">
        <w:tblPrEx>
          <w:tblCellMar>
            <w:top w:w="0" w:type="dxa"/>
            <w:bottom w:w="0" w:type="dxa"/>
          </w:tblCellMar>
        </w:tblPrEx>
        <w:tc>
          <w:tcPr>
            <w:tcW w:w="1204" w:type="dxa"/>
          </w:tcPr>
          <w:p w14:paraId="6260C677" w14:textId="77777777" w:rsidR="0048679D" w:rsidRPr="00A538DD" w:rsidRDefault="0048679D">
            <w:pPr>
              <w:spacing w:before="0"/>
              <w:jc w:val="left"/>
            </w:pPr>
            <w:r w:rsidRPr="00A538DD">
              <w:t>2002-11-14</w:t>
            </w:r>
          </w:p>
        </w:tc>
        <w:tc>
          <w:tcPr>
            <w:tcW w:w="3261" w:type="dxa"/>
          </w:tcPr>
          <w:p w14:paraId="35AAB69F" w14:textId="77777777" w:rsidR="0048679D" w:rsidRPr="00A538DD" w:rsidRDefault="0048679D">
            <w:pPr>
              <w:spacing w:before="0"/>
              <w:jc w:val="left"/>
            </w:pPr>
            <w:r w:rsidRPr="00A538DD">
              <w:t>Inflationsprognosen under målet</w:t>
            </w:r>
          </w:p>
        </w:tc>
        <w:tc>
          <w:tcPr>
            <w:tcW w:w="1628" w:type="dxa"/>
          </w:tcPr>
          <w:p w14:paraId="712CC11C" w14:textId="77777777" w:rsidR="0048679D" w:rsidRPr="00A538DD" w:rsidRDefault="0048679D">
            <w:pPr>
              <w:spacing w:before="0"/>
              <w:jc w:val="left"/>
            </w:pPr>
            <w:r w:rsidRPr="00A538DD">
              <w:t>sänkning 0,25 procen</w:t>
            </w:r>
            <w:r w:rsidRPr="00A538DD">
              <w:t>t</w:t>
            </w:r>
            <w:r w:rsidRPr="00A538DD">
              <w:t>enheter</w:t>
            </w:r>
          </w:p>
        </w:tc>
      </w:tr>
      <w:tr w:rsidR="00000000" w:rsidRPr="00A538DD" w14:paraId="74B19413" w14:textId="77777777">
        <w:tblPrEx>
          <w:tblCellMar>
            <w:top w:w="0" w:type="dxa"/>
            <w:bottom w:w="0" w:type="dxa"/>
          </w:tblCellMar>
        </w:tblPrEx>
        <w:tc>
          <w:tcPr>
            <w:tcW w:w="1204" w:type="dxa"/>
          </w:tcPr>
          <w:p w14:paraId="5FB5323E" w14:textId="77777777" w:rsidR="0048679D" w:rsidRPr="00A538DD" w:rsidRDefault="0048679D">
            <w:pPr>
              <w:spacing w:before="0"/>
              <w:jc w:val="left"/>
            </w:pPr>
            <w:r w:rsidRPr="00A538DD">
              <w:t>2003-02-06</w:t>
            </w:r>
          </w:p>
        </w:tc>
        <w:tc>
          <w:tcPr>
            <w:tcW w:w="3261" w:type="dxa"/>
          </w:tcPr>
          <w:p w14:paraId="455568F6" w14:textId="77777777" w:rsidR="0048679D" w:rsidRPr="00A538DD" w:rsidRDefault="0048679D">
            <w:pPr>
              <w:spacing w:before="0"/>
              <w:jc w:val="left"/>
            </w:pPr>
            <w:r w:rsidRPr="00A538DD">
              <w:t>Inflationsprognosen i linje med målet</w:t>
            </w:r>
          </w:p>
        </w:tc>
        <w:tc>
          <w:tcPr>
            <w:tcW w:w="1628" w:type="dxa"/>
          </w:tcPr>
          <w:p w14:paraId="78A8898B" w14:textId="77777777" w:rsidR="0048679D" w:rsidRPr="00A538DD" w:rsidRDefault="0048679D">
            <w:pPr>
              <w:spacing w:before="0"/>
              <w:jc w:val="left"/>
            </w:pPr>
            <w:r w:rsidRPr="00A538DD">
              <w:t>oförändrad</w:t>
            </w:r>
          </w:p>
        </w:tc>
      </w:tr>
      <w:tr w:rsidR="00000000" w:rsidRPr="00A538DD" w14:paraId="2F312034" w14:textId="77777777">
        <w:tblPrEx>
          <w:tblCellMar>
            <w:top w:w="0" w:type="dxa"/>
            <w:bottom w:w="0" w:type="dxa"/>
          </w:tblCellMar>
        </w:tblPrEx>
        <w:tc>
          <w:tcPr>
            <w:tcW w:w="1204" w:type="dxa"/>
          </w:tcPr>
          <w:p w14:paraId="5B8AA366" w14:textId="77777777" w:rsidR="0048679D" w:rsidRPr="00A538DD" w:rsidRDefault="0048679D">
            <w:pPr>
              <w:spacing w:before="0"/>
              <w:jc w:val="left"/>
            </w:pPr>
            <w:r w:rsidRPr="00A538DD">
              <w:t>2003-04-24</w:t>
            </w:r>
          </w:p>
        </w:tc>
        <w:tc>
          <w:tcPr>
            <w:tcW w:w="3261" w:type="dxa"/>
          </w:tcPr>
          <w:p w14:paraId="70AB5BB0" w14:textId="77777777" w:rsidR="0048679D" w:rsidRPr="00A538DD" w:rsidRDefault="0048679D">
            <w:pPr>
              <w:spacing w:before="0"/>
              <w:jc w:val="left"/>
            </w:pPr>
            <w:r w:rsidRPr="00A538DD">
              <w:t>Inflationsprognosen under målet</w:t>
            </w:r>
          </w:p>
        </w:tc>
        <w:tc>
          <w:tcPr>
            <w:tcW w:w="1628" w:type="dxa"/>
          </w:tcPr>
          <w:p w14:paraId="78E974C2" w14:textId="77777777" w:rsidR="0048679D" w:rsidRPr="00A538DD" w:rsidRDefault="0048679D">
            <w:pPr>
              <w:spacing w:before="0"/>
              <w:jc w:val="left"/>
            </w:pPr>
            <w:r w:rsidRPr="00A538DD">
              <w:t>oförändrad</w:t>
            </w:r>
          </w:p>
        </w:tc>
      </w:tr>
      <w:tr w:rsidR="00000000" w:rsidRPr="00A538DD" w14:paraId="3011E242" w14:textId="77777777">
        <w:tblPrEx>
          <w:tblCellMar>
            <w:top w:w="0" w:type="dxa"/>
            <w:bottom w:w="0" w:type="dxa"/>
          </w:tblCellMar>
        </w:tblPrEx>
        <w:tc>
          <w:tcPr>
            <w:tcW w:w="1204" w:type="dxa"/>
          </w:tcPr>
          <w:p w14:paraId="0AAD29C2" w14:textId="77777777" w:rsidR="0048679D" w:rsidRPr="00A538DD" w:rsidRDefault="0048679D">
            <w:pPr>
              <w:spacing w:before="0"/>
              <w:jc w:val="left"/>
            </w:pPr>
            <w:r w:rsidRPr="00A538DD">
              <w:t>2003-07-03</w:t>
            </w:r>
          </w:p>
        </w:tc>
        <w:tc>
          <w:tcPr>
            <w:tcW w:w="3261" w:type="dxa"/>
          </w:tcPr>
          <w:p w14:paraId="3027BA2A" w14:textId="77777777" w:rsidR="0048679D" w:rsidRPr="00A538DD" w:rsidRDefault="0048679D">
            <w:pPr>
              <w:spacing w:before="0"/>
              <w:jc w:val="left"/>
            </w:pPr>
            <w:r w:rsidRPr="00A538DD">
              <w:t>Inflationsprognosen under målet</w:t>
            </w:r>
          </w:p>
        </w:tc>
        <w:tc>
          <w:tcPr>
            <w:tcW w:w="1628" w:type="dxa"/>
          </w:tcPr>
          <w:p w14:paraId="7F1DAA0E" w14:textId="77777777" w:rsidR="0048679D" w:rsidRPr="00A538DD" w:rsidRDefault="0048679D">
            <w:pPr>
              <w:spacing w:before="0"/>
              <w:jc w:val="left"/>
            </w:pPr>
            <w:r w:rsidRPr="00A538DD">
              <w:t>sänkning 0,25 procen</w:t>
            </w:r>
            <w:r w:rsidRPr="00A538DD">
              <w:t>t</w:t>
            </w:r>
            <w:r w:rsidRPr="00A538DD">
              <w:t>enheter</w:t>
            </w:r>
          </w:p>
        </w:tc>
      </w:tr>
      <w:tr w:rsidR="00000000" w:rsidRPr="00A538DD" w14:paraId="74D1596D" w14:textId="77777777">
        <w:tblPrEx>
          <w:tblCellMar>
            <w:top w:w="0" w:type="dxa"/>
            <w:bottom w:w="0" w:type="dxa"/>
          </w:tblCellMar>
        </w:tblPrEx>
        <w:tc>
          <w:tcPr>
            <w:tcW w:w="1204" w:type="dxa"/>
          </w:tcPr>
          <w:p w14:paraId="3921CB87" w14:textId="77777777" w:rsidR="0048679D" w:rsidRPr="00A538DD" w:rsidRDefault="0048679D">
            <w:pPr>
              <w:spacing w:before="0"/>
              <w:jc w:val="left"/>
            </w:pPr>
            <w:r w:rsidRPr="00A538DD">
              <w:t>2003-08-14</w:t>
            </w:r>
          </w:p>
        </w:tc>
        <w:tc>
          <w:tcPr>
            <w:tcW w:w="3261" w:type="dxa"/>
          </w:tcPr>
          <w:p w14:paraId="6089D3CE" w14:textId="77777777" w:rsidR="0048679D" w:rsidRPr="00A538DD" w:rsidRDefault="0048679D">
            <w:pPr>
              <w:spacing w:before="0"/>
              <w:jc w:val="left"/>
            </w:pPr>
            <w:r w:rsidRPr="00A538DD">
              <w:t>Inflationsprognosen i linje med målet</w:t>
            </w:r>
          </w:p>
        </w:tc>
        <w:tc>
          <w:tcPr>
            <w:tcW w:w="1628" w:type="dxa"/>
          </w:tcPr>
          <w:p w14:paraId="228F76E8" w14:textId="77777777" w:rsidR="0048679D" w:rsidRPr="00A538DD" w:rsidRDefault="0048679D">
            <w:pPr>
              <w:spacing w:before="0"/>
              <w:jc w:val="left"/>
            </w:pPr>
            <w:r w:rsidRPr="00A538DD">
              <w:t>oförändrad</w:t>
            </w:r>
          </w:p>
        </w:tc>
      </w:tr>
      <w:tr w:rsidR="00000000" w:rsidRPr="00A538DD" w14:paraId="350C0334" w14:textId="77777777">
        <w:tblPrEx>
          <w:tblCellMar>
            <w:top w:w="0" w:type="dxa"/>
            <w:bottom w:w="0" w:type="dxa"/>
          </w:tblCellMar>
        </w:tblPrEx>
        <w:tc>
          <w:tcPr>
            <w:tcW w:w="1204" w:type="dxa"/>
          </w:tcPr>
          <w:p w14:paraId="1E609ED0" w14:textId="77777777" w:rsidR="0048679D" w:rsidRPr="00A538DD" w:rsidRDefault="0048679D">
            <w:pPr>
              <w:spacing w:before="0"/>
              <w:jc w:val="left"/>
            </w:pPr>
            <w:r w:rsidRPr="00A538DD">
              <w:t>2004-02-05</w:t>
            </w:r>
          </w:p>
        </w:tc>
        <w:tc>
          <w:tcPr>
            <w:tcW w:w="3261" w:type="dxa"/>
          </w:tcPr>
          <w:p w14:paraId="7BB960E9" w14:textId="77777777" w:rsidR="0048679D" w:rsidRPr="00A538DD" w:rsidRDefault="0048679D">
            <w:pPr>
              <w:spacing w:before="0"/>
              <w:jc w:val="left"/>
            </w:pPr>
            <w:r w:rsidRPr="00A538DD">
              <w:t>Inflationsprognosen under målet</w:t>
            </w:r>
          </w:p>
        </w:tc>
        <w:tc>
          <w:tcPr>
            <w:tcW w:w="1628" w:type="dxa"/>
          </w:tcPr>
          <w:p w14:paraId="11C7B233" w14:textId="77777777" w:rsidR="0048679D" w:rsidRPr="00A538DD" w:rsidRDefault="0048679D">
            <w:pPr>
              <w:spacing w:before="0"/>
              <w:jc w:val="left"/>
            </w:pPr>
            <w:r w:rsidRPr="00A538DD">
              <w:t>sänkning 0,25 procen</w:t>
            </w:r>
            <w:r w:rsidRPr="00A538DD">
              <w:t>t</w:t>
            </w:r>
            <w:r w:rsidRPr="00A538DD">
              <w:t>enheter</w:t>
            </w:r>
          </w:p>
        </w:tc>
      </w:tr>
      <w:tr w:rsidR="00000000" w:rsidRPr="00A538DD" w14:paraId="069DCE6C" w14:textId="77777777">
        <w:tblPrEx>
          <w:tblCellMar>
            <w:top w:w="0" w:type="dxa"/>
            <w:bottom w:w="0" w:type="dxa"/>
          </w:tblCellMar>
        </w:tblPrEx>
        <w:tc>
          <w:tcPr>
            <w:tcW w:w="1204" w:type="dxa"/>
          </w:tcPr>
          <w:p w14:paraId="28E3AFF8" w14:textId="77777777" w:rsidR="0048679D" w:rsidRPr="00A538DD" w:rsidRDefault="0048679D">
            <w:pPr>
              <w:spacing w:before="0"/>
              <w:jc w:val="left"/>
            </w:pPr>
            <w:r w:rsidRPr="00A538DD">
              <w:t>2004-04-28</w:t>
            </w:r>
          </w:p>
        </w:tc>
        <w:tc>
          <w:tcPr>
            <w:tcW w:w="3261" w:type="dxa"/>
          </w:tcPr>
          <w:p w14:paraId="41E27AE9" w14:textId="77777777" w:rsidR="0048679D" w:rsidRPr="00A538DD" w:rsidRDefault="0048679D">
            <w:pPr>
              <w:spacing w:before="0"/>
              <w:jc w:val="left"/>
            </w:pPr>
            <w:r w:rsidRPr="00A538DD">
              <w:t>Inflationsprognosen i linje med målet</w:t>
            </w:r>
          </w:p>
        </w:tc>
        <w:tc>
          <w:tcPr>
            <w:tcW w:w="1628" w:type="dxa"/>
          </w:tcPr>
          <w:p w14:paraId="289210DE" w14:textId="77777777" w:rsidR="0048679D" w:rsidRPr="00A538DD" w:rsidRDefault="0048679D">
            <w:pPr>
              <w:spacing w:before="0"/>
              <w:jc w:val="left"/>
            </w:pPr>
            <w:r w:rsidRPr="00A538DD">
              <w:t>oförändrad</w:t>
            </w:r>
          </w:p>
        </w:tc>
      </w:tr>
      <w:tr w:rsidR="00000000" w:rsidRPr="00A538DD" w14:paraId="43731BB0" w14:textId="77777777">
        <w:tblPrEx>
          <w:tblCellMar>
            <w:top w:w="0" w:type="dxa"/>
            <w:bottom w:w="0" w:type="dxa"/>
          </w:tblCellMar>
        </w:tblPrEx>
        <w:tc>
          <w:tcPr>
            <w:tcW w:w="1204" w:type="dxa"/>
          </w:tcPr>
          <w:p w14:paraId="6F04BA6E" w14:textId="77777777" w:rsidR="0048679D" w:rsidRPr="00A538DD" w:rsidRDefault="0048679D">
            <w:pPr>
              <w:spacing w:before="0"/>
              <w:jc w:val="left"/>
            </w:pPr>
            <w:r w:rsidRPr="00A538DD">
              <w:t>2004-05-27</w:t>
            </w:r>
          </w:p>
        </w:tc>
        <w:tc>
          <w:tcPr>
            <w:tcW w:w="3261" w:type="dxa"/>
          </w:tcPr>
          <w:p w14:paraId="23710CD1" w14:textId="77777777" w:rsidR="0048679D" w:rsidRPr="00A538DD" w:rsidRDefault="0048679D">
            <w:pPr>
              <w:spacing w:before="0"/>
              <w:jc w:val="left"/>
            </w:pPr>
            <w:r w:rsidRPr="00A538DD">
              <w:t>Inflationsprognosen i linje med målet</w:t>
            </w:r>
          </w:p>
        </w:tc>
        <w:tc>
          <w:tcPr>
            <w:tcW w:w="1628" w:type="dxa"/>
          </w:tcPr>
          <w:p w14:paraId="43057555" w14:textId="77777777" w:rsidR="0048679D" w:rsidRPr="00A538DD" w:rsidRDefault="0048679D">
            <w:pPr>
              <w:spacing w:before="0"/>
              <w:jc w:val="left"/>
            </w:pPr>
            <w:r w:rsidRPr="00A538DD">
              <w:t>oförändrad</w:t>
            </w:r>
          </w:p>
        </w:tc>
      </w:tr>
      <w:tr w:rsidR="00000000" w:rsidRPr="00A538DD" w14:paraId="72224A78" w14:textId="77777777">
        <w:tblPrEx>
          <w:tblCellMar>
            <w:top w:w="0" w:type="dxa"/>
            <w:bottom w:w="0" w:type="dxa"/>
          </w:tblCellMar>
        </w:tblPrEx>
        <w:tc>
          <w:tcPr>
            <w:tcW w:w="1204" w:type="dxa"/>
          </w:tcPr>
          <w:p w14:paraId="31FA18AA" w14:textId="77777777" w:rsidR="0048679D" w:rsidRPr="00A538DD" w:rsidRDefault="0048679D">
            <w:pPr>
              <w:spacing w:before="0"/>
              <w:jc w:val="left"/>
            </w:pPr>
            <w:r w:rsidRPr="00A538DD">
              <w:t>2004-08-19</w:t>
            </w:r>
          </w:p>
        </w:tc>
        <w:tc>
          <w:tcPr>
            <w:tcW w:w="3261" w:type="dxa"/>
          </w:tcPr>
          <w:p w14:paraId="6290F08C" w14:textId="77777777" w:rsidR="0048679D" w:rsidRPr="00A538DD" w:rsidRDefault="0048679D">
            <w:pPr>
              <w:spacing w:before="0"/>
              <w:jc w:val="left"/>
            </w:pPr>
            <w:r w:rsidRPr="00A538DD">
              <w:t>Inflationsprognosen i linje med målet</w:t>
            </w:r>
          </w:p>
        </w:tc>
        <w:tc>
          <w:tcPr>
            <w:tcW w:w="1628" w:type="dxa"/>
          </w:tcPr>
          <w:p w14:paraId="6D690CF0" w14:textId="77777777" w:rsidR="0048679D" w:rsidRPr="00A538DD" w:rsidRDefault="0048679D">
            <w:pPr>
              <w:spacing w:before="0"/>
              <w:jc w:val="left"/>
            </w:pPr>
            <w:r w:rsidRPr="00A538DD">
              <w:t>oförändrad</w:t>
            </w:r>
          </w:p>
        </w:tc>
      </w:tr>
    </w:tbl>
    <w:p w14:paraId="288FE464" w14:textId="77777777" w:rsidR="0048679D" w:rsidRPr="00A538DD" w:rsidRDefault="0048679D">
      <w:pPr>
        <w:pStyle w:val="Tabelltext"/>
      </w:pPr>
    </w:p>
    <w:p w14:paraId="3339A17A" w14:textId="77777777" w:rsidR="0048679D" w:rsidRPr="00A538DD" w:rsidRDefault="0048679D"/>
    <w:p w14:paraId="44F4944B" w14:textId="77777777" w:rsidR="0048679D" w:rsidRPr="00A538DD" w:rsidRDefault="0048679D">
      <w:r w:rsidRPr="00A538DD">
        <w:t>Som framgår av diagrammet och tabellen lämnades räntan oförändrad vid ett antal tillfällen trots att prognosen för riskjusterad UND1X på ett par års sikt underskred inflationsmålet. Detta hänger samman med att energipriserna svängde på ett sätt som antogs påverka inflationen kraftigt men tillfälligt, och som inte bedömdes helt ha avklingat på två års sikt. Riksbanken valde därför under en period att fokusera på ett inflationsmått som rensats från energipr</w:t>
      </w:r>
      <w:r w:rsidRPr="00A538DD">
        <w:t>i</w:t>
      </w:r>
      <w:r w:rsidRPr="00A538DD">
        <w:t>ser, UND1X exklusive energi. Prognosen för detta inflationsmått var i linje med inflationsmålet på två års sikt vid de tillfällen under 2003 då räntan lä</w:t>
      </w:r>
      <w:r w:rsidRPr="00A538DD">
        <w:t>m</w:t>
      </w:r>
      <w:r w:rsidRPr="00A538DD">
        <w:t>nades oförändrad trots att prognosen för UND1X underskred målet. I sa</w:t>
      </w:r>
      <w:r w:rsidRPr="00A538DD">
        <w:t>m</w:t>
      </w:r>
      <w:r w:rsidRPr="00A538DD">
        <w:t>band med det penningpolitiska mötet i mars 2004 gjorde direktionen bedö</w:t>
      </w:r>
      <w:r w:rsidRPr="00A538DD">
        <w:t>m</w:t>
      </w:r>
      <w:r w:rsidRPr="00A538DD">
        <w:t>ningen att de tillfälliga effekterna av energiprissvängningarna skulle komma att klinga av från mitten av 2005 och att det därför inte längre fanns någon anledning att rensa för energipriserna vid utformningen av pe</w:t>
      </w:r>
      <w:r w:rsidRPr="00A538DD">
        <w:t>nningpolit</w:t>
      </w:r>
      <w:r w:rsidRPr="00A538DD">
        <w:t>i</w:t>
      </w:r>
      <w:r w:rsidRPr="00A538DD">
        <w:t>ken.</w:t>
      </w:r>
    </w:p>
    <w:p w14:paraId="75E9EC51" w14:textId="77777777" w:rsidR="0048679D" w:rsidRPr="00A538DD" w:rsidRDefault="0048679D">
      <w:pPr>
        <w:pStyle w:val="Normaltindrag"/>
      </w:pPr>
      <w:r w:rsidRPr="00A538DD">
        <w:t>Detta illustrerar att det normalt finns ett ganska starkt samband mellan räntebeslut och inflationsprognos, men också att det kan vara svårt att i alla lägen beskriva och kommunicera penningpolitiken i termer av en mycket enkel handlingsregel. Vid några tillfällen har Riksbanken valt att frångå det normala mönstret genom att fokusera på ett annat inflationsmått än UND1X. Ett möjligt alternativ hade varit att hålla kvar fokus på UND1X-inflationen men i stället illustrera den förväntade utveck</w:t>
      </w:r>
      <w:r w:rsidRPr="00A538DD">
        <w:t>lingen genom att dra ut progn</w:t>
      </w:r>
      <w:r w:rsidRPr="00A538DD">
        <w:t>o</w:t>
      </w:r>
      <w:r w:rsidRPr="00A538DD">
        <w:t>sen något längre fram i tiden. Eftersom effekterna av energiprissvängningarna förväntades vara tillfälliga kunde UND1X förväntas vara i linje med infl</w:t>
      </w:r>
      <w:r w:rsidRPr="00A538DD">
        <w:t>a</w:t>
      </w:r>
      <w:r w:rsidRPr="00A538DD">
        <w:t>tionsmålet något bortom den normala tvåårshor</w:t>
      </w:r>
      <w:r w:rsidRPr="00A538DD">
        <w:t>i</w:t>
      </w:r>
      <w:r w:rsidRPr="00A538DD">
        <w:t>sonten.</w:t>
      </w:r>
    </w:p>
    <w:p w14:paraId="2A1BCEEC" w14:textId="77777777" w:rsidR="0048679D" w:rsidRPr="00A538DD" w:rsidRDefault="0048679D">
      <w:pPr>
        <w:pStyle w:val="R3"/>
      </w:pPr>
      <w:r w:rsidRPr="00A538DD">
        <w:t>Inflationsförväntningarna</w:t>
      </w:r>
    </w:p>
    <w:p w14:paraId="07DDF201" w14:textId="77777777" w:rsidR="0048679D" w:rsidRPr="00A538DD" w:rsidRDefault="0048679D">
      <w:pPr>
        <w:rPr>
          <w:rFonts w:ascii="Syntax" w:hAnsi="Syntax"/>
          <w:b/>
          <w:sz w:val="20"/>
        </w:rPr>
      </w:pPr>
      <w:r w:rsidRPr="00A538DD">
        <w:t>Inflationsförväntningarna kan ses som ett mått på allmänhetens förtroende för att Riksbanken kommer att uppnå sitt mål. När inflationen understiger målet så pass mycket som blev fallet 2004 är det en rimlig fråga om ekonomins aktörer räknar med att Riksbanken kommer att lyckas med att föra tillbaka inflationen till målet på ett par års sikt. I diagram 6 visas olika aktörers infl</w:t>
      </w:r>
      <w:r w:rsidRPr="00A538DD">
        <w:t>a</w:t>
      </w:r>
      <w:r w:rsidRPr="00A538DD">
        <w:t xml:space="preserve">tionsförväntningar för 2006. Den rådande låga inflationen förefaller inte ha påverkat förtroendet för inflationsmålet. Samtliga aktörer förväntar sig att inflationen på ett par års sikt kommer att ligga nära 2 %. </w:t>
      </w:r>
    </w:p>
    <w:p w14:paraId="6899C1AA" w14:textId="77777777" w:rsidR="0048679D" w:rsidRPr="00A538DD" w:rsidRDefault="0048679D">
      <w:pPr>
        <w:pStyle w:val="Diagramrubrik"/>
        <w:spacing w:before="0"/>
        <w:ind w:left="0" w:firstLine="0"/>
      </w:pPr>
      <w:r w:rsidRPr="00A538DD">
        <w:br w:type="page"/>
        <w:t>Diagram 6. Olika aktörers inflationsförväntningar för 2006 under 2004</w:t>
      </w:r>
    </w:p>
    <w:p w14:paraId="6DA78486" w14:textId="77777777" w:rsidR="0048679D" w:rsidRPr="00A538DD" w:rsidRDefault="0048679D">
      <w:pPr>
        <w:rPr>
          <w:b/>
          <w:sz w:val="16"/>
        </w:rPr>
      </w:pPr>
      <w:r w:rsidRPr="00A538DD">
        <w:rPr>
          <w:sz w:val="16"/>
        </w:rPr>
        <w:t>Procent</w:t>
      </w:r>
    </w:p>
    <w:p w14:paraId="4E940CDA" w14:textId="480C3BDE" w:rsidR="0048679D" w:rsidRPr="00A538DD" w:rsidRDefault="00A538DD">
      <w:pPr>
        <w:ind w:hanging="284"/>
      </w:pPr>
      <w:r w:rsidRPr="00A538DD">
        <w:rPr>
          <w:noProof/>
        </w:rPr>
        <w:drawing>
          <wp:inline distT="0" distB="0" distL="0" distR="0" wp14:anchorId="69B2D8DC" wp14:editId="75012598">
            <wp:extent cx="4000500" cy="248729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00500" cy="2487295"/>
                    </a:xfrm>
                    <a:prstGeom prst="rect">
                      <a:avLst/>
                    </a:prstGeom>
                    <a:noFill/>
                    <a:ln>
                      <a:noFill/>
                    </a:ln>
                  </pic:spPr>
                </pic:pic>
              </a:graphicData>
            </a:graphic>
          </wp:inline>
        </w:drawing>
      </w:r>
    </w:p>
    <w:p w14:paraId="20BDF0EC" w14:textId="77777777" w:rsidR="0048679D" w:rsidRPr="00A538DD" w:rsidRDefault="0048679D">
      <w:pPr>
        <w:pStyle w:val="Fotnotstextindrag"/>
        <w:spacing w:before="125"/>
        <w:ind w:left="-567" w:firstLine="567"/>
        <w:rPr>
          <w:sz w:val="16"/>
        </w:rPr>
      </w:pPr>
      <w:r w:rsidRPr="00A538DD">
        <w:rPr>
          <w:sz w:val="16"/>
        </w:rPr>
        <w:t>Källor: Prospera, Konjunkturi</w:t>
      </w:r>
      <w:r w:rsidRPr="00A538DD">
        <w:rPr>
          <w:sz w:val="16"/>
        </w:rPr>
        <w:t>n</w:t>
      </w:r>
      <w:r w:rsidRPr="00A538DD">
        <w:rPr>
          <w:sz w:val="16"/>
        </w:rPr>
        <w:t>stitutet och Riksbanken</w:t>
      </w:r>
    </w:p>
    <w:p w14:paraId="31D04C87" w14:textId="77777777" w:rsidR="0048679D" w:rsidRPr="00A538DD" w:rsidRDefault="0048679D">
      <w:pPr>
        <w:pStyle w:val="R3"/>
      </w:pPr>
      <w:r w:rsidRPr="00A538DD">
        <w:t>Sammanfattning</w:t>
      </w:r>
    </w:p>
    <w:p w14:paraId="1F1492C3" w14:textId="77777777" w:rsidR="0048679D" w:rsidRPr="00A538DD" w:rsidRDefault="0048679D">
      <w:r w:rsidRPr="00A538DD">
        <w:t>Nedgången i inflationen 2004 berodde till största delen på faktorer som Rik</w:t>
      </w:r>
      <w:r w:rsidRPr="00A538DD">
        <w:t>s</w:t>
      </w:r>
      <w:r w:rsidRPr="00A538DD">
        <w:t>banken förutsåg 2002 och i början av 2003, men även på faktorer som på ett mer överraskande sätt pressade ner prisökningstakten. Den förväntade delen av inflationsnedgången hängde främst samman med att prisnivån i slutet av 2002 och i början av 2003 hade pressats upp onormalt mycket till följd av framförallt en kraftig tillfällig uppgång i energipriserna. Det fanns därför anledning att räkna med att inflationen skulle bli ovanligt låg under inle</w:t>
      </w:r>
      <w:r w:rsidRPr="00A538DD">
        <w:t>d</w:t>
      </w:r>
      <w:r w:rsidRPr="00A538DD">
        <w:t>ningen av 2004. Eftersom dessa svängningar i energipriserna i</w:t>
      </w:r>
      <w:r w:rsidRPr="00A538DD">
        <w:t>nte förmodades få några mer varaktiga effekter på inflationen eller inflationsprocessen b</w:t>
      </w:r>
      <w:r w:rsidRPr="00A538DD">
        <w:t>e</w:t>
      </w:r>
      <w:r w:rsidRPr="00A538DD">
        <w:t>dömdes det, i linje med det förtydligande om penningpolitikens uppläggning som Riksbanken publicerade 1999, inte finnas skäl att försöka motverka dem med penningpolitiska åtgärder. Den huvudsakliga motiveringen till de ränt</w:t>
      </w:r>
      <w:r w:rsidRPr="00A538DD">
        <w:t>e</w:t>
      </w:r>
      <w:r w:rsidRPr="00A538DD">
        <w:t>sänkningar som ändå genomfördes mellan november 2002 och juli 2003 var i stället att konjun</w:t>
      </w:r>
      <w:r w:rsidRPr="00A538DD">
        <w:t>k</w:t>
      </w:r>
      <w:r w:rsidRPr="00A538DD">
        <w:t>turutsikterna hade försämrats.</w:t>
      </w:r>
    </w:p>
    <w:p w14:paraId="734F13C2" w14:textId="77777777" w:rsidR="0048679D" w:rsidRPr="00A538DD" w:rsidRDefault="0048679D">
      <w:pPr>
        <w:pStyle w:val="Normaltindrag"/>
      </w:pPr>
      <w:r w:rsidRPr="00A538DD">
        <w:t>Den mer svårprognostiserade delen av inflationsnedgången kan i korthet besk</w:t>
      </w:r>
      <w:r w:rsidRPr="00A538DD">
        <w:t>rivas som ett resultat av en kombination av ett oväntat lågt inhemskt kostnadstryck och en överraskande svag utveckling av priserna på importer</w:t>
      </w:r>
      <w:r w:rsidRPr="00A538DD">
        <w:t>a</w:t>
      </w:r>
      <w:r w:rsidRPr="00A538DD">
        <w:t>de produkter. Det låga inhemska kostnadstrycket berodde dock inte på att ekonomin utvecklades oväntat svagt. BNP-tillväxten visade sig i stället bli starkare än vad Riksbanken förutsett. Sysselsättningen ökade dock inte lika snabbt som den brukat göra i motsvarande konjunkturläge. Detta innebar att företagens kostnader hölls nere, dels av en hög produktivitetstillvä</w:t>
      </w:r>
      <w:r w:rsidRPr="00A538DD">
        <w:t>xt, dels av det svaga arbetsmarknadsläget som bidrog till att löneökningarna blev dä</w:t>
      </w:r>
      <w:r w:rsidRPr="00A538DD">
        <w:t>m</w:t>
      </w:r>
      <w:r w:rsidRPr="00A538DD">
        <w:t>pade. Orsakerna till den låga importerade inflationen är flera. En förklaring är att kronkursen har stärkts under senare år, men sannolikt har även faktorer som exempelvis en hårdnande internationell konkurrens spelat en roll. Såväl Riksbanken som andra bedömare misslyckades med att förutsäga att dessa faktorer skulle pressa ner inflationen 2004 så mycket som de gjorde.</w:t>
      </w:r>
    </w:p>
    <w:p w14:paraId="3BB60046" w14:textId="77777777" w:rsidR="0048679D" w:rsidRPr="00A538DD" w:rsidRDefault="0048679D">
      <w:pPr>
        <w:pStyle w:val="Normaltindrag"/>
      </w:pPr>
      <w:r w:rsidRPr="00A538DD">
        <w:t>Att inflationen 2004 blev så låg var således till en d</w:t>
      </w:r>
      <w:r w:rsidRPr="00A538DD">
        <w:t>el en utveckling som Riksbanken förutsåg men valde att inte försöka motverka, vilket samma</w:t>
      </w:r>
      <w:r w:rsidRPr="00A538DD">
        <w:t>n</w:t>
      </w:r>
      <w:r w:rsidRPr="00A538DD">
        <w:t>hängde med att inflationen svängde kraftigt på grund av tillfälliga störningar. Till en del var det också ett resultat av en oväntad utveckling på ekonomins utbudssida som avvek från den prognostiserade. Det är värt att poängtera att den överraskande låga inflationen till stor del berodde på faktorer som i gru</w:t>
      </w:r>
      <w:r w:rsidRPr="00A538DD">
        <w:t>n</w:t>
      </w:r>
      <w:r w:rsidRPr="00A538DD">
        <w:t>den är gynnsamma för svensk ekonomi och som också bidrog till att tillväxten blev starkare än vä</w:t>
      </w:r>
      <w:r w:rsidRPr="00A538DD">
        <w:t>n</w:t>
      </w:r>
      <w:r w:rsidRPr="00A538DD">
        <w:t xml:space="preserve">tat. </w:t>
      </w:r>
    </w:p>
    <w:p w14:paraId="50354E94" w14:textId="77777777" w:rsidR="0048679D" w:rsidRPr="00A538DD" w:rsidRDefault="0048679D">
      <w:pPr>
        <w:pStyle w:val="Normaltindrag"/>
      </w:pPr>
      <w:r w:rsidRPr="00A538DD">
        <w:t>När de</w:t>
      </w:r>
      <w:r w:rsidRPr="00A538DD">
        <w:t>t väl stod klart att den låga inflationen inte enbart berodde på svän</w:t>
      </w:r>
      <w:r w:rsidRPr="00A538DD">
        <w:t>g</w:t>
      </w:r>
      <w:r w:rsidRPr="00A538DD">
        <w:t xml:space="preserve">ningarna i energipriserna ledde detta till en omvärdering av det underliggande inflationstrycket i ekonomin. Penningpolitiken lättades därför ytterligare i början av 2004, trots att konjunkturutsikterna vid den tidpunkten framstod som mycket gynnsamma. </w:t>
      </w:r>
    </w:p>
    <w:p w14:paraId="281452BE" w14:textId="77777777" w:rsidR="0048679D" w:rsidRPr="00A538DD" w:rsidRDefault="0048679D">
      <w:pPr>
        <w:pStyle w:val="Normaltindrag"/>
      </w:pPr>
      <w:r w:rsidRPr="00A538DD">
        <w:t>Det fanns flera faktorer som gjorde att Riksbanken under 2004 ställdes i</w:t>
      </w:r>
      <w:r w:rsidRPr="00A538DD">
        <w:t>n</w:t>
      </w:r>
      <w:r w:rsidRPr="00A538DD">
        <w:t>för svåra överväganden. En faktor var det kraftigt stigande oljepriset och frågan hur konjunkturen och inflationen skulle komma att påverkas av detta. Trots att detta föranledde vissa revideringar av den internationella utvecklin</w:t>
      </w:r>
      <w:r w:rsidRPr="00A538DD">
        <w:t>g</w:t>
      </w:r>
      <w:r w:rsidRPr="00A538DD">
        <w:t>en gjorde Riksbanken bedömningen att effekterna av oljeprisuppgången ändå skulle bli så pass begränsade att de inte behövde få någon avgörande betyde</w:t>
      </w:r>
      <w:r w:rsidRPr="00A538DD">
        <w:t>l</w:t>
      </w:r>
      <w:r w:rsidRPr="00A538DD">
        <w:t>se för uppläggningen av pe</w:t>
      </w:r>
      <w:r w:rsidRPr="00A538DD">
        <w:t>n</w:t>
      </w:r>
      <w:r w:rsidRPr="00A538DD">
        <w:t xml:space="preserve">ningpolitiken. </w:t>
      </w:r>
    </w:p>
    <w:p w14:paraId="2EB707BC" w14:textId="77777777" w:rsidR="0048679D" w:rsidRPr="00A538DD" w:rsidRDefault="0048679D">
      <w:pPr>
        <w:pStyle w:val="Normaltindrag"/>
      </w:pPr>
      <w:r w:rsidRPr="00A538DD">
        <w:t>Kombinationen av en allt tydligare konjunkturuppgång, ett lågt ränteläge och ett svagt i</w:t>
      </w:r>
      <w:r w:rsidRPr="00A538DD">
        <w:t>nflationstryck gav också upphov till frågor om vilken politik som var lämplig. Under 2004 blev tecknen tydligare på att de räntesänkningar som genomförts under 2003 hade fyllt sin funktion och bidragit till att få igång den inhemska efterfrågan. Konsumtionen växte stabilt under året och investeringarna ökade igen efter ett antal år av negativa tillväxttal. De ytterl</w:t>
      </w:r>
      <w:r w:rsidRPr="00A538DD">
        <w:t>i</w:t>
      </w:r>
      <w:r w:rsidRPr="00A538DD">
        <w:t>gare räntesänkningarna i början av 2004 genomfördes alltså i ett läge där efterfrågan redan var god, något som komplicerade de penningpolitiska</w:t>
      </w:r>
      <w:r w:rsidRPr="00A538DD">
        <w:t xml:space="preserve"> öve</w:t>
      </w:r>
      <w:r w:rsidRPr="00A538DD">
        <w:t>r</w:t>
      </w:r>
      <w:r w:rsidRPr="00A538DD">
        <w:t>vägandena.</w:t>
      </w:r>
    </w:p>
    <w:p w14:paraId="3EB0806D" w14:textId="77777777" w:rsidR="0048679D" w:rsidRPr="00A538DD" w:rsidRDefault="0048679D">
      <w:pPr>
        <w:pStyle w:val="Normaltindrag"/>
      </w:pPr>
      <w:r w:rsidRPr="00A538DD">
        <w:t>Räntan sänktes ändå, som diskuterats ovan, med motiveringen att en sv</w:t>
      </w:r>
      <w:r w:rsidRPr="00A538DD">
        <w:t>a</w:t>
      </w:r>
      <w:r w:rsidRPr="00A538DD">
        <w:t>gare arbetsmarknadsutveckling och högre produktivitetstillväxt än väntat höll tillbaka kostnadstrycket. Den importerade inflationen blev dessutom överra</w:t>
      </w:r>
      <w:r w:rsidRPr="00A538DD">
        <w:t>s</w:t>
      </w:r>
      <w:r w:rsidRPr="00A538DD">
        <w:t>kande låg. Även detta motiverade en viss eftertanke eftersom det i en del situationer kan vara riskfyllt att med penningpolitikens hjälp kompensera en låg importerad inflation med en högre inhemsk inflation. Det kan då inträffa att ett alltför högt inhemskt pristryck etableras samtidigt som det importerade inflationstrycket snabbt ökar igen.</w:t>
      </w:r>
    </w:p>
    <w:p w14:paraId="143BBA3B" w14:textId="77777777" w:rsidR="0048679D" w:rsidRPr="00A538DD" w:rsidRDefault="0048679D">
      <w:pPr>
        <w:pStyle w:val="Normaltindrag"/>
      </w:pPr>
      <w:r w:rsidRPr="00A538DD">
        <w:t>Ytterligare en</w:t>
      </w:r>
      <w:r w:rsidRPr="00A538DD">
        <w:t xml:space="preserve"> faktor som diskuterades var riskerna med att det låga ränt</w:t>
      </w:r>
      <w:r w:rsidRPr="00A538DD">
        <w:t>e</w:t>
      </w:r>
      <w:r w:rsidRPr="00A538DD">
        <w:t>läget bidragit till en omfattande skulduppbyggnad hos hushållen och till att bostadspriserna ökat snabbt. Även om detta inte var något avgörande skäl bakom de penningpolitiska besluten har det ändå talat för en viss försiktighet med ytterligare penningpolitisk stimulans.</w:t>
      </w:r>
    </w:p>
    <w:p w14:paraId="52641ABC" w14:textId="77777777" w:rsidR="0048679D" w:rsidRPr="00A538DD" w:rsidRDefault="0048679D">
      <w:pPr>
        <w:pStyle w:val="Normaltindrag"/>
        <w:jc w:val="left"/>
        <w:sectPr w:rsidR="00000000" w:rsidRPr="00A538DD">
          <w:pgSz w:w="11906" w:h="16838" w:code="9"/>
          <w:pgMar w:top="907" w:right="4649" w:bottom="4508" w:left="1304" w:header="340" w:footer="227" w:gutter="0"/>
          <w:cols w:space="720"/>
          <w:titlePg/>
        </w:sectPr>
      </w:pPr>
      <w:r w:rsidRPr="00A538DD">
        <w:t xml:space="preserve"> </w:t>
      </w:r>
    </w:p>
    <w:p w14:paraId="65628C11" w14:textId="77777777" w:rsidR="0048679D" w:rsidRPr="00A538DD" w:rsidRDefault="0048679D">
      <w:pPr>
        <w:pStyle w:val="Rubrik1"/>
        <w:rPr>
          <w:b/>
          <w:noProof w:val="0"/>
        </w:rPr>
      </w:pPr>
      <w:r w:rsidRPr="00A538DD">
        <w:rPr>
          <w:noProof w:val="0"/>
        </w:rPr>
        <w:t>Ett säkert och effektivt betalningsväsende – finans</w:t>
      </w:r>
      <w:r w:rsidRPr="00A538DD">
        <w:rPr>
          <w:noProof w:val="0"/>
        </w:rPr>
        <w:t>i</w:t>
      </w:r>
      <w:r w:rsidRPr="00A538DD">
        <w:rPr>
          <w:noProof w:val="0"/>
        </w:rPr>
        <w:t>ell stabilitet</w:t>
      </w:r>
    </w:p>
    <w:p w14:paraId="10A445FD" w14:textId="77777777" w:rsidR="0048679D" w:rsidRPr="00A538DD" w:rsidRDefault="0048679D">
      <w:pPr>
        <w:rPr>
          <w:b/>
        </w:rPr>
      </w:pPr>
      <w:r w:rsidRPr="00A538DD">
        <w:rPr>
          <w:i/>
        </w:rPr>
        <w:t>Riksbanken ska enligt riksbankslagen främja ett säkert och effektivt beta</w:t>
      </w:r>
      <w:r w:rsidRPr="00A538DD">
        <w:rPr>
          <w:i/>
        </w:rPr>
        <w:t>l</w:t>
      </w:r>
      <w:r w:rsidRPr="00A538DD">
        <w:rPr>
          <w:i/>
        </w:rPr>
        <w:t>ningsväsende. Utöver löpande övervakning och krishantering består detta uppdrag även av ett lagfäst ansvar för försörjningen av sedlar och mynt samt ett operativt ansvar för det system som gör det möjligt för bankerna att säkert genomföra stora betalningar mellan varandra</w:t>
      </w:r>
      <w:r w:rsidRPr="00A538DD">
        <w:t xml:space="preserve">. </w:t>
      </w:r>
    </w:p>
    <w:p w14:paraId="091DBE46" w14:textId="77777777" w:rsidR="0048679D" w:rsidRPr="00A538DD" w:rsidRDefault="0048679D">
      <w:r w:rsidRPr="00A538DD">
        <w:t>I detta avsnitt beskrivs först Riksbankens arbete med att förebygga och hant</w:t>
      </w:r>
      <w:r w:rsidRPr="00A538DD">
        <w:t>e</w:t>
      </w:r>
      <w:r w:rsidRPr="00A538DD">
        <w:t>ra finansiella kriser. Därefter beskrivs Riksbankens operativa funktioner inom betalningssystemet och kontantförsörjningen.</w:t>
      </w:r>
    </w:p>
    <w:p w14:paraId="55194238" w14:textId="77777777" w:rsidR="0048679D" w:rsidRPr="00A538DD" w:rsidRDefault="0048679D">
      <w:pPr>
        <w:pStyle w:val="Bildrubrik"/>
        <w:spacing w:after="120"/>
        <w:ind w:left="0" w:firstLine="0"/>
      </w:pPr>
      <w:r w:rsidRPr="00A538DD">
        <w:t>Figur 2. Riksbankens arbete för att främja ett säkert och effektivt betalningsväsende</w:t>
      </w:r>
    </w:p>
    <w:p w14:paraId="450E406D" w14:textId="7C2D68C1" w:rsidR="0048679D" w:rsidRPr="00A538DD" w:rsidRDefault="00A538DD">
      <w:pPr>
        <w:ind w:hanging="709"/>
        <w:rPr>
          <w:b/>
        </w:rPr>
      </w:pPr>
      <w:r w:rsidRPr="00A538DD">
        <w:rPr>
          <w:noProof/>
        </w:rPr>
        <w:drawing>
          <wp:inline distT="0" distB="0" distL="0" distR="0" wp14:anchorId="0D366809" wp14:editId="3038554E">
            <wp:extent cx="4387215" cy="34778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87215" cy="3477895"/>
                    </a:xfrm>
                    <a:prstGeom prst="rect">
                      <a:avLst/>
                    </a:prstGeom>
                    <a:noFill/>
                    <a:ln>
                      <a:noFill/>
                    </a:ln>
                  </pic:spPr>
                </pic:pic>
              </a:graphicData>
            </a:graphic>
          </wp:inline>
        </w:drawing>
      </w:r>
    </w:p>
    <w:p w14:paraId="4ECA6685" w14:textId="77777777" w:rsidR="0048679D" w:rsidRPr="00A538DD" w:rsidRDefault="0048679D">
      <w:pPr>
        <w:rPr>
          <w:b/>
        </w:rPr>
      </w:pPr>
    </w:p>
    <w:p w14:paraId="45CBDCC0" w14:textId="77777777" w:rsidR="0048679D" w:rsidRPr="00A538DD" w:rsidRDefault="0048679D">
      <w:pPr>
        <w:pStyle w:val="R1"/>
        <w:spacing w:after="120"/>
      </w:pPr>
      <w:r w:rsidRPr="00A538DD">
        <w:t>Finansiell stabilitet</w:t>
      </w:r>
    </w:p>
    <w:p w14:paraId="38E082D3" w14:textId="77777777" w:rsidR="0048679D" w:rsidRPr="00A538DD" w:rsidRDefault="0048679D">
      <w:pPr>
        <w:pStyle w:val="R2"/>
        <w:spacing w:before="125"/>
      </w:pPr>
      <w:r w:rsidRPr="00A538DD">
        <w:t>Verksamhetsbeskrivning</w:t>
      </w:r>
    </w:p>
    <w:p w14:paraId="1807A0A9" w14:textId="77777777" w:rsidR="0048679D" w:rsidRPr="00A538DD" w:rsidRDefault="0048679D">
      <w:r w:rsidRPr="00A538DD">
        <w:t>Riksbanken har, mot bakgrund av sin centrala roll i betalningssystemet, fått i uppdrag av riksdagen att främja ett säkert och effektivt betalningsväsende. Detta uppdrag har också en tydlig koppling till Riksbankens mål att upprät</w:t>
      </w:r>
      <w:r w:rsidRPr="00A538DD">
        <w:t>t</w:t>
      </w:r>
      <w:r w:rsidRPr="00A538DD">
        <w:t xml:space="preserve">hålla ett fast penningvärde; om inte betalningsväsendet fungerar väl kan det vara svårt att säkra ett fast penningvärde. </w:t>
      </w:r>
    </w:p>
    <w:p w14:paraId="77AB3C39" w14:textId="77777777" w:rsidR="0048679D" w:rsidRPr="00A538DD" w:rsidRDefault="0048679D">
      <w:pPr>
        <w:pStyle w:val="Normaltindrag"/>
        <w:rPr>
          <w:i/>
        </w:rPr>
      </w:pPr>
      <w:r w:rsidRPr="00A538DD">
        <w:t>Centralbankens traditionella roll i betalningssystemet består i att ansvara för försörjningen av sedlar och mynt samt att tillhandahålla konton som gör det möjligt för bankerna att säkert genomföra betalningar mellan varandra. Finansiella företag och marknader är emellertid allt viktigare för att beta</w:t>
      </w:r>
      <w:r w:rsidRPr="00A538DD">
        <w:t>l</w:t>
      </w:r>
      <w:r w:rsidRPr="00A538DD">
        <w:t xml:space="preserve">ningsväsendet ska fungera. Riksbankens tolkning är därför att det i uppdraget ingår att verka för stabilitet och effektivitet i hela det finansiella systemet. </w:t>
      </w:r>
      <w:r w:rsidRPr="00A538DD">
        <w:rPr>
          <w:i/>
        </w:rPr>
        <w:t xml:space="preserve"> </w:t>
      </w:r>
    </w:p>
    <w:p w14:paraId="7F3245D2" w14:textId="77777777" w:rsidR="0048679D" w:rsidRPr="00A538DD" w:rsidRDefault="0048679D">
      <w:pPr>
        <w:pStyle w:val="Normaltindrag"/>
      </w:pPr>
      <w:r w:rsidRPr="00A538DD">
        <w:t>Det finansiella systemets uppgifter består i att omvandla sparande till inv</w:t>
      </w:r>
      <w:r w:rsidRPr="00A538DD">
        <w:t>e</w:t>
      </w:r>
      <w:r w:rsidRPr="00A538DD">
        <w:t>steringar, göra det möjligt att genomföra betalningar och att hantera finans</w:t>
      </w:r>
      <w:r w:rsidRPr="00A538DD">
        <w:t>i</w:t>
      </w:r>
      <w:r w:rsidRPr="00A538DD">
        <w:t>ella risker. Om det finansiella systemet fungerar dåligt, uppstår stora sa</w:t>
      </w:r>
      <w:r w:rsidRPr="00A538DD">
        <w:t>m</w:t>
      </w:r>
      <w:r w:rsidRPr="00A538DD">
        <w:t>hällsekonomiska kostnader. Därför har staten ett starkt motiv att på olika sätt värna stabiliteten och främja effektiviteten i det finansiella systemet, t.ex. genom att utforma regelverk och övervaka de företag som verkar inom s</w:t>
      </w:r>
      <w:r w:rsidRPr="00A538DD">
        <w:t>y</w:t>
      </w:r>
      <w:r w:rsidRPr="00A538DD">
        <w:t xml:space="preserve">stemet.    </w:t>
      </w:r>
    </w:p>
    <w:p w14:paraId="46AD97E1" w14:textId="77777777" w:rsidR="0048679D" w:rsidRPr="00A538DD" w:rsidRDefault="0048679D">
      <w:pPr>
        <w:pStyle w:val="R3"/>
      </w:pPr>
      <w:r w:rsidRPr="00A538DD">
        <w:t>Banksystemets betydelse för betalningsväsendet</w:t>
      </w:r>
    </w:p>
    <w:p w14:paraId="0CA85FB1" w14:textId="77777777" w:rsidR="0048679D" w:rsidRPr="00A538DD" w:rsidRDefault="0048679D">
      <w:r w:rsidRPr="00A538DD">
        <w:t>Betalningsväsendet är särskilt viktigt eftersom all ekonomisk verksamhet förutsätter att betalningar kan genomföras. Elektroniskt överförda betalningar mellan transaktionskonton i bankerna är numer det viktigaste betalningsme</w:t>
      </w:r>
      <w:r w:rsidRPr="00A538DD">
        <w:t>d</w:t>
      </w:r>
      <w:r w:rsidRPr="00A538DD">
        <w:t xml:space="preserve">let. Banksystemet har därför en central roll för betalningsväsendet. Om hela banksystemet fallerar kan de betalningstjänster bankerna tillhandahåller inte utföras av andra aktörer. </w:t>
      </w:r>
    </w:p>
    <w:p w14:paraId="326BD1AF" w14:textId="77777777" w:rsidR="0048679D" w:rsidRPr="00A538DD" w:rsidRDefault="0048679D">
      <w:pPr>
        <w:pStyle w:val="Normaltindrag"/>
        <w:rPr>
          <w:i/>
        </w:rPr>
      </w:pPr>
      <w:r w:rsidRPr="00A538DD">
        <w:t>Den stora volymen betalningar mellan bankerna gör att det finns en risk att en kris i en bank kan sprida sig till hela banksystemet via betalningssystemet. Andra skäl till att problem lätt kan spridas mellan bankerna är att de lånar av varandra, att de är exponerade mot samma låntagarkategorier och finansierar sig på samma mark</w:t>
      </w:r>
      <w:r w:rsidRPr="00A538DD">
        <w:t>nader. Bankerna har samtidigt en inbyggd instabilitet beroende på att såväl deras inlåning från allmänheten som lån från andra banker i en krissituation snabbt skulle kunna dras undan, medan det tar längre tid att realisera bankernas tillgångar</w:t>
      </w:r>
      <w:r w:rsidRPr="00A538DD">
        <w:rPr>
          <w:i/>
        </w:rPr>
        <w:t>.</w:t>
      </w:r>
    </w:p>
    <w:p w14:paraId="6D57EBE1" w14:textId="77777777" w:rsidR="0048679D" w:rsidRPr="00A538DD" w:rsidRDefault="0048679D">
      <w:pPr>
        <w:pStyle w:val="R3"/>
      </w:pPr>
      <w:r w:rsidRPr="00A538DD">
        <w:t xml:space="preserve">Övervakning av det finansiella systemet  </w:t>
      </w:r>
    </w:p>
    <w:p w14:paraId="6101179D" w14:textId="77777777" w:rsidR="0048679D" w:rsidRPr="00A538DD" w:rsidRDefault="0048679D">
      <w:r w:rsidRPr="00A538DD">
        <w:t>Uppdraget att främja ett säkert och effektivt betalningsväsende innebär att Riksbanken har en övervakningsroll av det finansiella systemet i sin helhet. Bankernas särskilda roll gör att Riksbanken främst koncentrerar sig på dessa, särskilt de större bankerna, samt den för betalningsfunktionen viktiga infr</w:t>
      </w:r>
      <w:r w:rsidRPr="00A538DD">
        <w:t>a</w:t>
      </w:r>
      <w:r w:rsidRPr="00A538DD">
        <w:t>strukturen i sin övervakning. Till infrastrukturen räknas de tekniska system samt de regler och rutiner som gäller för betalning av värdepapper, valutor, varor och tjänster. Detta övervakningsarbete syftar framför allt till att för</w:t>
      </w:r>
      <w:r w:rsidRPr="00A538DD">
        <w:t>e</w:t>
      </w:r>
      <w:r w:rsidRPr="00A538DD">
        <w:t>bygga finansiella kriser.</w:t>
      </w:r>
    </w:p>
    <w:p w14:paraId="01F3CC10" w14:textId="77777777" w:rsidR="0048679D" w:rsidRPr="00A538DD" w:rsidRDefault="0048679D">
      <w:pPr>
        <w:pStyle w:val="Normaltindrag"/>
      </w:pPr>
      <w:r w:rsidRPr="00A538DD">
        <w:t>Riksbankens övervakning av det finansiella systemet har många berö</w:t>
      </w:r>
      <w:r w:rsidRPr="00A538DD">
        <w:t>r</w:t>
      </w:r>
      <w:r w:rsidRPr="00A538DD">
        <w:t>ingspunkter med Finansinspektionens verksamhet då det är Finansinspekti</w:t>
      </w:r>
      <w:r w:rsidRPr="00A538DD">
        <w:t>o</w:t>
      </w:r>
      <w:r w:rsidRPr="00A538DD">
        <w:t>nen som har huvudansvaret för tillsynen av de enskilda finansiella företagen. De båda myndigheterna har därför i en överenskommelse tydliggjort sama</w:t>
      </w:r>
      <w:r w:rsidRPr="00A538DD">
        <w:t>r</w:t>
      </w:r>
      <w:r w:rsidRPr="00A538DD">
        <w:t xml:space="preserve">betet.        </w:t>
      </w:r>
    </w:p>
    <w:p w14:paraId="00E8361E" w14:textId="77777777" w:rsidR="0048679D" w:rsidRPr="00A538DD" w:rsidRDefault="0048679D">
      <w:pPr>
        <w:pStyle w:val="R3"/>
      </w:pPr>
      <w:r w:rsidRPr="00A538DD">
        <w:t>Krishantering</w:t>
      </w:r>
    </w:p>
    <w:p w14:paraId="6770C822" w14:textId="77777777" w:rsidR="0048679D" w:rsidRPr="00A538DD" w:rsidRDefault="0048679D">
      <w:r w:rsidRPr="00A538DD">
        <w:t>Om en kris skulle uppstå trots det förebyggande arbetet ska Riksbanken agera så att</w:t>
      </w:r>
      <w:r w:rsidRPr="00A538DD">
        <w:rPr>
          <w:i/>
        </w:rPr>
        <w:t xml:space="preserve"> </w:t>
      </w:r>
      <w:r w:rsidRPr="00A538DD">
        <w:t>de samhällsekonomiska kostnaderna</w:t>
      </w:r>
      <w:r w:rsidRPr="00A538DD">
        <w:rPr>
          <w:i/>
        </w:rPr>
        <w:t xml:space="preserve"> </w:t>
      </w:r>
      <w:r w:rsidRPr="00A538DD">
        <w:t xml:space="preserve">begränsas. För att skapa beredskap för en effektiv krishantering organiserar och deltar Riksbanken i krisövningar med deltagare från svenska och utländska myndigheter. </w:t>
      </w:r>
    </w:p>
    <w:p w14:paraId="6CBAA9C4" w14:textId="77777777" w:rsidR="0048679D" w:rsidRPr="00A538DD" w:rsidRDefault="0048679D">
      <w:pPr>
        <w:pStyle w:val="Normaltindrag"/>
        <w:rPr>
          <w:i/>
        </w:rPr>
      </w:pPr>
      <w:r w:rsidRPr="00A538DD">
        <w:t>I en krissituation kan Riksbanken ge tillfälligt likviditetsstöd till en bank eller ett finansiellt företag under Finansinspektionens tillsyn som hamnar i betalningsproblem. Kraven för att en bank ska få låna av Riksbanken utan normal säkerhet är dels att banken är solvent, dels att det annars finns risk fö</w:t>
      </w:r>
      <w:r w:rsidRPr="00A538DD">
        <w:t>r att det finansiella systemet ska drabbas av så allvarliga störningar att de fun</w:t>
      </w:r>
      <w:r w:rsidRPr="00A538DD">
        <w:t>k</w:t>
      </w:r>
      <w:r w:rsidRPr="00A538DD">
        <w:t>tioner som det finansiella systemet levererar inte kan upprätthållas utan likv</w:t>
      </w:r>
      <w:r w:rsidRPr="00A538DD">
        <w:t>i</w:t>
      </w:r>
      <w:r w:rsidRPr="00A538DD">
        <w:t>ditetsstöd. Att en bank är stor utgör i sig inte tillräcklig grund för stöd från Riksbanken. Det förebyggande övervakningsarbetet är en förutsättning för att kunna göra dessa bedömningar i en krissituation.</w:t>
      </w:r>
    </w:p>
    <w:p w14:paraId="500FC71A" w14:textId="77777777" w:rsidR="0048679D" w:rsidRPr="00A538DD" w:rsidRDefault="0048679D">
      <w:pPr>
        <w:pStyle w:val="R3"/>
      </w:pPr>
      <w:r w:rsidRPr="00A538DD">
        <w:t>Arbetsprocess för rapporten finansiell stabilitet</w:t>
      </w:r>
    </w:p>
    <w:p w14:paraId="085616E0" w14:textId="77777777" w:rsidR="0048679D" w:rsidRPr="00A538DD" w:rsidRDefault="0048679D">
      <w:r w:rsidRPr="00A538DD">
        <w:t>Riksbankens möjlighet att förebygga störningar i banksystemet och i infr</w:t>
      </w:r>
      <w:r w:rsidRPr="00A538DD">
        <w:t>a</w:t>
      </w:r>
      <w:r w:rsidRPr="00A538DD">
        <w:t>strukturen bygger i huvudsak på bankens förmåga att i sin analys identifiera risker samt att påverka de aktörer som är viktiga för stabiliteten i det finans</w:t>
      </w:r>
      <w:r w:rsidRPr="00A538DD">
        <w:t>i</w:t>
      </w:r>
      <w:r w:rsidRPr="00A538DD">
        <w:t xml:space="preserve">ella systemet. Till aktörerna hör banker, den systemviktiga infrastrukturen, lagstiftare och internationella institutioner. Hög trovärdighet för Riksbanken är en förutsättning för att kunna påverka. Detta kräver bl.a. god kompetens och stor öppenhet hos Riksbanken. </w:t>
      </w:r>
    </w:p>
    <w:p w14:paraId="69B84E76" w14:textId="77777777" w:rsidR="0048679D" w:rsidRPr="00A538DD" w:rsidRDefault="0048679D">
      <w:pPr>
        <w:pStyle w:val="Normaltindrag"/>
      </w:pPr>
      <w:r w:rsidRPr="00A538DD">
        <w:t>I den finansiella stabilitetsrapport som ges ut två gånger per år, redovisar Riksbanken</w:t>
      </w:r>
      <w:r w:rsidRPr="00A538DD">
        <w:t>s direktion sin bedömning av stabiliteten i det finansiella syst</w:t>
      </w:r>
      <w:r w:rsidRPr="00A538DD">
        <w:t>e</w:t>
      </w:r>
      <w:r w:rsidRPr="00A538DD">
        <w:t xml:space="preserve">met. Rapporten syftar bl.a. till att skapa debatt om stabilitetsfrågorna och att påverka de för stabiliteten viktiga aktörerna. I de återkommande kapitlen redovisas bedömningar av risker i omvärlden som kan påverka banksystemet, låntagarkategoriernas betalningsförmåga samt motståndskraften i bankerna. De för infrastrukturen viktiga systemen utvärderas löpande. </w:t>
      </w:r>
    </w:p>
    <w:p w14:paraId="5EA702D2" w14:textId="77777777" w:rsidR="0048679D" w:rsidRPr="00A538DD" w:rsidRDefault="0048679D">
      <w:pPr>
        <w:pStyle w:val="Normaltindrag"/>
      </w:pPr>
      <w:r w:rsidRPr="00A538DD">
        <w:t>I rapporterna publiceras också artiklar som behandlar ämnen som har rel</w:t>
      </w:r>
      <w:r w:rsidRPr="00A538DD">
        <w:t>e</w:t>
      </w:r>
      <w:r w:rsidRPr="00A538DD">
        <w:t xml:space="preserve">vans för stabiliteten och effektiviteten i det finansiella systemet. </w:t>
      </w:r>
    </w:p>
    <w:p w14:paraId="48241917" w14:textId="77777777" w:rsidR="0048679D" w:rsidRPr="00A538DD" w:rsidRDefault="0048679D">
      <w:pPr>
        <w:pStyle w:val="R3"/>
      </w:pPr>
      <w:r w:rsidRPr="00A538DD">
        <w:t>Internationellt arbete, forskning och remisser</w:t>
      </w:r>
    </w:p>
    <w:p w14:paraId="2BE3694A" w14:textId="77777777" w:rsidR="0048679D" w:rsidRPr="00A538DD" w:rsidRDefault="0048679D">
      <w:r w:rsidRPr="00A538DD">
        <w:t>Betalningsströmmarna över gränserna har ökat påtagligt under det senaste decenniet och det internationella finansiella systemet har därmed blivit all</w:t>
      </w:r>
      <w:r w:rsidRPr="00A538DD">
        <w:t>t</w:t>
      </w:r>
      <w:r w:rsidRPr="00A538DD">
        <w:t>mer sammanlänkat. Gränsöverskridande bankverksamhet och samägd infr</w:t>
      </w:r>
      <w:r w:rsidRPr="00A538DD">
        <w:t>a</w:t>
      </w:r>
      <w:r w:rsidRPr="00A538DD">
        <w:t>struktur har blivit vanligare.  För att skapa gemensamma regelverk och rutiner och därigenom säkra stabiliteten i de finansiella systemen förekommer ett omfattande internationellt samarbete. För Riksbankens del är samarbetet inom EU och Bank for International Settlements (BIS) av särskild betydelse. Rik</w:t>
      </w:r>
      <w:r w:rsidRPr="00A538DD">
        <w:t>s</w:t>
      </w:r>
      <w:r w:rsidRPr="00A538DD">
        <w:t>banken samarbetar även med centralbanker och tillsynsmyndigheter i framför allt de nordiska länderna där samma banker och infrastruktur är</w:t>
      </w:r>
      <w:r w:rsidRPr="00A538DD">
        <w:t xml:space="preserve"> systemvikt</w:t>
      </w:r>
      <w:r w:rsidRPr="00A538DD">
        <w:t>i</w:t>
      </w:r>
      <w:r w:rsidRPr="00A538DD">
        <w:t>ga. Riksbankens ställning som svenskt kontaktorgan gentemot Internationella valutafonden (IMF) medför goda möjligheter att följa utvecklingen av den finansiella stabiliteten i andra länder och i det internationella monetära och finansiella systemet.</w:t>
      </w:r>
    </w:p>
    <w:p w14:paraId="4E4AFEDE" w14:textId="77777777" w:rsidR="0048679D" w:rsidRPr="00A538DD" w:rsidRDefault="0048679D">
      <w:pPr>
        <w:pStyle w:val="Normaltindrag"/>
      </w:pPr>
      <w:r w:rsidRPr="00A538DD">
        <w:t>För att öka kompetensen och upprätthålla hög analytisk nivå bedriver Riksbanken även forskning inom områden som har relevans för finansiell stabil</w:t>
      </w:r>
      <w:r w:rsidRPr="00A538DD">
        <w:t>i</w:t>
      </w:r>
      <w:r w:rsidRPr="00A538DD">
        <w:t xml:space="preserve">tet. </w:t>
      </w:r>
    </w:p>
    <w:p w14:paraId="2E207353" w14:textId="77777777" w:rsidR="0048679D" w:rsidRPr="00A538DD" w:rsidRDefault="0048679D">
      <w:pPr>
        <w:pStyle w:val="Normaltindrag"/>
      </w:pPr>
      <w:r w:rsidRPr="00A538DD">
        <w:t xml:space="preserve">Som remissinstans påverkar Riksbanken utformningen av regelverken för de svenska finansiella företagen. </w:t>
      </w:r>
    </w:p>
    <w:p w14:paraId="2DF5077A" w14:textId="77777777" w:rsidR="0048679D" w:rsidRPr="00A538DD" w:rsidRDefault="0048679D">
      <w:pPr>
        <w:pStyle w:val="R2"/>
        <w:spacing w:before="0"/>
      </w:pPr>
      <w:r w:rsidRPr="00A538DD">
        <w:br w:type="page"/>
        <w:t>Verksamheten 2004</w:t>
      </w:r>
    </w:p>
    <w:p w14:paraId="2C2CA25F" w14:textId="77777777" w:rsidR="0048679D" w:rsidRPr="00A538DD" w:rsidRDefault="0048679D">
      <w:pPr>
        <w:spacing w:before="125"/>
      </w:pPr>
      <w:r w:rsidRPr="00A538DD">
        <w:t>De två finansiella stabilitetsrapporter som gavs ut under året</w:t>
      </w:r>
      <w:commentRangeStart w:id="13"/>
      <w:commentRangeEnd w:id="13"/>
      <w:r w:rsidRPr="00A538DD">
        <w:rPr>
          <w:rStyle w:val="Kommentarsreferens"/>
          <w:i/>
          <w:sz w:val="19"/>
        </w:rPr>
        <w:commentReference w:id="13"/>
      </w:r>
      <w:r w:rsidRPr="00A538DD">
        <w:rPr>
          <w:i/>
        </w:rPr>
        <w:t xml:space="preserve"> </w:t>
      </w:r>
      <w:r w:rsidRPr="00A538DD">
        <w:t>tecknade en förhållandevis ljus bild av utvecklingen i banksystemet. De svenska sto</w:t>
      </w:r>
      <w:r w:rsidRPr="00A538DD">
        <w:t>r</w:t>
      </w:r>
      <w:r w:rsidRPr="00A538DD">
        <w:t>bankerna förbättrade sin lönsamhet och därmed sin förmåga att klara ovänt</w:t>
      </w:r>
      <w:r w:rsidRPr="00A538DD">
        <w:t>a</w:t>
      </w:r>
      <w:r w:rsidRPr="00A538DD">
        <w:t>de förluster. Bankernas primärkapital, som utgör en buffert om stora förluster skulle realiseras, växte under året. Riksbankens bedömning var att den gyn</w:t>
      </w:r>
      <w:r w:rsidRPr="00A538DD">
        <w:t>n</w:t>
      </w:r>
      <w:r w:rsidRPr="00A538DD">
        <w:t>samma konjunkturbilden minskade risken för att bankernas låntagare skulle åsamka bankerna stora kreditförluster under den närmaste framtiden. Den bilden gäller bankernas kunder i såväl Sverige som öv</w:t>
      </w:r>
      <w:r w:rsidRPr="00A538DD">
        <w:t xml:space="preserve">riga Europa. </w:t>
      </w:r>
    </w:p>
    <w:p w14:paraId="475DE230" w14:textId="77777777" w:rsidR="0048679D" w:rsidRPr="00A538DD" w:rsidRDefault="0048679D">
      <w:pPr>
        <w:pStyle w:val="Normaltindrag"/>
      </w:pPr>
      <w:r w:rsidRPr="00A538DD">
        <w:t>Hushållens fortsatt starka skulduppbyggnad var i fokus under hela 2004 och Riksbanken gjorde därför i flera sammanhang fördjupade analyser av denna fråga. Hushållens lån tycktes främst ha använts för köp av bostäder, vilket återspeglades i att småhuspriserna ökade i takt med hushållsupplånin</w:t>
      </w:r>
      <w:r w:rsidRPr="00A538DD">
        <w:t>g</w:t>
      </w:r>
      <w:r w:rsidRPr="00A538DD">
        <w:t>en. Drivkrafterna bakom den höga efterfrågan på lån och bostäder antogs främst ha varit stigande inkomster och låga räntor. Hushållens skulder up</w:t>
      </w:r>
      <w:r w:rsidRPr="00A538DD">
        <w:t>p</w:t>
      </w:r>
      <w:r w:rsidRPr="00A538DD">
        <w:t>gick i slutet av 2004 till 120 % av deras disponibla inkomster, vilket sett i ett historiskt perspektiv var högt men lägre än i början av 1990-talet. Den låga räntenivån innebar emellertid att hushållens ränteutgifter efter skatt utgjorde en förhållandevis liten andel, mindre än 4 %, av deras disponibla inkomster. Hushållens skuldsättning har under året inte hell</w:t>
      </w:r>
      <w:r w:rsidRPr="00A538DD">
        <w:t>er ökat i förhållande till hu</w:t>
      </w:r>
      <w:r w:rsidRPr="00A538DD">
        <w:t>s</w:t>
      </w:r>
      <w:r w:rsidRPr="00A538DD">
        <w:t>hållens reala och finansiella förmögenhet. Samtidigt som skulderna stiger ökar också hushållens tillgångar, huvudsakligen till följd av prisutvecklingen på bostäder. Hushållens betalningsförmåga bedömdes vara god till följd av såväl låga räntekostnader som hög real och finansiell förmögenhet. En studie baserad på ett urval av hushåll bekräftade att denna bild också gällde när enbart de skuldsatta hushållen studerades. De hushåll som hade stora skulder hade enligt denna studie v</w:t>
      </w:r>
      <w:r w:rsidRPr="00A538DD">
        <w:t>äl tilltagna marginaler och inte ens rejält stigande räntenivåer eller arbetslöshet bedömdes allvarligt öka riskerna i banksyst</w:t>
      </w:r>
      <w:r w:rsidRPr="00A538DD">
        <w:t>e</w:t>
      </w:r>
      <w:r w:rsidRPr="00A538DD">
        <w:t xml:space="preserve">met. </w:t>
      </w:r>
    </w:p>
    <w:p w14:paraId="77BB36CF" w14:textId="77777777" w:rsidR="0048679D" w:rsidRPr="00A538DD" w:rsidRDefault="0048679D">
      <w:pPr>
        <w:pStyle w:val="Normaltindrag"/>
      </w:pPr>
      <w:r w:rsidRPr="00A538DD">
        <w:t>I 2004 års andra rapport diskuterades konsekvenserna av bankernas tren</w:t>
      </w:r>
      <w:r w:rsidRPr="00A538DD">
        <w:t>d</w:t>
      </w:r>
      <w:r w:rsidRPr="00A538DD">
        <w:t>mässigt ökande beroende av finansiering på de internationella kapitalmarkn</w:t>
      </w:r>
      <w:r w:rsidRPr="00A538DD">
        <w:t>a</w:t>
      </w:r>
      <w:r w:rsidRPr="00A538DD">
        <w:t>derna i takt med att allmänhetens bankinlåning minskar. Utvecklingen, som pågått under lång tid, har lett till att bankerna diversifierat sin finansiering, vilket i sig kan ha minskat deras sårbarhet. Men möjligheten att erhålla lån från den internationella kapitalmarknaden kan snabbt försvinna om misstro mot en bank uppstår, vilket bl.a. erfarenheterna från den svenska bankkrisen 1992 visar. Om en sådan misstro från utländska långi</w:t>
      </w:r>
      <w:r w:rsidRPr="00A538DD">
        <w:t xml:space="preserve">vares sida skulle uppstå mot en specifik svensk bank kan det få återverkningar på hela banksystemet. </w:t>
      </w:r>
    </w:p>
    <w:p w14:paraId="64328833" w14:textId="77777777" w:rsidR="0048679D" w:rsidRPr="00A538DD" w:rsidRDefault="0048679D">
      <w:pPr>
        <w:pStyle w:val="Diagramrubrik"/>
        <w:ind w:left="0" w:firstLine="0"/>
        <w:rPr>
          <w:sz w:val="16"/>
        </w:rPr>
      </w:pPr>
      <w:r w:rsidRPr="00A538DD">
        <w:br w:type="page"/>
      </w:r>
      <w:r w:rsidRPr="00A538DD">
        <w:rPr>
          <w:sz w:val="16"/>
        </w:rPr>
        <w:t>Diagram 7. Resultat före kreditförluster samt kreditfö</w:t>
      </w:r>
      <w:r w:rsidRPr="00A538DD">
        <w:rPr>
          <w:sz w:val="16"/>
        </w:rPr>
        <w:t>r</w:t>
      </w:r>
      <w:r w:rsidRPr="00A538DD">
        <w:rPr>
          <w:sz w:val="16"/>
        </w:rPr>
        <w:t>luster (netto) i storbankerna</w:t>
      </w:r>
    </w:p>
    <w:p w14:paraId="01A0070A" w14:textId="77777777" w:rsidR="0048679D" w:rsidRPr="00A538DD" w:rsidRDefault="0048679D">
      <w:pPr>
        <w:rPr>
          <w:sz w:val="16"/>
        </w:rPr>
      </w:pPr>
      <w:r w:rsidRPr="00A538DD">
        <w:rPr>
          <w:sz w:val="16"/>
        </w:rPr>
        <w:t xml:space="preserve">Summerat över fyra kvartal, miljarder kronor, 2004 års priser </w:t>
      </w:r>
    </w:p>
    <w:p w14:paraId="733ABD6E" w14:textId="57F98DFB" w:rsidR="0048679D" w:rsidRPr="00A538DD" w:rsidRDefault="00A538DD">
      <w:r w:rsidRPr="00A538DD">
        <w:rPr>
          <w:noProof/>
        </w:rPr>
        <w:drawing>
          <wp:inline distT="0" distB="0" distL="0" distR="0" wp14:anchorId="7B41DB43" wp14:editId="21125953">
            <wp:extent cx="3831590" cy="234061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31590" cy="2340610"/>
                    </a:xfrm>
                    <a:prstGeom prst="rect">
                      <a:avLst/>
                    </a:prstGeom>
                    <a:noFill/>
                    <a:ln>
                      <a:noFill/>
                    </a:ln>
                  </pic:spPr>
                </pic:pic>
              </a:graphicData>
            </a:graphic>
          </wp:inline>
        </w:drawing>
      </w:r>
    </w:p>
    <w:p w14:paraId="2F822B03" w14:textId="77777777" w:rsidR="0048679D" w:rsidRPr="00A538DD" w:rsidRDefault="0048679D">
      <w:pPr>
        <w:pStyle w:val="Fotnotstextindrag"/>
        <w:rPr>
          <w:sz w:val="16"/>
        </w:rPr>
      </w:pPr>
      <w:r w:rsidRPr="00A538DD">
        <w:rPr>
          <w:sz w:val="16"/>
        </w:rPr>
        <w:t>Källor: Bankernas resultatrapporter och Riksbanken</w:t>
      </w:r>
    </w:p>
    <w:p w14:paraId="2FB8CF75" w14:textId="77777777" w:rsidR="0048679D" w:rsidRPr="00A538DD" w:rsidRDefault="0048679D">
      <w:pPr>
        <w:pStyle w:val="Diagramrubrik"/>
        <w:ind w:left="0" w:firstLine="0"/>
        <w:rPr>
          <w:sz w:val="16"/>
        </w:rPr>
      </w:pPr>
      <w:r w:rsidRPr="00A538DD">
        <w:rPr>
          <w:sz w:val="16"/>
        </w:rPr>
        <w:t>Diagram 8. Hushållens skulder och räntebetalningar i fö</w:t>
      </w:r>
      <w:r w:rsidRPr="00A538DD">
        <w:rPr>
          <w:sz w:val="16"/>
        </w:rPr>
        <w:t>r</w:t>
      </w:r>
      <w:r w:rsidRPr="00A538DD">
        <w:rPr>
          <w:sz w:val="16"/>
        </w:rPr>
        <w:t>hållande till disponibel i</w:t>
      </w:r>
      <w:r w:rsidRPr="00A538DD">
        <w:rPr>
          <w:sz w:val="16"/>
        </w:rPr>
        <w:t>n</w:t>
      </w:r>
      <w:r w:rsidRPr="00A538DD">
        <w:rPr>
          <w:sz w:val="16"/>
        </w:rPr>
        <w:t xml:space="preserve">komst </w:t>
      </w:r>
    </w:p>
    <w:p w14:paraId="5FFB8C46" w14:textId="77777777" w:rsidR="0048679D" w:rsidRPr="00A538DD" w:rsidRDefault="0048679D">
      <w:pPr>
        <w:rPr>
          <w:sz w:val="16"/>
        </w:rPr>
      </w:pPr>
      <w:r w:rsidRPr="00A538DD">
        <w:rPr>
          <w:sz w:val="16"/>
        </w:rPr>
        <w:t>Procent</w:t>
      </w:r>
    </w:p>
    <w:p w14:paraId="5041524A" w14:textId="72338118" w:rsidR="0048679D" w:rsidRPr="00A538DD" w:rsidRDefault="00A538DD">
      <w:r w:rsidRPr="00A538DD">
        <w:rPr>
          <w:noProof/>
        </w:rPr>
        <w:drawing>
          <wp:inline distT="0" distB="0" distL="0" distR="0" wp14:anchorId="288589CF" wp14:editId="535B575E">
            <wp:extent cx="3717290" cy="226441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17290" cy="2264410"/>
                    </a:xfrm>
                    <a:prstGeom prst="rect">
                      <a:avLst/>
                    </a:prstGeom>
                    <a:noFill/>
                    <a:ln>
                      <a:noFill/>
                    </a:ln>
                  </pic:spPr>
                </pic:pic>
              </a:graphicData>
            </a:graphic>
          </wp:inline>
        </w:drawing>
      </w:r>
    </w:p>
    <w:p w14:paraId="74FEBA32" w14:textId="77777777" w:rsidR="0048679D" w:rsidRPr="00A538DD" w:rsidRDefault="0048679D">
      <w:pPr>
        <w:pStyle w:val="Fotnotstextindrag"/>
        <w:rPr>
          <w:rFonts w:ascii="Syntax" w:hAnsi="Syntax"/>
          <w:sz w:val="16"/>
        </w:rPr>
      </w:pPr>
      <w:r w:rsidRPr="00A538DD">
        <w:rPr>
          <w:sz w:val="16"/>
        </w:rPr>
        <w:t>Källor: SCB och Riksbanken</w:t>
      </w:r>
    </w:p>
    <w:p w14:paraId="6B39FDC8" w14:textId="77777777" w:rsidR="0048679D" w:rsidRPr="00A538DD" w:rsidRDefault="0048679D">
      <w:pPr>
        <w:spacing w:before="187"/>
      </w:pPr>
      <w:r w:rsidRPr="00A538DD">
        <w:t>Under 2004 fortsatte Riksbanken utvärderingen av den finansiella infrastru</w:t>
      </w:r>
      <w:r w:rsidRPr="00A538DD">
        <w:t>k</w:t>
      </w:r>
      <w:r w:rsidRPr="00A538DD">
        <w:t>turen.</w:t>
      </w:r>
      <w:commentRangeStart w:id="14"/>
      <w:commentRangeEnd w:id="14"/>
      <w:r w:rsidRPr="00A538DD">
        <w:rPr>
          <w:rStyle w:val="Kommentarsreferens"/>
          <w:sz w:val="19"/>
        </w:rPr>
        <w:commentReference w:id="14"/>
      </w:r>
      <w:r w:rsidRPr="00A538DD">
        <w:t xml:space="preserve"> En grundlig utvärdering av Stockholmsbörsen genomfördes för första gången. Slutsatsen var att regelverk och tekniska system i allt väsentligt uppfyllde de internationellt överenskomna kraven. Efter de utvärderingar som tidigare har gjorts av Riksbankens betalningssystem RIX, Bankgirocentralen och Värdepapperscentralen har nu samtliga centrala system i den finansiella infrastrukturen utvärderats en första gång. Avsikten är att löpande göra up</w:t>
      </w:r>
      <w:r w:rsidRPr="00A538DD">
        <w:t>p</w:t>
      </w:r>
      <w:r w:rsidRPr="00A538DD">
        <w:t xml:space="preserve">följningar av utvärderingarna.  </w:t>
      </w:r>
    </w:p>
    <w:p w14:paraId="2AC9D7F8" w14:textId="77777777" w:rsidR="0048679D" w:rsidRPr="00A538DD" w:rsidRDefault="0048679D">
      <w:pPr>
        <w:pStyle w:val="Normaltindrag"/>
      </w:pPr>
      <w:r w:rsidRPr="00A538DD">
        <w:t>En utvärdering av kronans första</w:t>
      </w:r>
      <w:r w:rsidRPr="00A538DD">
        <w:t xml:space="preserve"> år som deltagare i Continuous Linked Settlement (CLS) redovisades i 2004 års andra stabilitetsrapport. CLS är ett system för avveckling av valutatransaktioner. Utvärderingen visade att vissa risker hade ökat efter införandet av CLS, t.ex. att snäva inbetalningsscheman ställer höga krav på deltagarnas likviditetsplanering samt hanteringen av operativa risker. De nya riskerna är dock små jämfört med de betydande säkerhetsvinster som det nya avvecklingssystemet medfört.     </w:t>
      </w:r>
    </w:p>
    <w:p w14:paraId="1C6F17BE" w14:textId="77777777" w:rsidR="0048679D" w:rsidRPr="00A538DD" w:rsidRDefault="0048679D">
      <w:pPr>
        <w:pStyle w:val="Normaltindrag"/>
      </w:pPr>
      <w:r w:rsidRPr="00A538DD">
        <w:t>Under 2004 genomfördes en krisövni</w:t>
      </w:r>
      <w:r w:rsidRPr="00A538DD">
        <w:t>ng tillsammans med Finansinspekti</w:t>
      </w:r>
      <w:r w:rsidRPr="00A538DD">
        <w:t>o</w:t>
      </w:r>
      <w:r w:rsidRPr="00A538DD">
        <w:t>nen för att identifiera problem som uppstår när en bank med gränsöverskr</w:t>
      </w:r>
      <w:r w:rsidRPr="00A538DD">
        <w:t>i</w:t>
      </w:r>
      <w:r w:rsidRPr="00A538DD">
        <w:t>dande verksamhet drabbas av störningar. Övningen bidrog till att tydliggöra Rik</w:t>
      </w:r>
      <w:r w:rsidRPr="00A538DD">
        <w:t>s</w:t>
      </w:r>
      <w:r w:rsidRPr="00A538DD">
        <w:t xml:space="preserve">bankens och Finansinspektionens olika roller vid en akut kris. </w:t>
      </w:r>
    </w:p>
    <w:p w14:paraId="6CEE94E9" w14:textId="77777777" w:rsidR="0048679D" w:rsidRPr="00A538DD" w:rsidRDefault="0048679D">
      <w:pPr>
        <w:pStyle w:val="R3"/>
      </w:pPr>
      <w:r w:rsidRPr="00A538DD">
        <w:t>Internationellt arbete, forskning och remisser</w:t>
      </w:r>
    </w:p>
    <w:p w14:paraId="17D39406" w14:textId="77777777" w:rsidR="0048679D" w:rsidRPr="00A538DD" w:rsidRDefault="0048679D">
      <w:r w:rsidRPr="00A538DD">
        <w:t>Efter många års förberedelser nåddes i juni 2004 en principöverenskommelse om nya kapitaltäckningsregler för banker (”Basel II”) som godkändes av centralbankscheferna och cheferna för banktillsynsmyndigheterna i G10-länderna. Avsikten är att de nya reglerna ska tillämpas från utgången av 2006. Basel II kommer att lägga större ansvar på bankerna att utarbeta och införa omfattande system för att mäta och hantera risker och kapital. De nya regle</w:t>
      </w:r>
      <w:r w:rsidRPr="00A538DD">
        <w:t>r</w:t>
      </w:r>
      <w:r w:rsidRPr="00A538DD">
        <w:t>na kommer att öka kraven på såväl banker som centralbanker och tillsyn</w:t>
      </w:r>
      <w:r w:rsidRPr="00A538DD">
        <w:t>s</w:t>
      </w:r>
      <w:r w:rsidRPr="00A538DD">
        <w:t xml:space="preserve">myndigheter.  </w:t>
      </w:r>
    </w:p>
    <w:p w14:paraId="2AE27AE1" w14:textId="77777777" w:rsidR="0048679D" w:rsidRPr="00A538DD" w:rsidRDefault="0048679D">
      <w:pPr>
        <w:pStyle w:val="Normaltindrag"/>
      </w:pPr>
      <w:r w:rsidRPr="00A538DD">
        <w:t>Riksbanken har under året deltagit i olika fora inom EU som diskuterat de problem centralbanker och tillsynsmyndigheter kan komma att ställas inför när bankverksamhet och ägandet av infrastrukturen blir allt mer gränsöve</w:t>
      </w:r>
      <w:r w:rsidRPr="00A538DD">
        <w:t>r</w:t>
      </w:r>
      <w:r w:rsidRPr="00A538DD">
        <w:t>skridande. En representant från Riksbanken leder en arbetsgrupp som arbetar med frågor kring hanteringen av finansiella kriser i banker med gränsöve</w:t>
      </w:r>
      <w:r w:rsidRPr="00A538DD">
        <w:t>r</w:t>
      </w:r>
      <w:r w:rsidRPr="00A538DD">
        <w:t xml:space="preserve">skridande verksamhet. </w:t>
      </w:r>
    </w:p>
    <w:p w14:paraId="4D90D544" w14:textId="77777777" w:rsidR="0048679D" w:rsidRPr="00A538DD" w:rsidRDefault="0048679D">
      <w:pPr>
        <w:pStyle w:val="Normaltindrag"/>
      </w:pPr>
      <w:r w:rsidRPr="00A538DD">
        <w:t>Inom ramen för samarbetet i BIS och G10 leder representanter från Rik</w:t>
      </w:r>
      <w:r w:rsidRPr="00A538DD">
        <w:t>s</w:t>
      </w:r>
      <w:r w:rsidRPr="00A538DD">
        <w:t>banken arbetsgrupper med fokus på olika länders sätt att finansiera bostäder, övervakning av den finansiella strukturen samt översyn av standarder för banktillsyn.</w:t>
      </w:r>
    </w:p>
    <w:p w14:paraId="48526F23" w14:textId="77777777" w:rsidR="0048679D" w:rsidRPr="00A538DD" w:rsidRDefault="0048679D">
      <w:pPr>
        <w:pStyle w:val="Normaltindrag"/>
      </w:pPr>
      <w:r w:rsidRPr="00A538DD">
        <w:t>Riksbanken bedriver även praktiskt inriktad</w:t>
      </w:r>
      <w:r w:rsidRPr="00A538DD">
        <w:rPr>
          <w:i/>
        </w:rPr>
        <w:t xml:space="preserve"> </w:t>
      </w:r>
      <w:r w:rsidRPr="00A538DD">
        <w:t>forskning</w:t>
      </w:r>
      <w:r w:rsidRPr="00A538DD">
        <w:rPr>
          <w:b/>
        </w:rPr>
        <w:t xml:space="preserve"> </w:t>
      </w:r>
      <w:r w:rsidRPr="00A538DD">
        <w:t>om effektiviteten i betalningssystemen. En forskningsstudie rörande svenska bankers kostnader i samband med produktionen av betalningstjänster visar att de avgifter banke</w:t>
      </w:r>
      <w:r w:rsidRPr="00A538DD">
        <w:t>r</w:t>
      </w:r>
      <w:r w:rsidRPr="00A538DD">
        <w:t>na tillämpar inte fullt ut avspeglar produktionskostnaderna. Därmed sätts en av prismekanismens viktigaste uppgifter ur funktion, det vill säga att ge ko</w:t>
      </w:r>
      <w:r w:rsidRPr="00A538DD">
        <w:t>n</w:t>
      </w:r>
      <w:r w:rsidRPr="00A538DD">
        <w:t>sumenterna den information de behöver för att göra rationella val. Resultatet tyder på att bankernas prissättning kan ha gynnat användningen av bl.a. ko</w:t>
      </w:r>
      <w:r w:rsidRPr="00A538DD">
        <w:t>n</w:t>
      </w:r>
      <w:r w:rsidRPr="00A538DD">
        <w:t xml:space="preserve">tanter på bekostnad av </w:t>
      </w:r>
      <w:r w:rsidRPr="00A538DD">
        <w:t xml:space="preserve">betalningar med bankkort. Denna analys presenterades i årets andra stabilitetsrapport. </w:t>
      </w:r>
    </w:p>
    <w:p w14:paraId="1D7E7EF6" w14:textId="77777777" w:rsidR="0048679D" w:rsidRPr="00A538DD" w:rsidRDefault="0048679D">
      <w:pPr>
        <w:pStyle w:val="Normaltindrag"/>
      </w:pPr>
      <w:r w:rsidRPr="00A538DD">
        <w:t>Riksbanken arrangerade i augusti 2004 en internationell forskningskonf</w:t>
      </w:r>
      <w:r w:rsidRPr="00A538DD">
        <w:t>e</w:t>
      </w:r>
      <w:r w:rsidRPr="00A538DD">
        <w:t>rens på temat ”Bankverksamhet, finansiell stabilitet och konjunkturcykeln”. Syftet var att få frågeställningar om samspelet mellan det finansiella systemet och penningpolitiken belysta. Under senare år har kopplingen mellan ban</w:t>
      </w:r>
      <w:r w:rsidRPr="00A538DD">
        <w:t>k</w:t>
      </w:r>
      <w:r w:rsidRPr="00A538DD">
        <w:t>sektorn och makroekonomin samt konsekvenser för den finansiella stabilit</w:t>
      </w:r>
      <w:r w:rsidRPr="00A538DD">
        <w:t>e</w:t>
      </w:r>
      <w:r w:rsidRPr="00A538DD">
        <w:t xml:space="preserve">ten fått ökad uppmärksamhet i den akademiska litteraturen. </w:t>
      </w:r>
    </w:p>
    <w:p w14:paraId="18D976C4" w14:textId="77777777" w:rsidR="0048679D" w:rsidRPr="00A538DD" w:rsidRDefault="0048679D">
      <w:pPr>
        <w:pStyle w:val="Normaltindrag"/>
        <w:rPr>
          <w:b/>
        </w:rPr>
      </w:pPr>
      <w:r w:rsidRPr="00A538DD">
        <w:t>Riksbanken har under 2004 avgivit 18 remissvar</w:t>
      </w:r>
      <w:r w:rsidRPr="00A538DD">
        <w:rPr>
          <w:b/>
          <w:i/>
        </w:rPr>
        <w:t xml:space="preserve"> </w:t>
      </w:r>
      <w:r w:rsidRPr="00A538DD">
        <w:t>och dess medarbetare har deltagit i sex statliga utredningar inom områden relaterade till finansiell st</w:t>
      </w:r>
      <w:r w:rsidRPr="00A538DD">
        <w:t>a</w:t>
      </w:r>
      <w:r w:rsidRPr="00A538DD">
        <w:t xml:space="preserve">bilitet och effektivitet. Se Riksbankens remissyttranden på s. 89–93. </w:t>
      </w:r>
    </w:p>
    <w:p w14:paraId="69ADF70C" w14:textId="77777777" w:rsidR="0048679D" w:rsidRPr="00A538DD" w:rsidRDefault="0048679D">
      <w:pPr>
        <w:pStyle w:val="R3"/>
      </w:pPr>
      <w:r w:rsidRPr="00A538DD">
        <w:t xml:space="preserve">Uppföljning av Riksbankens arbete för att främja finansiell stabilitet </w:t>
      </w:r>
    </w:p>
    <w:p w14:paraId="51EB69E4" w14:textId="77777777" w:rsidR="0048679D" w:rsidRPr="00A538DD" w:rsidRDefault="0048679D">
      <w:r w:rsidRPr="00A538DD">
        <w:t>Det finns inget enkelt sätt att bedöma om Riksbanken har fullföljt sitt uppdrag inom stabilitetsområdet eller inte. Det finansiella systemet är stabilt så länge det kan upprätthålla sina samhällsekonomiskt viktiga funktioner. Först om det uppstår en allvarlig störning går det att konstatera att uppdraget inte kunnat fullföljas. Frånvaro av allvarliga kriser kan dock inte självklart tolkas som att Riksbanken har fullföljt sitt uppdrag eftersom det kan ta mycket lång tid innan systemrisker resulterar i en kr</w:t>
      </w:r>
      <w:r w:rsidRPr="00A538DD">
        <w:t>is. Därför måste även en värdering göras om stabilitetsanalysen fokuserat på rätt frågor och dragit rätt slutsatser, om kommunikationen varit tillräckligt god och om beredskapen kan anses til</w:t>
      </w:r>
      <w:r w:rsidRPr="00A538DD">
        <w:t>l</w:t>
      </w:r>
      <w:r w:rsidRPr="00A538DD">
        <w:t>räcklig för att hantera en f</w:t>
      </w:r>
      <w:r w:rsidRPr="00A538DD">
        <w:t>i</w:t>
      </w:r>
      <w:r w:rsidRPr="00A538DD">
        <w:t>nansiell kris effektivt.</w:t>
      </w:r>
    </w:p>
    <w:p w14:paraId="4F4A2432" w14:textId="77777777" w:rsidR="0048679D" w:rsidRPr="00A538DD" w:rsidRDefault="0048679D">
      <w:pPr>
        <w:pStyle w:val="Normaltindrag"/>
      </w:pPr>
      <w:r w:rsidRPr="00A538DD">
        <w:t>Riksbanken tog under 2004 hjälp utifrån för en utvärdering av rappo</w:t>
      </w:r>
      <w:r w:rsidRPr="00A538DD">
        <w:t>r</w:t>
      </w:r>
      <w:r w:rsidRPr="00A538DD">
        <w:t>ten</w:t>
      </w:r>
      <w:commentRangeStart w:id="15"/>
      <w:commentRangeEnd w:id="15"/>
      <w:r w:rsidRPr="00A538DD">
        <w:rPr>
          <w:rStyle w:val="Kommentarsreferens"/>
          <w:sz w:val="19"/>
        </w:rPr>
        <w:commentReference w:id="15"/>
      </w:r>
      <w:r w:rsidRPr="00A538DD">
        <w:t xml:space="preserve"> om finansiell stabilitet. En grupp av externa experter, bestående av en professor från University of Pennsylvania, en erfaren IMF-tjänsteman och en chef från en svensk affärsbank, har redovisat sina synpunkter i en rapport. Deras bedömning var att Riksbankens stabilitetsarbete är relevant och att det fokuserar på rätt frågor. Enligt expertrapporten uppgav de stora svenska ba</w:t>
      </w:r>
      <w:r w:rsidRPr="00A538DD">
        <w:t>n</w:t>
      </w:r>
      <w:r w:rsidRPr="00A538DD">
        <w:t>kerna att de tagit intryck av den analys som publicerats i stabilitetsrapporte</w:t>
      </w:r>
      <w:r w:rsidRPr="00A538DD">
        <w:t>r</w:t>
      </w:r>
      <w:r w:rsidRPr="00A538DD">
        <w:t xml:space="preserve">na. </w:t>
      </w:r>
    </w:p>
    <w:p w14:paraId="6A5B803B" w14:textId="77777777" w:rsidR="0048679D" w:rsidRPr="00A538DD" w:rsidRDefault="0048679D">
      <w:pPr>
        <w:pStyle w:val="Normaltindrag"/>
      </w:pPr>
      <w:r w:rsidRPr="00A538DD">
        <w:t>De förslag till förbättringar som expertgruppen l</w:t>
      </w:r>
      <w:r w:rsidRPr="00A538DD">
        <w:t>agt fram har diskuterats och vissa förslag beaktades i 2004 års andra stabilitetsrapport. Dit hör en tydligare beskrivning av Riksbankens mål inom området finansiell stabilitet samt gränsdragningen gentemot Finansinspektionens arbete.</w:t>
      </w:r>
    </w:p>
    <w:p w14:paraId="5353511E" w14:textId="77777777" w:rsidR="0048679D" w:rsidRPr="00A538DD" w:rsidRDefault="0048679D">
      <w:pPr>
        <w:pStyle w:val="Normaltindrag"/>
      </w:pPr>
      <w:r w:rsidRPr="00A538DD">
        <w:t>Den rekommendation som expertgruppen ansåg vara den viktigaste var att Riksbanken bör introducera ett återkommande kapitel om aktuella frågor av mer politisk karaktär som påverkar stabiliteten i det finansiella systemet. Riksbanken delar den uppfattningen och överväger att fra</w:t>
      </w:r>
      <w:r w:rsidRPr="00A538DD">
        <w:t>möver redovisa ett sådant kapitel i stabil</w:t>
      </w:r>
      <w:r w:rsidRPr="00A538DD">
        <w:t>i</w:t>
      </w:r>
      <w:r w:rsidRPr="00A538DD">
        <w:t xml:space="preserve">tetsrapporten någon gång om året. </w:t>
      </w:r>
    </w:p>
    <w:p w14:paraId="3E5BC523" w14:textId="77777777" w:rsidR="0048679D" w:rsidRPr="00A538DD" w:rsidRDefault="0048679D">
      <w:pPr>
        <w:pStyle w:val="Normaltindrag"/>
      </w:pPr>
      <w:r w:rsidRPr="00A538DD">
        <w:t>En annan rekommendation var att Riksbanken borde vidga sin ansats i övervakningen och ägna mer uppmärksamhet åt andra delar av det finansiella systemet än enbart storbankerna och den centrala infrastrukturen. Det är något som Riksbanken har för avsikt att göra om det är relevant för stabilitetsanal</w:t>
      </w:r>
      <w:r w:rsidRPr="00A538DD">
        <w:t>y</w:t>
      </w:r>
      <w:r w:rsidRPr="00A538DD">
        <w:t>sen. Bankerna måste dock även fortsättningsvis stå i fokus för analysen av den finansiella stabiliteten. Ökad internationell bevakning var en annan r</w:t>
      </w:r>
      <w:r w:rsidRPr="00A538DD">
        <w:t>e</w:t>
      </w:r>
      <w:r w:rsidRPr="00A538DD">
        <w:t xml:space="preserve">kommendation som stämmer väl överens med det utvecklingsarbete som Riksbanken ser framför sig. </w:t>
      </w:r>
    </w:p>
    <w:p w14:paraId="61A6B65D" w14:textId="77777777" w:rsidR="0048679D" w:rsidRPr="00A538DD" w:rsidRDefault="0048679D">
      <w:pPr>
        <w:pStyle w:val="Normaltindrag"/>
      </w:pPr>
      <w:r w:rsidRPr="00A538DD">
        <w:t>Den krisövning som genomfördes under 2004 tydliggjorde Riksbankens och Finansinspektionens olika roller vid en akut kris. Krisövningen visade också på de oklarheter om rollfördelningen mellan olika länders myndigheter som kan uppstå till följd av att bankernas verk</w:t>
      </w:r>
      <w:r w:rsidRPr="00A538DD">
        <w:t>samhet är gränsöverskridande. De lärdomar som drogs av övningen har därför bidragit till att förbättra kri</w:t>
      </w:r>
      <w:r w:rsidRPr="00A538DD">
        <w:t>s</w:t>
      </w:r>
      <w:r w:rsidRPr="00A538DD">
        <w:t xml:space="preserve">beredskapen.  </w:t>
      </w:r>
    </w:p>
    <w:p w14:paraId="53AF0824" w14:textId="77777777" w:rsidR="0048679D" w:rsidRPr="00A538DD" w:rsidRDefault="0048679D">
      <w:pPr>
        <w:pStyle w:val="R1"/>
        <w:spacing w:before="500"/>
      </w:pPr>
      <w:r w:rsidRPr="00A538DD">
        <w:t xml:space="preserve">Betalningssystem     </w:t>
      </w:r>
    </w:p>
    <w:p w14:paraId="7CD83EAB" w14:textId="77777777" w:rsidR="0048679D" w:rsidRPr="00A538DD" w:rsidRDefault="0048679D">
      <w:pPr>
        <w:pStyle w:val="R2"/>
        <w:spacing w:before="0"/>
      </w:pPr>
      <w:r w:rsidRPr="00A538DD">
        <w:t>Verksamhetsbeskrivning</w:t>
      </w:r>
    </w:p>
    <w:p w14:paraId="0EE90E0D" w14:textId="77777777" w:rsidR="0048679D" w:rsidRPr="00A538DD" w:rsidRDefault="0048679D">
      <w:r w:rsidRPr="00A538DD">
        <w:t xml:space="preserve">Riksbankens system för avveckling av betalningar, RIX-systemet, kan sägas vara knutpunkten i det svenska betalningssystemet. Samtliga betalningar mellan banker och andra aktörer hanteras slutligen genom RIX. RIX </w:t>
      </w:r>
      <w:commentRangeStart w:id="16"/>
      <w:commentRangeEnd w:id="16"/>
      <w:r w:rsidRPr="00A538DD">
        <w:rPr>
          <w:rStyle w:val="Kommentarsreferens"/>
          <w:sz w:val="19"/>
        </w:rPr>
        <w:commentReference w:id="16"/>
      </w:r>
      <w:r w:rsidRPr="00A538DD">
        <w:t xml:space="preserve">har för närvarande 19 deltagare. </w:t>
      </w:r>
    </w:p>
    <w:p w14:paraId="1DCCB9CE" w14:textId="77777777" w:rsidR="0048679D" w:rsidRPr="00A538DD" w:rsidRDefault="0048679D">
      <w:pPr>
        <w:pStyle w:val="Normaltindrag"/>
      </w:pPr>
      <w:r w:rsidRPr="00A538DD">
        <w:t>RIX-systemet består av två parallella system, ett för avveckling av beta</w:t>
      </w:r>
      <w:r w:rsidRPr="00A538DD">
        <w:t>l</w:t>
      </w:r>
      <w:r w:rsidRPr="00A538DD">
        <w:t>ningar i svenska kronor (K-RIX) och ett för avveckling av betalningar i euro (E-RIX). E-RIX-systemet är anslutet till det europiska centralbankssystemets betalningssystem TARGET, vilket möjliggör betalningar mellan banker i hela EU. Avveckling av betalningar i RIX sker enligt principen om bruttoavvec</w:t>
      </w:r>
      <w:r w:rsidRPr="00A538DD">
        <w:t>k</w:t>
      </w:r>
      <w:r w:rsidRPr="00A538DD">
        <w:t xml:space="preserve">ling i realtid (real time gross settlement, RTGS).  </w:t>
      </w:r>
    </w:p>
    <w:p w14:paraId="5200C656" w14:textId="77777777" w:rsidR="0048679D" w:rsidRPr="00A538DD" w:rsidRDefault="0048679D">
      <w:pPr>
        <w:pStyle w:val="Normaltindrag"/>
      </w:pPr>
      <w:r w:rsidRPr="00A538DD">
        <w:t>Riksbanken har formulerat följande mål för RIX-systemet:</w:t>
      </w:r>
    </w:p>
    <w:p w14:paraId="02C5BB6B" w14:textId="77777777" w:rsidR="0048679D" w:rsidRPr="00A538DD" w:rsidRDefault="0048679D">
      <w:pPr>
        <w:numPr>
          <w:ilvl w:val="0"/>
          <w:numId w:val="19"/>
        </w:numPr>
        <w:tabs>
          <w:tab w:val="clear" w:pos="720"/>
          <w:tab w:val="num" w:pos="284"/>
        </w:tabs>
        <w:ind w:left="284" w:hanging="284"/>
      </w:pPr>
      <w:r w:rsidRPr="00A538DD">
        <w:t>Systemet ska under ett kalenderår vara tillgängligt 99,9 % under ö</w:t>
      </w:r>
      <w:r w:rsidRPr="00A538DD">
        <w:t>p</w:t>
      </w:r>
      <w:r w:rsidRPr="00A538DD">
        <w:t xml:space="preserve">pettid. </w:t>
      </w:r>
    </w:p>
    <w:p w14:paraId="76B3BA1B" w14:textId="77777777" w:rsidR="0048679D" w:rsidRPr="00A538DD" w:rsidRDefault="0048679D">
      <w:pPr>
        <w:numPr>
          <w:ilvl w:val="0"/>
          <w:numId w:val="19"/>
        </w:numPr>
        <w:tabs>
          <w:tab w:val="clear" w:pos="720"/>
          <w:tab w:val="num" w:pos="284"/>
        </w:tabs>
        <w:ind w:left="284" w:hanging="284"/>
      </w:pPr>
      <w:r w:rsidRPr="00A538DD">
        <w:t>Kundnöjdheten ska ligga över genomsnittet för statliga myndigh</w:t>
      </w:r>
      <w:r w:rsidRPr="00A538DD">
        <w:t>e</w:t>
      </w:r>
      <w:r w:rsidRPr="00A538DD">
        <w:t>ter.</w:t>
      </w:r>
    </w:p>
    <w:p w14:paraId="67F78D87" w14:textId="77777777" w:rsidR="0048679D" w:rsidRPr="00A538DD" w:rsidRDefault="0048679D">
      <w:pPr>
        <w:numPr>
          <w:ilvl w:val="0"/>
          <w:numId w:val="19"/>
        </w:numPr>
        <w:tabs>
          <w:tab w:val="clear" w:pos="720"/>
          <w:tab w:val="num" w:pos="284"/>
        </w:tabs>
        <w:ind w:left="284" w:hanging="284"/>
      </w:pPr>
      <w:r w:rsidRPr="00A538DD">
        <w:t xml:space="preserve">K-RIX ska uppnå kostnadstäckning genom avgifter från deltagarna.  </w:t>
      </w:r>
    </w:p>
    <w:p w14:paraId="1EFD5E38" w14:textId="77777777" w:rsidR="0048679D" w:rsidRPr="00A538DD" w:rsidRDefault="0048679D">
      <w:pPr>
        <w:pStyle w:val="R2"/>
        <w:spacing w:before="375"/>
      </w:pPr>
      <w:r w:rsidRPr="00A538DD">
        <w:t>Verksamheten 2004</w:t>
      </w:r>
    </w:p>
    <w:p w14:paraId="79144C94" w14:textId="77777777" w:rsidR="0048679D" w:rsidRPr="00A538DD" w:rsidRDefault="0048679D">
      <w:r w:rsidRPr="00A538DD">
        <w:t xml:space="preserve">Den dagliga omslutningen var i genomsnitt 421 miljarder kronor i K-RIX och </w:t>
      </w:r>
    </w:p>
    <w:p w14:paraId="1ACAB97C" w14:textId="77777777" w:rsidR="0048679D" w:rsidRPr="00A538DD" w:rsidRDefault="0048679D">
      <w:r w:rsidRPr="00A538DD">
        <w:t>7 miljarder euro i E-RIX under 2004. Omslutningen i K-RIX minskade dä</w:t>
      </w:r>
      <w:r w:rsidRPr="00A538DD">
        <w:t>r</w:t>
      </w:r>
      <w:r w:rsidRPr="00A538DD">
        <w:t xml:space="preserve">med något i förhållande till föregående år, vilket huvudsakligen beror på ändrade betalningsmönster till följd av att den svenska kronan inkluderats i Continuous Linked Settlement (CLS) för avveckling av valutatransaktioner. </w:t>
      </w:r>
    </w:p>
    <w:p w14:paraId="6E3A9D4A" w14:textId="77777777" w:rsidR="0048679D" w:rsidRPr="00A538DD" w:rsidRDefault="0048679D">
      <w:pPr>
        <w:pStyle w:val="Normaltindrag"/>
      </w:pPr>
      <w:r w:rsidRPr="00A538DD">
        <w:t>Under 2004 slutfördes ett projekt för att införa ny teknik för kommunik</w:t>
      </w:r>
      <w:r w:rsidRPr="00A538DD">
        <w:t>a</w:t>
      </w:r>
      <w:r w:rsidRPr="00A538DD">
        <w:t>tion via SWIFT i betalningssystemet. SWIFT är ett internationellt överen</w:t>
      </w:r>
      <w:r w:rsidRPr="00A538DD">
        <w:t>s</w:t>
      </w:r>
      <w:r w:rsidRPr="00A538DD">
        <w:t>kommet format för elektroniskt överförda betalningsmeddelanden.</w:t>
      </w:r>
    </w:p>
    <w:p w14:paraId="59B11884" w14:textId="77777777" w:rsidR="0048679D" w:rsidRPr="00A538DD" w:rsidRDefault="0048679D">
      <w:pPr>
        <w:pStyle w:val="Normaltindrag"/>
      </w:pPr>
      <w:r w:rsidRPr="00A538DD">
        <w:t>RIX-systemet togs i drift 1990 och behöver ersättas med ett modernare s</w:t>
      </w:r>
      <w:r w:rsidRPr="00A538DD">
        <w:t>y</w:t>
      </w:r>
      <w:r w:rsidRPr="00A538DD">
        <w:t xml:space="preserve">stem.  Under 2004 </w:t>
      </w:r>
      <w:commentRangeStart w:id="17"/>
      <w:commentRangeEnd w:id="17"/>
      <w:r w:rsidRPr="00A538DD">
        <w:rPr>
          <w:rStyle w:val="Kommentarsreferens"/>
          <w:sz w:val="19"/>
        </w:rPr>
        <w:commentReference w:id="17"/>
      </w:r>
      <w:r w:rsidRPr="00A538DD">
        <w:t>påbörjades därför ett projekt som syftar till att senast 2007 ersätta det nuvarande systemet för betalningar i kronor (K-RIX). Det nya systemet ska bättre motsvara användarnas krav och ska också vara lån</w:t>
      </w:r>
      <w:r w:rsidRPr="00A538DD">
        <w:t>g</w:t>
      </w:r>
      <w:r w:rsidRPr="00A538DD">
        <w:t>siktigt mer kostnadseffektivt samtidigt som det ska ha minst samma säke</w:t>
      </w:r>
      <w:r w:rsidRPr="00A538DD">
        <w:t>r</w:t>
      </w:r>
      <w:r w:rsidRPr="00A538DD">
        <w:t xml:space="preserve">hetsnivå som nuvarande system. Arbetet med att ta fram krav på systemet bedrivs i nära samarbete med de institutioner som är anslutna till RIX-systemet. </w:t>
      </w:r>
    </w:p>
    <w:p w14:paraId="7A066ADF" w14:textId="77777777" w:rsidR="0048679D" w:rsidRPr="00A538DD" w:rsidRDefault="0048679D">
      <w:pPr>
        <w:pStyle w:val="Normaltindrag"/>
      </w:pPr>
      <w:r w:rsidRPr="00A538DD">
        <w:t>Riksbanken deltog under året även i ett projekt inom det europeiska ce</w:t>
      </w:r>
      <w:r w:rsidRPr="00A538DD">
        <w:t>n</w:t>
      </w:r>
      <w:r w:rsidRPr="00A538DD">
        <w:t xml:space="preserve">tralbankssystemet som syftar till att ersätta det nuvarande TARGET-systemet för avveckling av betalningar i euro med ett nytt centralt avvecklingssystem för EU-ländernas centralbanker. </w:t>
      </w:r>
      <w:commentRangeStart w:id="18"/>
      <w:commentRangeEnd w:id="18"/>
      <w:r w:rsidRPr="00A538DD">
        <w:rPr>
          <w:rStyle w:val="Kommentarsreferens"/>
          <w:sz w:val="19"/>
        </w:rPr>
        <w:commentReference w:id="18"/>
      </w:r>
    </w:p>
    <w:p w14:paraId="633EF4EE" w14:textId="77777777" w:rsidR="0048679D" w:rsidRPr="00A538DD" w:rsidRDefault="0048679D">
      <w:pPr>
        <w:pStyle w:val="R2"/>
        <w:spacing w:before="375"/>
      </w:pPr>
      <w:r w:rsidRPr="00A538DD">
        <w:t>Uppföljning av Riksbankens verksamhet inom betalningssystem</w:t>
      </w:r>
    </w:p>
    <w:p w14:paraId="01473B7C" w14:textId="77777777" w:rsidR="0048679D" w:rsidRPr="00A538DD" w:rsidRDefault="0048679D">
      <w:r w:rsidRPr="00A538DD">
        <w:t>Tillgängligheten i RIX-systemet uppgick till 99,7 % under 2004, vilket är något lägre än det uppsatta målet 99,9 %. Det beror främst på vissa störningar i anslutning till införandet av ny teknik, bl.a. för kommunikation via SWIFT. Den senaste mätningen av kundnöjdheten gjordes 2003 och visade ett resultat väsentligt högre än det uppsatta målet. Målet om full kostnad</w:t>
      </w:r>
      <w:r w:rsidRPr="00A538DD">
        <w:t>s</w:t>
      </w:r>
      <w:r w:rsidRPr="00A538DD">
        <w:t xml:space="preserve">täckning för K-RIX uppnåddes under 2004. </w:t>
      </w:r>
    </w:p>
    <w:p w14:paraId="24C1C28A" w14:textId="77777777" w:rsidR="0048679D" w:rsidRPr="00A538DD" w:rsidRDefault="0048679D">
      <w:pPr>
        <w:pStyle w:val="R1"/>
      </w:pPr>
      <w:r w:rsidRPr="00A538DD">
        <w:br w:type="page"/>
        <w:t xml:space="preserve">Kontantförsörjning </w:t>
      </w:r>
    </w:p>
    <w:p w14:paraId="3850EE58" w14:textId="77777777" w:rsidR="0048679D" w:rsidRPr="00A538DD" w:rsidRDefault="0048679D">
      <w:pPr>
        <w:pStyle w:val="R2"/>
        <w:spacing w:before="0"/>
      </w:pPr>
      <w:r w:rsidRPr="00A538DD">
        <w:t>Verksamhetsbeskrivning</w:t>
      </w:r>
    </w:p>
    <w:p w14:paraId="13D46C84" w14:textId="77777777" w:rsidR="0048679D" w:rsidRPr="00A538DD" w:rsidRDefault="0048679D">
      <w:pPr>
        <w:rPr>
          <w:b/>
        </w:rPr>
      </w:pPr>
      <w:r w:rsidRPr="00A538DD">
        <w:t>Enligt riksbankslagen ska Riksbanken svara för landets försörjning av sedlar och mynt. Riksbanken har ensamrätt på att ge ut sedlar och mynt och b</w:t>
      </w:r>
      <w:r w:rsidRPr="00A538DD">
        <w:t>e</w:t>
      </w:r>
      <w:r w:rsidRPr="00A538DD">
        <w:t>stämma utformningen av dessa. Under de senaste decennierna har kontan</w:t>
      </w:r>
      <w:r w:rsidRPr="00A538DD">
        <w:t>t</w:t>
      </w:r>
      <w:r w:rsidRPr="00A538DD">
        <w:t xml:space="preserve">hanteringsmarknaden i Sverige genomgått stora förändringar. I enlighet med Riksbankens strategi att fokusera på kärnverksamheterna, och i syfte att bidra till en effektivisering av kontanthanteringen i samhället, har Riksbanken successivt minskat sitt engagemang i den operativa verksamheten. </w:t>
      </w:r>
    </w:p>
    <w:p w14:paraId="5753CB22" w14:textId="77777777" w:rsidR="0048679D" w:rsidRPr="00A538DD" w:rsidRDefault="0048679D">
      <w:pPr>
        <w:pStyle w:val="R2"/>
      </w:pPr>
      <w:r w:rsidRPr="00A538DD">
        <w:t>Verksamheten 2004</w:t>
      </w:r>
    </w:p>
    <w:p w14:paraId="44A4C69F" w14:textId="77777777" w:rsidR="0048679D" w:rsidRPr="00A538DD" w:rsidRDefault="0048679D">
      <w:pPr>
        <w:pStyle w:val="R3"/>
      </w:pPr>
      <w:r w:rsidRPr="00A538DD">
        <w:t>Kontanthantering</w:t>
      </w:r>
    </w:p>
    <w:p w14:paraId="0064917D" w14:textId="77777777" w:rsidR="0048679D" w:rsidRPr="00A538DD" w:rsidRDefault="0048679D">
      <w:r w:rsidRPr="00A538DD">
        <w:t>Under 2004 fattade Riksbanken beslut om ytterligare effektivisering av ko</w:t>
      </w:r>
      <w:r w:rsidRPr="00A538DD">
        <w:t>n</w:t>
      </w:r>
      <w:r w:rsidRPr="00A538DD">
        <w:t>tantförsörjningen och en renodling av Riksbankens roll. En intern utredning fastställde principer som ska vara vägledande för Riksbankens roll i kontan</w:t>
      </w:r>
      <w:r w:rsidRPr="00A538DD">
        <w:t>t</w:t>
      </w:r>
      <w:r w:rsidRPr="00A538DD">
        <w:t>hanteringen. Beslut fattades i enlighet med utredningens rekommendationer att Riksbanken ska begränsa sitt ansvar till att</w:t>
      </w:r>
    </w:p>
    <w:p w14:paraId="2D2E2614" w14:textId="77777777" w:rsidR="0048679D" w:rsidRPr="00A538DD" w:rsidRDefault="0048679D">
      <w:pPr>
        <w:numPr>
          <w:ilvl w:val="0"/>
          <w:numId w:val="69"/>
        </w:numPr>
      </w:pPr>
      <w:r w:rsidRPr="00A538DD">
        <w:t>tillhandahålla ett kontoföringssystem (bankernas konton i Riksba</w:t>
      </w:r>
      <w:r w:rsidRPr="00A538DD">
        <w:t>n</w:t>
      </w:r>
      <w:r w:rsidRPr="00A538DD">
        <w:t>ken)</w:t>
      </w:r>
    </w:p>
    <w:p w14:paraId="5E77938C" w14:textId="77777777" w:rsidR="0048679D" w:rsidRPr="00A538DD" w:rsidRDefault="0048679D">
      <w:pPr>
        <w:numPr>
          <w:ilvl w:val="0"/>
          <w:numId w:val="69"/>
        </w:numPr>
      </w:pPr>
      <w:r w:rsidRPr="00A538DD">
        <w:t>utveckla och designa sedlar och mynt</w:t>
      </w:r>
    </w:p>
    <w:p w14:paraId="2C64589F" w14:textId="77777777" w:rsidR="0048679D" w:rsidRPr="00A538DD" w:rsidRDefault="0048679D">
      <w:pPr>
        <w:numPr>
          <w:ilvl w:val="0"/>
          <w:numId w:val="69"/>
        </w:numPr>
      </w:pPr>
      <w:r w:rsidRPr="00A538DD">
        <w:t>upphandla sedlar och mynt</w:t>
      </w:r>
    </w:p>
    <w:p w14:paraId="20A8A1C8" w14:textId="77777777" w:rsidR="0048679D" w:rsidRPr="00A538DD" w:rsidRDefault="0048679D">
      <w:pPr>
        <w:numPr>
          <w:ilvl w:val="0"/>
          <w:numId w:val="69"/>
        </w:numPr>
      </w:pPr>
      <w:r w:rsidRPr="00A538DD">
        <w:t>hålla lager av sedlar och mynt</w:t>
      </w:r>
    </w:p>
    <w:p w14:paraId="00533D38" w14:textId="77777777" w:rsidR="0048679D" w:rsidRPr="00A538DD" w:rsidRDefault="0048679D">
      <w:pPr>
        <w:numPr>
          <w:ilvl w:val="0"/>
          <w:numId w:val="69"/>
        </w:numPr>
      </w:pPr>
      <w:r w:rsidRPr="00A538DD">
        <w:t>utföra transporter från leverantör till Riksbankens lager</w:t>
      </w:r>
    </w:p>
    <w:p w14:paraId="14602C5E" w14:textId="77777777" w:rsidR="0048679D" w:rsidRPr="00A538DD" w:rsidRDefault="0048679D">
      <w:pPr>
        <w:numPr>
          <w:ilvl w:val="0"/>
          <w:numId w:val="69"/>
        </w:numPr>
      </w:pPr>
      <w:r w:rsidRPr="00A538DD">
        <w:t>kontrollera äktheten framför allt i samband med makulering av sedlar</w:t>
      </w:r>
    </w:p>
    <w:p w14:paraId="4892CD45" w14:textId="77777777" w:rsidR="0048679D" w:rsidRPr="00A538DD" w:rsidRDefault="0048679D">
      <w:pPr>
        <w:numPr>
          <w:ilvl w:val="0"/>
          <w:numId w:val="69"/>
        </w:numPr>
      </w:pPr>
      <w:r w:rsidRPr="00A538DD">
        <w:t>upprätthålla tillfredsställande sedelkvalitet</w:t>
      </w:r>
    </w:p>
    <w:p w14:paraId="42D99DF9" w14:textId="77777777" w:rsidR="0048679D" w:rsidRPr="00A538DD" w:rsidRDefault="0048679D">
      <w:pPr>
        <w:numPr>
          <w:ilvl w:val="0"/>
          <w:numId w:val="69"/>
        </w:numPr>
      </w:pPr>
      <w:r w:rsidRPr="00A538DD">
        <w:t>lösa in defekta och ogiltiga sedlar och mynt</w:t>
      </w:r>
    </w:p>
    <w:p w14:paraId="318E3791" w14:textId="77777777" w:rsidR="0048679D" w:rsidRPr="00A538DD" w:rsidRDefault="0048679D">
      <w:pPr>
        <w:numPr>
          <w:ilvl w:val="0"/>
          <w:numId w:val="69"/>
        </w:numPr>
      </w:pPr>
      <w:r w:rsidRPr="00A538DD">
        <w:t>makulera uttjänta sedlar.</w:t>
      </w:r>
    </w:p>
    <w:p w14:paraId="37F694E9" w14:textId="77777777" w:rsidR="0048679D" w:rsidRPr="00A538DD" w:rsidRDefault="0048679D">
      <w:pPr>
        <w:spacing w:before="187"/>
      </w:pPr>
      <w:r w:rsidRPr="00A538DD">
        <w:t>Den 1 oktober 2004 överfördes verksamheten i Riksbankens bolag Svensk Kontantförsörjning AB (SKAB) till Riksbanken för att samordnas med Rik</w:t>
      </w:r>
      <w:r w:rsidRPr="00A538DD">
        <w:t>s</w:t>
      </w:r>
      <w:r w:rsidRPr="00A538DD">
        <w:t>bankens egen verksamhet inom kontantförsörjningsområdet. För mer info</w:t>
      </w:r>
      <w:r w:rsidRPr="00A538DD">
        <w:t>r</w:t>
      </w:r>
      <w:r w:rsidRPr="00A538DD">
        <w:t xml:space="preserve">mation om Riksbankens bolag, se s. 59–60. </w:t>
      </w:r>
    </w:p>
    <w:p w14:paraId="09BB8351" w14:textId="77777777" w:rsidR="0048679D" w:rsidRPr="00A538DD" w:rsidRDefault="0048679D">
      <w:pPr>
        <w:pStyle w:val="Normaltindrag"/>
      </w:pPr>
      <w:r w:rsidRPr="00A538DD">
        <w:t>Från att i början av 1980-talet ha haft kontor i nästan samtliga län, och så sent som 1998 på elva orter, har antalet riksbankskontor med operativ ko</w:t>
      </w:r>
      <w:r w:rsidRPr="00A538DD">
        <w:t>n</w:t>
      </w:r>
      <w:r w:rsidRPr="00A538DD">
        <w:t xml:space="preserve">tanthantering nu reducerats till fyra: Stockholm/Tumba, Mölndal, Malmö och Härnösand. </w:t>
      </w:r>
    </w:p>
    <w:p w14:paraId="79A977A4" w14:textId="77777777" w:rsidR="0048679D" w:rsidRPr="00A538DD" w:rsidRDefault="0048679D">
      <w:pPr>
        <w:pStyle w:val="Normaltindrag"/>
      </w:pPr>
      <w:r w:rsidRPr="00A538DD">
        <w:t>I enlighet med utredningens förslag fattades ett inriktningsbeslut om att även avveckla kontoren i Härnösand och Malmö under 2005. Samtidigt b</w:t>
      </w:r>
      <w:r w:rsidRPr="00A538DD">
        <w:t>e</w:t>
      </w:r>
      <w:r w:rsidRPr="00A538DD">
        <w:t>slutade Riksbanken att erbjuda bankerna möjlighet att etablera privata depåer för in- och utlämning av kontanter. Bankerna har föreslagits få räntekompe</w:t>
      </w:r>
      <w:r w:rsidRPr="00A538DD">
        <w:t>n</w:t>
      </w:r>
      <w:r w:rsidRPr="00A538DD">
        <w:t>sation från Riksbanken för de kontanter som hålls i dessa privata depåer. Förfarandet kan likställas med dagens så kallade valutering där bankerna undviker en räntekostnad då de återlämnar kontanter till Riksbanken. Genom att bankerna erhåller räntekompensation för kontanter i dessa depåer undviks onödiga transporter till och från Riksbankens kontor. Banke</w:t>
      </w:r>
      <w:r w:rsidRPr="00A538DD">
        <w:t xml:space="preserve">rna har samverkat med Riksbanken i detta arbete. Under hösten 2004 påbörjades ett arbete med att analysera behovet av kontantdepåer.  </w:t>
      </w:r>
    </w:p>
    <w:p w14:paraId="755FB7C6" w14:textId="77777777" w:rsidR="0048679D" w:rsidRPr="00A538DD" w:rsidRDefault="0048679D">
      <w:pPr>
        <w:pStyle w:val="R3"/>
      </w:pPr>
      <w:r w:rsidRPr="00A538DD">
        <w:t>Sedlar och mynt</w:t>
      </w:r>
    </w:p>
    <w:p w14:paraId="741A2807" w14:textId="77777777" w:rsidR="0048679D" w:rsidRPr="00A538DD" w:rsidRDefault="0048679D">
      <w:r w:rsidRPr="00A538DD">
        <w:t>Svenska sedlar förfalskas i relativt liten omfattning i internationell jämförelse. Sedan 100- och 500-kronorssedlarnas säkerhetsnivå höjdes har det dock skett en ökning av antalet förfalskade 50-kronorssedlar. Även 1000-kronorssed</w:t>
      </w:r>
      <w:r w:rsidRPr="00A538DD">
        <w:softHyphen/>
        <w:t>larna har tidvis utsatts för förfalskningar. Riksbanken beslutade därför under 2004 att höja säkerhetsnivån på 50- och 1000-kronorssedlarna. Riksbanken fattade också beslut om att ge ut en 20-kronorssedel med mer slitstarkt pa</w:t>
      </w:r>
      <w:r w:rsidRPr="00A538DD">
        <w:t>p</w:t>
      </w:r>
      <w:r w:rsidRPr="00A538DD">
        <w:t xml:space="preserve">per. Denna åtgärd syftar till att förbättra kvaliteten på 20-kronorssedlarna som tenderar att slitas fortare än övriga sedlar. </w:t>
      </w:r>
    </w:p>
    <w:p w14:paraId="2A7E938C" w14:textId="77777777" w:rsidR="0048679D" w:rsidRPr="00A538DD" w:rsidRDefault="0048679D">
      <w:pPr>
        <w:pStyle w:val="Normaltindrag"/>
      </w:pPr>
      <w:r w:rsidRPr="00A538DD">
        <w:t>Under 2004 fattades därtill beslut</w:t>
      </w:r>
      <w:commentRangeStart w:id="19"/>
      <w:commentRangeEnd w:id="19"/>
      <w:r w:rsidRPr="00A538DD">
        <w:rPr>
          <w:rStyle w:val="Kommentarsreferens"/>
          <w:sz w:val="19"/>
        </w:rPr>
        <w:commentReference w:id="19"/>
      </w:r>
      <w:r w:rsidRPr="00A538DD">
        <w:t xml:space="preserve"> om att tre sedlar ska ogiltigförklaras vid utgången av 2005: de äldre 100- respektive 500-kronorssedlarna (utan folieband) samt de äldre större 20-kronorssedlarna. Även de äldre silverfärg</w:t>
      </w:r>
      <w:r w:rsidRPr="00A538DD">
        <w:t>a</w:t>
      </w:r>
      <w:r w:rsidRPr="00A538DD">
        <w:t xml:space="preserve">de 50-öringarna kommer att ogiltigförklaras vid utgången av 2005. </w:t>
      </w:r>
    </w:p>
    <w:p w14:paraId="54EF3734" w14:textId="77777777" w:rsidR="0048679D" w:rsidRPr="00A538DD" w:rsidRDefault="0048679D">
      <w:pPr>
        <w:pStyle w:val="Normaltindrag"/>
      </w:pPr>
      <w:r w:rsidRPr="00A538DD">
        <w:t xml:space="preserve">Riksbanken gav under året ut minnesmynt för att högtidlighålla 250-årsjubileet av Kungliga Slottet i Stockholm. </w:t>
      </w:r>
    </w:p>
    <w:p w14:paraId="78259B75" w14:textId="77777777" w:rsidR="0048679D" w:rsidRPr="00A538DD" w:rsidRDefault="0048679D">
      <w:pPr>
        <w:pStyle w:val="R3"/>
        <w:rPr>
          <w:i/>
        </w:rPr>
      </w:pPr>
      <w:r w:rsidRPr="00A538DD">
        <w:t xml:space="preserve">Uppföljning av Riksbankens verksamhet inom kontantförsörjning </w:t>
      </w:r>
    </w:p>
    <w:p w14:paraId="55C9C1FA" w14:textId="77777777" w:rsidR="0048679D" w:rsidRPr="00A538DD" w:rsidRDefault="0048679D">
      <w:r w:rsidRPr="00A538DD">
        <w:t>Riksbankens kontanthanteringsverksamhet befinner sig i en omstrukturering</w:t>
      </w:r>
      <w:r w:rsidRPr="00A538DD">
        <w:t>s</w:t>
      </w:r>
      <w:r w:rsidRPr="00A538DD">
        <w:t xml:space="preserve">fas som kommer att ta ytterligare några år att avsluta. </w:t>
      </w:r>
    </w:p>
    <w:p w14:paraId="38237202" w14:textId="77777777" w:rsidR="0048679D" w:rsidRPr="00A538DD" w:rsidRDefault="0048679D">
      <w:pPr>
        <w:pStyle w:val="Normaltindrag"/>
      </w:pPr>
      <w:r w:rsidRPr="00A538DD">
        <w:t xml:space="preserve">Under 2004 fungerade försörjningen av kontanter i samhället väl. Stocken av utelöpande sedlar och mynt har trendmässigt ökat med ca 3–4 % per år under den senaste tioårsperioden men vid slutet av 2004 avtog ökningstakten. Vid utgången av året var stocken i stort sett den samma som ett år tidigare, ca 109 miljarder kronor. </w:t>
      </w:r>
    </w:p>
    <w:p w14:paraId="42D97691" w14:textId="77777777" w:rsidR="0048679D" w:rsidRPr="00A538DD" w:rsidRDefault="0048679D">
      <w:pPr>
        <w:pStyle w:val="Normaltindrag"/>
        <w:jc w:val="left"/>
        <w:sectPr w:rsidR="00000000" w:rsidRPr="00A538DD">
          <w:pgSz w:w="11906" w:h="16838" w:code="9"/>
          <w:pgMar w:top="907" w:right="4649" w:bottom="4508" w:left="1304" w:header="340" w:footer="227" w:gutter="0"/>
          <w:cols w:space="720"/>
          <w:titlePg/>
        </w:sectPr>
      </w:pPr>
      <w:r w:rsidRPr="00A538DD">
        <w:t>I februari 2003 genomfördes en förändring av villkoren för in- och utlä</w:t>
      </w:r>
      <w:r w:rsidRPr="00A538DD">
        <w:t>m</w:t>
      </w:r>
      <w:r w:rsidRPr="00A538DD">
        <w:t>ning av kontanter vid Riksbankens/SKAB:s kontor. Förändringen syftade till att åstadkomma en effektivare hantering av kontanter i samhället genom att minska det ekonomiska incitamentet för bankerna att lämna in sedlar till Riksbanken över natten enbart i syfte att erhålla ränta på behållningen. Till följd av detta minskade in- och utlämningen av kontanter vid Riksba</w:t>
      </w:r>
      <w:r w:rsidRPr="00A538DD">
        <w:t>n</w:t>
      </w:r>
      <w:r w:rsidRPr="00A538DD">
        <w:t>kens/SKAB:s kontor kraftigt. Den låga in- och utlämningsfrekvensen bestod under 2004.</w:t>
      </w:r>
    </w:p>
    <w:p w14:paraId="2BA6693A" w14:textId="77777777" w:rsidR="0048679D" w:rsidRPr="00A538DD" w:rsidRDefault="0048679D">
      <w:pPr>
        <w:pStyle w:val="Rubrik1"/>
        <w:spacing w:after="120"/>
        <w:rPr>
          <w:noProof w:val="0"/>
        </w:rPr>
      </w:pPr>
      <w:bookmarkStart w:id="20" w:name="_Toc97613753"/>
      <w:r w:rsidRPr="00A538DD">
        <w:rPr>
          <w:noProof w:val="0"/>
        </w:rPr>
        <w:t>Finansiell struktur, förvaltning och riskhantering</w:t>
      </w:r>
      <w:bookmarkEnd w:id="20"/>
      <w:r w:rsidRPr="00A538DD">
        <w:rPr>
          <w:noProof w:val="0"/>
        </w:rPr>
        <w:t xml:space="preserve"> </w:t>
      </w:r>
    </w:p>
    <w:p w14:paraId="2A1F93AA" w14:textId="77777777" w:rsidR="0048679D" w:rsidRPr="00A538DD" w:rsidRDefault="0048679D">
      <w:pPr>
        <w:pStyle w:val="LagtextRubrik"/>
        <w:spacing w:before="62" w:after="0" w:line="250" w:lineRule="atLeast"/>
      </w:pPr>
      <w:r w:rsidRPr="00A538DD">
        <w:t>Med utgångspunkt i Riksbankens olika uppdrag kan balansräkningen funkti</w:t>
      </w:r>
      <w:r w:rsidRPr="00A538DD">
        <w:t>o</w:t>
      </w:r>
      <w:r w:rsidRPr="00A538DD">
        <w:t>nellt delas upp i fyra olika poster: sedlar och mynt, eget kapital, guld- och valutareserv samt tillgångar i kronor. De båda första återfinns på balansrä</w:t>
      </w:r>
      <w:r w:rsidRPr="00A538DD">
        <w:t>k</w:t>
      </w:r>
      <w:r w:rsidRPr="00A538DD">
        <w:t>ningens skuldsida och de båda sen</w:t>
      </w:r>
      <w:r w:rsidRPr="00A538DD">
        <w:t>a</w:t>
      </w:r>
      <w:r w:rsidRPr="00A538DD">
        <w:t xml:space="preserve">re på dess tillgångssida. </w:t>
      </w:r>
    </w:p>
    <w:p w14:paraId="1870A013" w14:textId="77777777" w:rsidR="0048679D" w:rsidRPr="00A538DD" w:rsidRDefault="0048679D">
      <w:pPr>
        <w:pStyle w:val="R2"/>
      </w:pPr>
      <w:r w:rsidRPr="00A538DD">
        <w:t>Finansiell struktur</w:t>
      </w:r>
    </w:p>
    <w:p w14:paraId="33B9BF09" w14:textId="77777777" w:rsidR="0048679D" w:rsidRPr="00A538DD" w:rsidRDefault="0048679D">
      <w:r w:rsidRPr="00A538DD">
        <w:t>Skuldsidan i Riksbankens balansräkning är i praktiken inte påverkbar på kort sikt. Mängden sedlar och mynt i samhället bestäms av allmänhetens efterfr</w:t>
      </w:r>
      <w:r w:rsidRPr="00A538DD">
        <w:t>å</w:t>
      </w:r>
      <w:r w:rsidRPr="00A538DD">
        <w:t>gan, och det egna kapitalets storlek bestäms av Riksbankens redovisade r</w:t>
      </w:r>
      <w:r w:rsidRPr="00A538DD">
        <w:t>e</w:t>
      </w:r>
      <w:r w:rsidRPr="00A538DD">
        <w:t xml:space="preserve">sultat och vinstutdelning. Skuldsidan styr således storleken på Riksbankens samlade tillgångar. </w:t>
      </w:r>
    </w:p>
    <w:p w14:paraId="77E296B4" w14:textId="77777777" w:rsidR="0048679D" w:rsidRPr="00A538DD" w:rsidRDefault="0048679D">
      <w:pPr>
        <w:rPr>
          <w:b/>
          <w:sz w:val="20"/>
        </w:rPr>
      </w:pPr>
    </w:p>
    <w:p w14:paraId="4ABC80CF" w14:textId="77777777" w:rsidR="0048679D" w:rsidRPr="00A538DD" w:rsidRDefault="0048679D">
      <w:pPr>
        <w:pStyle w:val="Diagramrubrik"/>
        <w:rPr>
          <w:sz w:val="16"/>
        </w:rPr>
      </w:pPr>
      <w:r w:rsidRPr="00A538DD">
        <w:rPr>
          <w:sz w:val="16"/>
        </w:rPr>
        <w:t>Figur 3. Funktionell uppdelning av balansräkningens po</w:t>
      </w:r>
      <w:r w:rsidRPr="00A538DD">
        <w:rPr>
          <w:sz w:val="16"/>
        </w:rPr>
        <w:t>s</w:t>
      </w:r>
      <w:r w:rsidRPr="00A538DD">
        <w:rPr>
          <w:sz w:val="16"/>
        </w:rPr>
        <w:t>ter</w:t>
      </w:r>
    </w:p>
    <w:p w14:paraId="3CA66422" w14:textId="214F0E2D" w:rsidR="0048679D" w:rsidRPr="00A538DD" w:rsidRDefault="00A538DD">
      <w:r w:rsidRPr="00A538DD">
        <w:rPr>
          <w:noProof/>
        </w:rPr>
        <w:drawing>
          <wp:inline distT="0" distB="0" distL="0" distR="0" wp14:anchorId="26049667" wp14:editId="526C56E9">
            <wp:extent cx="3924300" cy="22098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24300" cy="2209800"/>
                    </a:xfrm>
                    <a:prstGeom prst="rect">
                      <a:avLst/>
                    </a:prstGeom>
                    <a:noFill/>
                    <a:ln>
                      <a:noFill/>
                    </a:ln>
                  </pic:spPr>
                </pic:pic>
              </a:graphicData>
            </a:graphic>
          </wp:inline>
        </w:drawing>
      </w:r>
    </w:p>
    <w:p w14:paraId="565C4B82" w14:textId="77777777" w:rsidR="0048679D" w:rsidRPr="00A538DD" w:rsidRDefault="0048679D">
      <w:pPr>
        <w:pStyle w:val="R3"/>
      </w:pPr>
      <w:r w:rsidRPr="00A538DD">
        <w:t>Sedlar och mynt</w:t>
      </w:r>
    </w:p>
    <w:p w14:paraId="2DC9AE4B" w14:textId="77777777" w:rsidR="0048679D" w:rsidRPr="00A538DD" w:rsidRDefault="0048679D">
      <w:r w:rsidRPr="00A538DD">
        <w:t>Riksbanken svarar för landets försörjning av sedlar och mynt. Riksbanken har dessutom ensamrätt på att ge ut sedlar och mynt. Det finns inget mål för hur stor denna post ska vara, utan den styrs i stället helt och hållet av allmänh</w:t>
      </w:r>
      <w:r w:rsidRPr="00A538DD">
        <w:t>e</w:t>
      </w:r>
      <w:r w:rsidRPr="00A538DD">
        <w:t>tens efterfrågan på kontanter. Denna påverkas i sin tur på kort sikt bl.a. av ränteläget och på längre sikt av strukturen på kontantmarknaden samt för</w:t>
      </w:r>
      <w:r w:rsidRPr="00A538DD">
        <w:t>e</w:t>
      </w:r>
      <w:r w:rsidRPr="00A538DD">
        <w:t>komsten av och kostnaden för alternativa betalningssätt. Den utelöpande stocken av sedlar och mynt uppgick till ca 109</w:t>
      </w:r>
      <w:r w:rsidRPr="00A538DD">
        <w:rPr>
          <w:rFonts w:ascii="Syntax" w:hAnsi="Syntax"/>
        </w:rPr>
        <w:t xml:space="preserve"> </w:t>
      </w:r>
      <w:r w:rsidRPr="00A538DD">
        <w:t xml:space="preserve">miljarder kronor vid utgången av 2004. Stocken varierar dock under året. Som störst är den inför större helger och vid löneutbetalningar då allmänhetens efterfrågan på kontanter stiger. </w:t>
      </w:r>
    </w:p>
    <w:p w14:paraId="2D303496" w14:textId="77777777" w:rsidR="0048679D" w:rsidRPr="00A538DD" w:rsidRDefault="0048679D">
      <w:pPr>
        <w:pStyle w:val="R3"/>
      </w:pPr>
      <w:r w:rsidRPr="00A538DD">
        <w:t>Eget kapital</w:t>
      </w:r>
    </w:p>
    <w:p w14:paraId="2D5E20F4" w14:textId="77777777" w:rsidR="0048679D" w:rsidRPr="00A538DD" w:rsidRDefault="0048679D">
      <w:r w:rsidRPr="00A538DD">
        <w:t>En förutsättning för att Riksbanken ska kunna bedriva sin verksamhet på ett trovärdigt och självständigt sätt är att banken har ett tillräckligt stort eget kapital och därmed inte är beroende av kapitaltillskott. Av det skälet behöver Riksbanken kapital för att kunna bära sina driftskostnader och täcka event</w:t>
      </w:r>
      <w:r w:rsidRPr="00A538DD">
        <w:t>u</w:t>
      </w:r>
      <w:r w:rsidRPr="00A538DD">
        <w:t xml:space="preserve">ella förluster i verksamheten. </w:t>
      </w:r>
    </w:p>
    <w:p w14:paraId="0F230EE7" w14:textId="77777777" w:rsidR="0048679D" w:rsidRPr="00A538DD" w:rsidRDefault="0048679D">
      <w:pPr>
        <w:pStyle w:val="Normaltindrag"/>
      </w:pPr>
      <w:r w:rsidRPr="00A538DD">
        <w:t>Förluster i Riksbankens verksamhet kan uppstå i samband med att s.k. nödkrediter ges i likviditetsstödjande syfte vid en hotande betalningssystem</w:t>
      </w:r>
      <w:r w:rsidRPr="00A538DD">
        <w:t>s</w:t>
      </w:r>
      <w:r w:rsidRPr="00A538DD">
        <w:t xml:space="preserve">störning. Sådana krediter får endast ges till solventa banker eller svenska företag som står under Finansinspektionens tillsyn. I ett krisläge kan det dock finnas en risk för att ett likviditetsproblem utvecklas till ett solvensproblem. Därmed finns det också en risk att Riksbanken drabbas av förluster. </w:t>
      </w:r>
    </w:p>
    <w:p w14:paraId="4EFF7ABA" w14:textId="77777777" w:rsidR="0048679D" w:rsidRPr="00A538DD" w:rsidRDefault="0048679D">
      <w:pPr>
        <w:pStyle w:val="Normaltindrag"/>
        <w:rPr>
          <w:b/>
          <w:i/>
        </w:rPr>
      </w:pPr>
      <w:r w:rsidRPr="00A538DD">
        <w:t>Förluster kan också uppstå i den löpande förvaltningen av Riksbankens guld- och valutareserv, som till största delen består av räntebärande värd</w:t>
      </w:r>
      <w:r w:rsidRPr="00A538DD">
        <w:t>e</w:t>
      </w:r>
      <w:r w:rsidRPr="00A538DD">
        <w:t>papper i andra valutor än kronor. Eftersom Riksbanken marknadsvärderar sina tillgångar påverkas värdet på dem av förändringar i valutakurser och marknadsräntor. Det är dock mycket sällan sådana värdeförändringar realis</w:t>
      </w:r>
      <w:r w:rsidRPr="00A538DD">
        <w:t>e</w:t>
      </w:r>
      <w:r w:rsidRPr="00A538DD">
        <w:t>ras genom att Riksbanken säljer värdepapper och växlar valutor till kronor. Förluster som inte realiserats har dock betydelse för posten eget kapital. Om exempelvis kronan förstärks minskar värdet på de valutor som finns i valut</w:t>
      </w:r>
      <w:r w:rsidRPr="00A538DD">
        <w:t>a</w:t>
      </w:r>
      <w:r w:rsidRPr="00A538DD">
        <w:t>reserven. Följden blir en orealiserad förlust. Om Riksbanken ti</w:t>
      </w:r>
      <w:r w:rsidRPr="00A538DD">
        <w:t xml:space="preserve">digare har gjort motsvarande orealiserade vinster, ska sådana förluster kvittas mot dessa. Om det inte finns tillräckligt med sådana vinster reserverade i balansräkningen för att täcka de orealiserade förlusterna, måste dessa i stället belasta årets resultat, vilket i sin tur minskar det egna kapitalet. </w:t>
      </w:r>
    </w:p>
    <w:p w14:paraId="3A13FDFF" w14:textId="77777777" w:rsidR="0048679D" w:rsidRPr="00A538DD" w:rsidRDefault="0048679D">
      <w:pPr>
        <w:pStyle w:val="Normaltindrag"/>
      </w:pPr>
      <w:r w:rsidRPr="00A538DD">
        <w:t>Eftersom Riksbanken håller valutatillgångar för att kunna utföra sina pol</w:t>
      </w:r>
      <w:r w:rsidRPr="00A538DD">
        <w:t>i</w:t>
      </w:r>
      <w:r w:rsidRPr="00A538DD">
        <w:t>cyuppgifter, har riksdagen vid sina beslut om vinstutdelningen normalt u</w:t>
      </w:r>
      <w:r w:rsidRPr="00A538DD">
        <w:t>n</w:t>
      </w:r>
      <w:r w:rsidRPr="00A538DD">
        <w:t>dantagit valutakurseffekter från det utdelningsbara resultatet. Sådana effekter får i stället fullt genomslag i Riksbankens balansräkning. Av det skälet byg</w:t>
      </w:r>
      <w:r w:rsidRPr="00A538DD">
        <w:t>g</w:t>
      </w:r>
      <w:r w:rsidRPr="00A538DD">
        <w:t>des stora orealiserade valutavinstreserveringar upp under kronans långa fö</w:t>
      </w:r>
      <w:r w:rsidRPr="00A538DD">
        <w:t>r</w:t>
      </w:r>
      <w:r w:rsidRPr="00A538DD">
        <w:t>svagningsperiod på 1990-talet. Delar av dessa orealiserade vinster delades ut till statsverket vid de av riksdagen beslutade extrautdelningarna 2001 och 2002</w:t>
      </w:r>
      <w:r w:rsidRPr="00A538DD">
        <w:rPr>
          <w:i/>
        </w:rPr>
        <w:t>.</w:t>
      </w:r>
      <w:r w:rsidRPr="00A538DD">
        <w:t xml:space="preserve"> De senaste årens kronförstärkning har gett orea</w:t>
      </w:r>
      <w:r w:rsidRPr="00A538DD">
        <w:t>liserade valutakursfö</w:t>
      </w:r>
      <w:r w:rsidRPr="00A538DD">
        <w:t>r</w:t>
      </w:r>
      <w:r w:rsidRPr="00A538DD">
        <w:t>luster som inneburit en ytterligare neddragning av de tidigare reserveringarna. Resultatet varierar således kraftigt mellan åren framför allt beroende på var</w:t>
      </w:r>
      <w:r w:rsidRPr="00A538DD">
        <w:t>i</w:t>
      </w:r>
      <w:r w:rsidRPr="00A538DD">
        <w:t>ationer i kronans växelkurs. Ränteintäkterna är mer stabila även om värd</w:t>
      </w:r>
      <w:r w:rsidRPr="00A538DD">
        <w:t>e</w:t>
      </w:r>
      <w:r w:rsidRPr="00A538DD">
        <w:t>ringsv</w:t>
      </w:r>
      <w:r w:rsidRPr="00A538DD">
        <w:t>a</w:t>
      </w:r>
      <w:r w:rsidRPr="00A538DD">
        <w:t xml:space="preserve">riationer uppstår även på värdepappersinnehavet. </w:t>
      </w:r>
    </w:p>
    <w:p w14:paraId="2C0403F8" w14:textId="77777777" w:rsidR="0048679D" w:rsidRPr="00A538DD" w:rsidRDefault="0048679D">
      <w:pPr>
        <w:pStyle w:val="Normaltindrag"/>
      </w:pPr>
      <w:r w:rsidRPr="00A538DD">
        <w:t>Riktlinjer för disposition av Riksbankens vinst fastställdes av fullmäktige 1988. Av Riksbankens utdelningsbara resultat utdelas</w:t>
      </w:r>
      <w:r w:rsidRPr="00A538DD">
        <w:rPr>
          <w:i/>
        </w:rPr>
        <w:t xml:space="preserve"> </w:t>
      </w:r>
      <w:r w:rsidRPr="00A538DD">
        <w:t>normalt</w:t>
      </w:r>
      <w:r w:rsidRPr="00A538DD">
        <w:rPr>
          <w:i/>
        </w:rPr>
        <w:t xml:space="preserve"> </w:t>
      </w:r>
      <w:r w:rsidRPr="00A538DD">
        <w:t>80 % av det genomsnittliga resultatet för de senaste fem åren, exklusive valutakurseffe</w:t>
      </w:r>
      <w:r w:rsidRPr="00A538DD">
        <w:t>k</w:t>
      </w:r>
      <w:r w:rsidRPr="00A538DD">
        <w:t>ter, till statsverket och resten fonderas. Riksbankens egna kapital, dvs. poste</w:t>
      </w:r>
      <w:r w:rsidRPr="00A538DD">
        <w:t>r</w:t>
      </w:r>
      <w:r w:rsidRPr="00A538DD">
        <w:t xml:space="preserve">na grundfond och reserver samt årets resultat, uppgick till ca 64 miljarder kronor vid årets utgång. </w:t>
      </w:r>
    </w:p>
    <w:p w14:paraId="3118FCE3" w14:textId="77777777" w:rsidR="0048679D" w:rsidRPr="00A538DD" w:rsidRDefault="0048679D">
      <w:pPr>
        <w:pStyle w:val="R3"/>
      </w:pPr>
      <w:r w:rsidRPr="00A538DD">
        <w:t>Guld- och valutareserven</w:t>
      </w:r>
    </w:p>
    <w:p w14:paraId="26AA685C" w14:textId="77777777" w:rsidR="0048679D" w:rsidRPr="00A538DD" w:rsidRDefault="0048679D">
      <w:r w:rsidRPr="00A538DD">
        <w:t>Riksbanken ska i valutapolitiskt syfte hålla tillgångar i utländsk valuta, u</w:t>
      </w:r>
      <w:r w:rsidRPr="00A538DD">
        <w:t>t</w:t>
      </w:r>
      <w:r w:rsidRPr="00A538DD">
        <w:t xml:space="preserve">ländska fordringar och guld. </w:t>
      </w:r>
      <w:commentRangeStart w:id="21"/>
      <w:commentRangeEnd w:id="21"/>
      <w:r w:rsidRPr="00A538DD">
        <w:rPr>
          <w:rStyle w:val="Kommentarsreferens"/>
          <w:sz w:val="19"/>
        </w:rPr>
        <w:commentReference w:id="21"/>
      </w:r>
      <w:r w:rsidRPr="00A538DD">
        <w:t xml:space="preserve"> Riksbanken ska ha en guld- och valutar</w:t>
      </w:r>
      <w:r w:rsidRPr="00A538DD">
        <w:t>e</w:t>
      </w:r>
      <w:r w:rsidRPr="00A538DD">
        <w:t>serv för att vid behov kunna intervenera på valutamarknaden. Valutareserven kan även i en krissituation användas för likviditetsstöd i utländsk valuta till ban</w:t>
      </w:r>
      <w:r w:rsidRPr="00A538DD">
        <w:t>k</w:t>
      </w:r>
      <w:r w:rsidRPr="00A538DD">
        <w:t>systemet.</w:t>
      </w:r>
    </w:p>
    <w:p w14:paraId="7272475E" w14:textId="77777777" w:rsidR="0048679D" w:rsidRPr="00A538DD" w:rsidRDefault="0048679D">
      <w:pPr>
        <w:pStyle w:val="Normaltindrag"/>
      </w:pPr>
      <w:r w:rsidRPr="00A538DD">
        <w:t>Valutainterventioner genomförs främst när växelkursen är fast. Sedan 1992 har växelkursen varit flytande, vilket innebär att kronans värde i förhållande till andra valutor bestäms av marknaden. I syfte att motverka växelkursröre</w:t>
      </w:r>
      <w:r w:rsidRPr="00A538DD">
        <w:t>l</w:t>
      </w:r>
      <w:r w:rsidRPr="00A538DD">
        <w:t xml:space="preserve">ser som hotar prisstabiliteten kan dock interventioner genomföras även under ett rörligt växelkurssystem. Riksbanken genomförde inga interventioner under 2004. </w:t>
      </w:r>
    </w:p>
    <w:p w14:paraId="2528D8F6" w14:textId="77777777" w:rsidR="0048679D" w:rsidRPr="00A538DD" w:rsidRDefault="0048679D">
      <w:pPr>
        <w:pStyle w:val="Normaltindrag"/>
        <w:rPr>
          <w:i/>
        </w:rPr>
      </w:pPr>
      <w:r w:rsidRPr="00A538DD">
        <w:t>Läs mer om Riksbankens tillgångsförvaltning på s. 44–45. Vid årets u</w:t>
      </w:r>
      <w:r w:rsidRPr="00A538DD">
        <w:t>t</w:t>
      </w:r>
      <w:r w:rsidRPr="00A538DD">
        <w:t>gång uppgick värdet på guld- och valutareserven till ca 163 miljarder kr</w:t>
      </w:r>
      <w:r w:rsidRPr="00A538DD">
        <w:t>o</w:t>
      </w:r>
      <w:r w:rsidRPr="00A538DD">
        <w:t>nor.</w:t>
      </w:r>
    </w:p>
    <w:p w14:paraId="2B1819EE" w14:textId="77777777" w:rsidR="0048679D" w:rsidRPr="00A538DD" w:rsidRDefault="0048679D">
      <w:pPr>
        <w:pStyle w:val="R3"/>
      </w:pPr>
      <w:r w:rsidRPr="00A538DD">
        <w:t>Tillgångar i kronor</w:t>
      </w:r>
    </w:p>
    <w:p w14:paraId="56A77AA7" w14:textId="77777777" w:rsidR="0048679D" w:rsidRPr="00A538DD" w:rsidRDefault="0048679D">
      <w:r w:rsidRPr="00A538DD">
        <w:t>Det svenska banksystemet har, som helhet, normalt ett behov av att låna kronor hos Riksbanken.  Storleken på detta lånebehov bestäms av balansrä</w:t>
      </w:r>
      <w:r w:rsidRPr="00A538DD">
        <w:t>k</w:t>
      </w:r>
      <w:r w:rsidRPr="00A538DD">
        <w:t>ningens utformning. Avgörande i detta sammanhang är posterna eget kapital och valutareserven vilka är relativt stabila över tiden. Under normala omstä</w:t>
      </w:r>
      <w:r w:rsidRPr="00A538DD">
        <w:t>n</w:t>
      </w:r>
      <w:r w:rsidRPr="00A538DD">
        <w:t xml:space="preserve">digheter kommer därför banksystemets behov av att låna hos Riksbanken huvudsakligen att variera med allmänhetens efterfrågan på kontanter. Dessa lån bokförs i form av en tillgång på Riksbankens balansräkning.   </w:t>
      </w:r>
    </w:p>
    <w:p w14:paraId="72194589" w14:textId="77777777" w:rsidR="0048679D" w:rsidRPr="00A538DD" w:rsidRDefault="0048679D">
      <w:pPr>
        <w:pStyle w:val="Normaltindrag"/>
      </w:pPr>
      <w:r w:rsidRPr="00A538DD">
        <w:t>Merparten av utlåningen till bankerna sker genom de huvudsakliga ref</w:t>
      </w:r>
      <w:r w:rsidRPr="00A538DD">
        <w:t>i</w:t>
      </w:r>
      <w:r w:rsidRPr="00A538DD">
        <w:t xml:space="preserve">nansieringstransaktionerna, även kallade penningpolitiska repor. En sådan repa innebär att Riksbanken tillgodoser bankernas lånebehov genom att köpa värdepapper av dem och samtidigt avtala om att sälja tillbaka dessa efter en viss tid. Löptiden är normalt en vecka. Beslutet om repans storlek bygger på en prognos för de betalningar eller flöden som sker mellan Riksbanken och bankerna och som påverkar de aktuella posterna i Riksbankens balansräkning. Utöver utlåningen via repor sker en viss in- och utlåning </w:t>
      </w:r>
      <w:r w:rsidRPr="00A538DD">
        <w:t xml:space="preserve">till bankerna på konto. Utlåningen till bankerna var vid årets slut 17 miljarder kronor. </w:t>
      </w:r>
    </w:p>
    <w:p w14:paraId="4E8D960D" w14:textId="77777777" w:rsidR="0048679D" w:rsidRPr="00A538DD" w:rsidRDefault="0048679D">
      <w:pPr>
        <w:pStyle w:val="R2"/>
      </w:pPr>
      <w:r w:rsidRPr="00A538DD">
        <w:t>Förvaltning av guld- och valutareserven</w:t>
      </w:r>
    </w:p>
    <w:p w14:paraId="28C23F2D" w14:textId="77777777" w:rsidR="0048679D" w:rsidRPr="00A538DD" w:rsidRDefault="0048679D">
      <w:r w:rsidRPr="00A538DD">
        <w:t>Guld- och valutareserven består av guld och värdepapper i utländsk valuta samt fordringar på Internationella valutafonden (IMF). Syftet med förval</w:t>
      </w:r>
      <w:r w:rsidRPr="00A538DD">
        <w:t>t</w:t>
      </w:r>
      <w:r w:rsidRPr="00A538DD">
        <w:t>ningen av dessa tillgångar är att generera högsta möjliga avkastning med beaktande av den av direktionen fastställda risknivån och utan att ge avkall på möjligheten att genomföra de uppgifter Riksbanken enligt lag har ålagts av riksdagen. För guld- och valutareservens del avser detta främst möjligheten att intervenera på valutamarknaden. Med valutainterventioner avses Riksba</w:t>
      </w:r>
      <w:r w:rsidRPr="00A538DD">
        <w:t>n</w:t>
      </w:r>
      <w:r w:rsidRPr="00A538DD">
        <w:t xml:space="preserve">kens köp och försäljningar av utländsk valuta mot kronor i syfte att påverka växelkursen. </w:t>
      </w:r>
    </w:p>
    <w:p w14:paraId="3EFE5BA4" w14:textId="77777777" w:rsidR="0048679D" w:rsidRPr="00A538DD" w:rsidRDefault="0048679D">
      <w:pPr>
        <w:pStyle w:val="Normaltindrag"/>
      </w:pPr>
      <w:r w:rsidRPr="00A538DD">
        <w:t>För att möjliggöra valutainterventioner må</w:t>
      </w:r>
      <w:r w:rsidRPr="00A538DD">
        <w:t>ste Riksbankens valutatillgångar vara lätt omsättningsbara, vilket innebär att såväl likviditets- som kreditrisken ska hållas på en låg nivå. Därför är reserven i huvudsak placerad i statsgara</w:t>
      </w:r>
      <w:r w:rsidRPr="00A538DD">
        <w:t>n</w:t>
      </w:r>
      <w:r w:rsidRPr="00A538DD">
        <w:t>terade tillgångar. Utöver placeringar i statsobligationer får Riksbanken även placera i obligationer utgivna av statsgaranterade institut och mellanstatliga organisationer samt s.k. US-agencies. Dessa innehav genererar högre avkas</w:t>
      </w:r>
      <w:r w:rsidRPr="00A538DD">
        <w:t>t</w:t>
      </w:r>
      <w:r w:rsidRPr="00A538DD">
        <w:t>ning i förhållande till statsobligationer. Totalt får dessa innehav utgöra max</w:t>
      </w:r>
      <w:r w:rsidRPr="00A538DD">
        <w:t>i</w:t>
      </w:r>
      <w:r w:rsidRPr="00A538DD">
        <w:t>malt 35 %</w:t>
      </w:r>
      <w:r w:rsidRPr="00A538DD">
        <w:t xml:space="preserve"> av valutareserven. Sammantaget är Riksbankens valutatillgångar placerade i sex olika valutor med följande fördelning: amerikanska do</w:t>
      </w:r>
      <w:r w:rsidRPr="00A538DD">
        <w:t>l</w:t>
      </w:r>
      <w:r w:rsidRPr="00A538DD">
        <w:t>lar (37 %), euro (37 %), brittiska pund (11 %), japanska yen (8 %), kanade</w:t>
      </w:r>
      <w:r w:rsidRPr="00A538DD">
        <w:t>n</w:t>
      </w:r>
      <w:r w:rsidRPr="00A538DD">
        <w:t xml:space="preserve">siska dollar (4 %) samt australiska dollar (3 %). </w:t>
      </w:r>
    </w:p>
    <w:p w14:paraId="3F0E888E" w14:textId="77777777" w:rsidR="0048679D" w:rsidRPr="00A538DD" w:rsidRDefault="0048679D">
      <w:pPr>
        <w:pStyle w:val="Normaltindrag"/>
      </w:pPr>
      <w:r w:rsidRPr="00A538DD">
        <w:t>Riksbanken bedriver en aktiv förvaltning av ränterisker i tillgångarna vi</w:t>
      </w:r>
      <w:r w:rsidRPr="00A538DD">
        <w:t>l</w:t>
      </w:r>
      <w:r w:rsidRPr="00A538DD">
        <w:t>ket innebär att positioner tas i förhållande till en jämförelseportfölj bestående av en serie statsobligationer. Positionerna kan till exempel innebära köp och försäljning av statsobligationer i syfte att generera en bättre avkastning än den i jämförelseportföljen. En del av Riksbankens värdepapper lånas ut via tre depåbanker i utbyte mot säkerheter, i syfte att öka avkastningen.</w:t>
      </w:r>
    </w:p>
    <w:p w14:paraId="2B999198" w14:textId="77777777" w:rsidR="0048679D" w:rsidRPr="00A538DD" w:rsidRDefault="0048679D">
      <w:pPr>
        <w:pStyle w:val="Normaltindrag"/>
      </w:pPr>
      <w:r w:rsidRPr="00A538DD">
        <w:t>Förvaltningen av Riksbankens guldtillgångar sker inom ramen för det s.k. guldavtalet – Central Bank Gold Agreement (CBGA) – mell</w:t>
      </w:r>
      <w:r w:rsidRPr="00A538DD">
        <w:t>an 15 europeiska centralbanker som ursprungligen trädde i kraft den 27 september 1999. Avt</w:t>
      </w:r>
      <w:r w:rsidRPr="00A538DD">
        <w:t>a</w:t>
      </w:r>
      <w:r w:rsidRPr="00A538DD">
        <w:t>let som förnyades under 2004 löper fram till 2009 och ger Riksbanken en möjlighet att sälja upp till 60 ton guld fördelat under avtalsperioden. Under 2004 och början av 2005 sålde Riksbanken sammanlagt 1</w:t>
      </w:r>
      <w:r w:rsidRPr="00A538DD">
        <w:rPr>
          <w:color w:val="000000"/>
        </w:rPr>
        <w:t>5</w:t>
      </w:r>
      <w:r w:rsidRPr="00A538DD">
        <w:t xml:space="preserve"> ton guld och inn</w:t>
      </w:r>
      <w:r w:rsidRPr="00A538DD">
        <w:t>e</w:t>
      </w:r>
      <w:r w:rsidRPr="00A538DD">
        <w:t>havet minskade därmed till ca 170 ton i januari 2005. Intäkterna från försäl</w:t>
      </w:r>
      <w:r w:rsidRPr="00A538DD">
        <w:t>j</w:t>
      </w:r>
      <w:r w:rsidRPr="00A538DD">
        <w:t>ningen har återinvesterats i valutareserven, det vill säga i värdepapper i u</w:t>
      </w:r>
      <w:r w:rsidRPr="00A538DD">
        <w:t>t</w:t>
      </w:r>
      <w:r w:rsidRPr="00A538DD">
        <w:t>ländsk valuta. Avtalet begränsar också mängde</w:t>
      </w:r>
      <w:r w:rsidRPr="00A538DD">
        <w:t>n guld som får lånas ut. Därför lånar Riksbanken endast ut delar av guldreserven</w:t>
      </w:r>
      <w:r w:rsidRPr="00A538DD">
        <w:rPr>
          <w:rFonts w:ascii="Arial" w:hAnsi="Arial"/>
          <w:sz w:val="20"/>
        </w:rPr>
        <w:t>.</w:t>
      </w:r>
    </w:p>
    <w:p w14:paraId="3D733E2C" w14:textId="77777777" w:rsidR="0048679D" w:rsidRPr="00A538DD" w:rsidRDefault="0048679D">
      <w:pPr>
        <w:pStyle w:val="Normaltindrag"/>
        <w:rPr>
          <w:i/>
        </w:rPr>
      </w:pPr>
      <w:r w:rsidRPr="00A538DD">
        <w:t>Fordringarna på IMF förvaltas inte aktivt utan ger den avkastning som b</w:t>
      </w:r>
      <w:r w:rsidRPr="00A538DD">
        <w:t>e</w:t>
      </w:r>
      <w:r w:rsidRPr="00A538DD">
        <w:t>slutats av IMF:s stadgar om avkastningsnivå, fördelning av IMF:s kostnader samt SDR-räntenivån.</w:t>
      </w:r>
    </w:p>
    <w:p w14:paraId="0925028B" w14:textId="77777777" w:rsidR="0048679D" w:rsidRPr="00A538DD" w:rsidRDefault="0048679D">
      <w:pPr>
        <w:pStyle w:val="Normaltindrag"/>
      </w:pPr>
      <w:r w:rsidRPr="00A538DD">
        <w:t>Under 2004 påbörjades en översyn av förvaltningen av Riksbankens fina</w:t>
      </w:r>
      <w:r w:rsidRPr="00A538DD">
        <w:t>n</w:t>
      </w:r>
      <w:r w:rsidRPr="00A538DD">
        <w:t>siella tillgångar. Målet är att öka den riskjusterade avkastningen på de fina</w:t>
      </w:r>
      <w:r w:rsidRPr="00A538DD">
        <w:t>n</w:t>
      </w:r>
      <w:r w:rsidRPr="00A538DD">
        <w:t xml:space="preserve">siella tillgångarna. </w:t>
      </w:r>
    </w:p>
    <w:p w14:paraId="6BDF38D4" w14:textId="77777777" w:rsidR="0048679D" w:rsidRPr="00A538DD" w:rsidRDefault="0048679D">
      <w:pPr>
        <w:pStyle w:val="R2"/>
      </w:pPr>
      <w:r w:rsidRPr="00A538DD">
        <w:t xml:space="preserve">Finansiell riskhantering  </w:t>
      </w:r>
    </w:p>
    <w:p w14:paraId="6D940EE7" w14:textId="77777777" w:rsidR="0048679D" w:rsidRPr="00A538DD" w:rsidRDefault="0048679D">
      <w:r w:rsidRPr="00A538DD">
        <w:t>De finansiella risker som Riksbanken utsätts för uppstår främst vid förval</w:t>
      </w:r>
      <w:r w:rsidRPr="00A538DD">
        <w:t>t</w:t>
      </w:r>
      <w:r w:rsidRPr="00A538DD">
        <w:t xml:space="preserve">ningen av guld- och valutareserven, vid genomförande av penningpolitiska operationer samt vid transaktioner i betalningssystemen. Med finansiella risker avses förluster som kan uppstå vid exponeringar för kredit-, marknads-, likviditets- och operativa risker. Hanteringen av dessa risker är en del av Riksbankens verksamhet. Ett kontrollerat risktagande inom beslutade ramar tillsammans med fastställda metoder för riskhantering bidrar till att säkerställa Riksbankens självständighet och anseende. </w:t>
      </w:r>
    </w:p>
    <w:p w14:paraId="640CB7B7" w14:textId="77777777" w:rsidR="0048679D" w:rsidRPr="00A538DD" w:rsidRDefault="0048679D">
      <w:pPr>
        <w:pStyle w:val="Normaltindrag"/>
      </w:pPr>
      <w:r w:rsidRPr="00A538DD">
        <w:t>Riksbankens</w:t>
      </w:r>
      <w:r w:rsidRPr="00A538DD">
        <w:t xml:space="preserve"> direktion fastställer de övergripande reglerna för den finans</w:t>
      </w:r>
      <w:r w:rsidRPr="00A538DD">
        <w:t>i</w:t>
      </w:r>
      <w:r w:rsidRPr="00A538DD">
        <w:t>ella riskhanteringen. Varje avdelningschef ansvarar för att riskerna i den egna verksamheten hanteras på ett tillfredsställande sätt. Riskkontrollenheten sv</w:t>
      </w:r>
      <w:r w:rsidRPr="00A538DD">
        <w:t>a</w:t>
      </w:r>
      <w:r w:rsidRPr="00A538DD">
        <w:t>rar för en ob</w:t>
      </w:r>
      <w:r w:rsidRPr="00A538DD">
        <w:softHyphen/>
        <w:t>eroende kontroll av Riksbankens finansiella risker och en ober</w:t>
      </w:r>
      <w:r w:rsidRPr="00A538DD">
        <w:t>o</w:t>
      </w:r>
      <w:r w:rsidRPr="00A538DD">
        <w:t>ende utvärdering av resultatet från tillgångsförvaltningen. Riksbankens inter</w:t>
      </w:r>
      <w:r w:rsidRPr="00A538DD">
        <w:t>n</w:t>
      </w:r>
      <w:r w:rsidRPr="00A538DD">
        <w:t>revision granskar och utvärderar effektiviteten och integriteten i riskhante</w:t>
      </w:r>
      <w:r w:rsidRPr="00A538DD">
        <w:t>r</w:t>
      </w:r>
      <w:r w:rsidRPr="00A538DD">
        <w:t>ingen.</w:t>
      </w:r>
    </w:p>
    <w:p w14:paraId="56F0D4CD" w14:textId="77777777" w:rsidR="0048679D" w:rsidRPr="00A538DD" w:rsidRDefault="0048679D">
      <w:pPr>
        <w:pStyle w:val="Normaltindrag"/>
        <w:rPr>
          <w:rFonts w:ascii="Syntax" w:hAnsi="Syntax"/>
          <w:sz w:val="20"/>
        </w:rPr>
      </w:pPr>
      <w:r w:rsidRPr="00A538DD">
        <w:rPr>
          <w:i/>
        </w:rPr>
        <w:t>Likviditetsrisk</w:t>
      </w:r>
      <w:r w:rsidRPr="00A538DD">
        <w:t xml:space="preserve"> är risken för förluster eller väsentligt högre kostnader än b</w:t>
      </w:r>
      <w:r w:rsidRPr="00A538DD">
        <w:t>e</w:t>
      </w:r>
      <w:r w:rsidRPr="00A538DD">
        <w:t>räknat till följd av att Riksbanken inte uppfyller sina betalningsåtaganden i rätt tid.</w:t>
      </w:r>
      <w:r w:rsidRPr="00A538DD">
        <w:rPr>
          <w:rFonts w:ascii="Syntax" w:hAnsi="Syntax"/>
          <w:sz w:val="20"/>
        </w:rPr>
        <w:t xml:space="preserve"> </w:t>
      </w:r>
      <w:r w:rsidRPr="00A538DD">
        <w:t>För att reducera likviditetsrisken investerar Riksbanken endast i värdepapper för vilka det finns stora och likvida marknader samt i flera val</w:t>
      </w:r>
      <w:r w:rsidRPr="00A538DD">
        <w:t>u</w:t>
      </w:r>
      <w:r w:rsidRPr="00A538DD">
        <w:t>tor.</w:t>
      </w:r>
    </w:p>
    <w:p w14:paraId="702096D5" w14:textId="77777777" w:rsidR="0048679D" w:rsidRPr="00A538DD" w:rsidRDefault="0048679D">
      <w:pPr>
        <w:pStyle w:val="Normaltindrag"/>
      </w:pPr>
      <w:r w:rsidRPr="00A538DD">
        <w:rPr>
          <w:i/>
        </w:rPr>
        <w:t>Kreditrisk</w:t>
      </w:r>
      <w:r w:rsidRPr="00A538DD">
        <w:t xml:space="preserve"> är risken för förlust till följd av att en motpart inte kan fullgöra sina skyldigheter gentemot Riksbanken. Kreditrisken uppkommer genom fordringar på andra finansiella institut vid genomförande av finansiella tran</w:t>
      </w:r>
      <w:r w:rsidRPr="00A538DD">
        <w:t>s</w:t>
      </w:r>
      <w:r w:rsidRPr="00A538DD">
        <w:t>aktioner. Kreditrisken hanteras genom att Riksbanken ställer kvalitativa krav (t.ex. kreditbetyg) på sina motparter och på de värdepapper som accepteras som säkerheter vid utlåning till finansiella institut. Vid utlåning kräver Rik</w:t>
      </w:r>
      <w:r w:rsidRPr="00A538DD">
        <w:t>s</w:t>
      </w:r>
      <w:r w:rsidRPr="00A538DD">
        <w:t>banken i regel en extra säkerhetsmarginal utöver utlånat belopp.</w:t>
      </w:r>
      <w:r w:rsidRPr="00A538DD">
        <w:t xml:space="preserve"> </w:t>
      </w:r>
    </w:p>
    <w:p w14:paraId="2D476BD5" w14:textId="77777777" w:rsidR="0048679D" w:rsidRPr="00A538DD" w:rsidRDefault="0048679D">
      <w:pPr>
        <w:pStyle w:val="Normaltindrag"/>
      </w:pPr>
      <w:r w:rsidRPr="00A538DD">
        <w:rPr>
          <w:i/>
        </w:rPr>
        <w:t>Marknadsrisk</w:t>
      </w:r>
      <w:r w:rsidRPr="00A538DD">
        <w:t xml:space="preserve"> är risken för förluster till följd av förändringar av guldpriset samt valuta- och räntekurser. Riksbankens marknadsrisk är hög eftersom dess tillgångar främst utgörs av guld- och valutareserven vilken är investerad i guld och räntebärande tillgångar i utländsk valuta. Mätt i svenska kronor utgjorde </w:t>
      </w:r>
      <w:r w:rsidRPr="00A538DD">
        <w:rPr>
          <w:i/>
        </w:rPr>
        <w:t>valutarisken</w:t>
      </w:r>
      <w:r w:rsidRPr="00A538DD">
        <w:t xml:space="preserve"> den enskilt största förlustrisken vid årsskiftet. Valut</w:t>
      </w:r>
      <w:r w:rsidRPr="00A538DD">
        <w:t>a</w:t>
      </w:r>
      <w:r w:rsidRPr="00A538DD">
        <w:t>risken hanteras genom att valutareserven placeras i en väl diversifierad val</w:t>
      </w:r>
      <w:r w:rsidRPr="00A538DD">
        <w:t>u</w:t>
      </w:r>
      <w:r w:rsidRPr="00A538DD">
        <w:t>tasammansättning. Fördelningen mellan de olika valutorna beslutas</w:t>
      </w:r>
      <w:r w:rsidRPr="00A538DD">
        <w:t xml:space="preserve"> av dire</w:t>
      </w:r>
      <w:r w:rsidRPr="00A538DD">
        <w:t>k</w:t>
      </w:r>
      <w:r w:rsidRPr="00A538DD">
        <w:t>tionen. En förändring av kronans värde med 10 % skulle vid årsskiftet ha påverkat Riksbankens resultat med 14 miljarder kronor. Ränterisken hanteras genom valet av duration, som anger hur känsligt reservens marknadsvärde är för förändringar i räntan. I Riksbankens fall används modifierad duration, som anger räntekänsligheten i procent. Direktionen har fastställt denna till 4 % med ett avvikelsemandat på högst ± 1,5 procentenhet från den nivån. Detta innebär att vid 1 procents ränteökning på de mark</w:t>
      </w:r>
      <w:r w:rsidRPr="00A538DD">
        <w:t>nader som Riksba</w:t>
      </w:r>
      <w:r w:rsidRPr="00A538DD">
        <w:t>n</w:t>
      </w:r>
      <w:r w:rsidRPr="00A538DD">
        <w:t>ken investerar i sjunker värdet på portföljen med 4 % vilket vid årsskiftet motsv</w:t>
      </w:r>
      <w:r w:rsidRPr="00A538DD">
        <w:t>a</w:t>
      </w:r>
      <w:r w:rsidRPr="00A538DD">
        <w:t xml:space="preserve">rade 4,7 miljarder kronor. </w:t>
      </w:r>
    </w:p>
    <w:p w14:paraId="280086FF" w14:textId="77777777" w:rsidR="0048679D" w:rsidRPr="00A538DD" w:rsidRDefault="0048679D">
      <w:pPr>
        <w:pStyle w:val="Normaltindrag"/>
        <w:rPr>
          <w:sz w:val="20"/>
        </w:rPr>
      </w:pPr>
      <w:r w:rsidRPr="00A538DD">
        <w:t>De nämnda riskmåtten kompletteras med andra mått såsom Value-at-Risk (VaR) och stress- och scenarioanalyser. VaR-modellen kan hantera olika marknadsrisker på ett homogent sätt vilket möjliggör jämförelser mellan och summering av olika risktyper såsom valuta-, guldpris- och ränterisk. Rik</w:t>
      </w:r>
      <w:r w:rsidRPr="00A538DD">
        <w:t>s</w:t>
      </w:r>
      <w:r w:rsidRPr="00A538DD">
        <w:t>bankens genomsnittliga VaR uppgick till 2,8 miljarder kronor under 2004 varav valutarisken utgjorde 61 %, ränterisken 21 % och guldprisrisken 18 %. Risknivån har minskat något jämfört med föregående år främst tack vare en minskad volatilitet för vissa av de valutor som Riksba</w:t>
      </w:r>
      <w:r w:rsidRPr="00A538DD">
        <w:t>n</w:t>
      </w:r>
      <w:r w:rsidRPr="00A538DD">
        <w:t>ken investerar i.</w:t>
      </w:r>
    </w:p>
    <w:p w14:paraId="3747BC74" w14:textId="77777777" w:rsidR="0048679D" w:rsidRPr="00A538DD" w:rsidRDefault="0048679D">
      <w:pPr>
        <w:pStyle w:val="Normaltindrag"/>
      </w:pPr>
      <w:r w:rsidRPr="00A538DD">
        <w:rPr>
          <w:i/>
        </w:rPr>
        <w:t>Operativ risk</w:t>
      </w:r>
      <w:r w:rsidRPr="00A538DD">
        <w:t xml:space="preserve"> är risken för förlust till följd av andra händelser än mar</w:t>
      </w:r>
      <w:r w:rsidRPr="00A538DD">
        <w:t>k</w:t>
      </w:r>
      <w:r w:rsidRPr="00A538DD">
        <w:t>nadshändelser i</w:t>
      </w:r>
      <w:r w:rsidRPr="00A538DD">
        <w:rPr>
          <w:rFonts w:ascii="Syntax" w:hAnsi="Syntax"/>
          <w:sz w:val="20"/>
        </w:rPr>
        <w:t xml:space="preserve"> </w:t>
      </w:r>
      <w:r w:rsidRPr="00A538DD">
        <w:t>Riksbanken och i omvärlden t.ex. bristfälliga avtal, bedräg</w:t>
      </w:r>
      <w:r w:rsidRPr="00A538DD">
        <w:t>e</w:t>
      </w:r>
      <w:r w:rsidRPr="00A538DD">
        <w:t>rier, bristande kunskap och svagheter i den interna kontrollen. Riskerna för operativa förluster motverkas främst med kunnig och riskmedveten personal. Till detta kommer interna regelverk och tydlig ansvarsfördelning. Nivån på de operativa riskerna i den finansiella verksamheten mäts och u</w:t>
      </w:r>
      <w:r w:rsidRPr="00A538DD">
        <w:t>t</w:t>
      </w:r>
      <w:r w:rsidRPr="00A538DD">
        <w:t>värderas årligen.</w:t>
      </w:r>
    </w:p>
    <w:p w14:paraId="5615837C" w14:textId="77777777" w:rsidR="0048679D" w:rsidRPr="00A538DD" w:rsidRDefault="0048679D">
      <w:pPr>
        <w:rPr>
          <w:sz w:val="28"/>
          <w:u w:val="single"/>
        </w:rPr>
        <w:sectPr w:rsidR="00000000" w:rsidRPr="00A538DD">
          <w:pgSz w:w="11906" w:h="16838" w:code="9"/>
          <w:pgMar w:top="907" w:right="4649" w:bottom="4508" w:left="1304" w:header="340" w:footer="227" w:gutter="0"/>
          <w:cols w:space="720"/>
          <w:titlePg/>
        </w:sectPr>
      </w:pPr>
    </w:p>
    <w:p w14:paraId="1262019E" w14:textId="77777777" w:rsidR="0048679D" w:rsidRPr="00A538DD" w:rsidRDefault="0048679D">
      <w:pPr>
        <w:pStyle w:val="Rubrik1"/>
        <w:spacing w:after="120"/>
        <w:rPr>
          <w:noProof w:val="0"/>
        </w:rPr>
      </w:pPr>
      <w:bookmarkStart w:id="22" w:name="_Toc97613754"/>
      <w:r w:rsidRPr="00A538DD">
        <w:rPr>
          <w:noProof w:val="0"/>
        </w:rPr>
        <w:t>Organisation</w:t>
      </w:r>
      <w:bookmarkEnd w:id="22"/>
    </w:p>
    <w:p w14:paraId="54E4CE82" w14:textId="77777777" w:rsidR="0048679D" w:rsidRPr="00A538DD" w:rsidRDefault="0048679D">
      <w:pPr>
        <w:rPr>
          <w:i/>
        </w:rPr>
      </w:pPr>
      <w:r w:rsidRPr="00A538DD">
        <w:rPr>
          <w:i/>
        </w:rPr>
        <w:t>Arbetet i Riksbanken har under senare år vägletts av en uttalad inriktning på effektivitet och koncentration till huvuduppgifterna, en strävan efter öppenhet och tydlighet samt en kontinuerlig förstärkning av kompetensen i organis</w:t>
      </w:r>
      <w:r w:rsidRPr="00A538DD">
        <w:rPr>
          <w:i/>
        </w:rPr>
        <w:t>a</w:t>
      </w:r>
      <w:r w:rsidRPr="00A538DD">
        <w:rPr>
          <w:i/>
        </w:rPr>
        <w:t xml:space="preserve">tionen. </w:t>
      </w:r>
    </w:p>
    <w:p w14:paraId="68D32F56" w14:textId="77777777" w:rsidR="0048679D" w:rsidRPr="00A538DD" w:rsidRDefault="0048679D">
      <w:pPr>
        <w:pStyle w:val="R3"/>
      </w:pPr>
      <w:r w:rsidRPr="00A538DD">
        <w:t xml:space="preserve">Koncentration till huvuduppgifterna </w:t>
      </w:r>
    </w:p>
    <w:p w14:paraId="08CBD57B" w14:textId="77777777" w:rsidR="0048679D" w:rsidRPr="00A538DD" w:rsidRDefault="0048679D">
      <w:r w:rsidRPr="00A538DD">
        <w:t>Koncentration till huvuduppgifterna syftar till att skapa en effektiv verksa</w:t>
      </w:r>
      <w:r w:rsidRPr="00A538DD">
        <w:t>m</w:t>
      </w:r>
      <w:r w:rsidRPr="00A538DD">
        <w:t>het. Riksbanken har under senare år strävat efter att renodla verksamheten till det analytiska arbetet inom penningpolitik och finansiell stabilitet. Som en del i denna process har operativa verksamheter inom bl.a. kontantförsörjning och statistikproduktion överförts till andra aktörer. Ett nytt IT-stöd för den fina</w:t>
      </w:r>
      <w:r w:rsidRPr="00A538DD">
        <w:t>n</w:t>
      </w:r>
      <w:r w:rsidRPr="00A538DD">
        <w:t>siella verksamheten har också bidragit till ökad effektivitet. Direktionen b</w:t>
      </w:r>
      <w:r w:rsidRPr="00A538DD">
        <w:t>e</w:t>
      </w:r>
      <w:r w:rsidRPr="00A538DD">
        <w:t>slutade 2003, som en del i att hålla tillbaka kostnadsutvecklingen, att minska antalet tjänster med 10 % under en tr</w:t>
      </w:r>
      <w:r w:rsidRPr="00A538DD">
        <w:t>eårsperiod. Återbesättning av vakanta tjänster och nyanställningar sker till följd av detta med stor återhållsamhet. Under det senaste decenniet har antalet anställda i Riksbanken, mätt som årsarbetskrafter, minskat med drygt 300 personer. Tar man även hänsyn till Riksbankens bolag har minskningen av antalet anställda varit ännu större, ca 700 personer.</w:t>
      </w:r>
    </w:p>
    <w:p w14:paraId="0EC97DFE" w14:textId="77777777" w:rsidR="0048679D" w:rsidRPr="00A538DD" w:rsidRDefault="0048679D">
      <w:pPr>
        <w:pStyle w:val="R3"/>
      </w:pPr>
      <w:r w:rsidRPr="00A538DD">
        <w:t>Öppenhet och tydlighet</w:t>
      </w:r>
    </w:p>
    <w:p w14:paraId="62F3367D" w14:textId="77777777" w:rsidR="0048679D" w:rsidRPr="00A538DD" w:rsidRDefault="0048679D">
      <w:r w:rsidRPr="00A538DD">
        <w:t>Riksbankens självständiga ställning förutsätter en hög grad av öppenhet och tydlighet. För att penningpolitiken ska vara trovärdig och förankrad i sa</w:t>
      </w:r>
      <w:r w:rsidRPr="00A538DD">
        <w:t>m</w:t>
      </w:r>
      <w:r w:rsidRPr="00A538DD">
        <w:t>hället är det viktigt att den går att förstå för en bred allmänhet, att den diskut</w:t>
      </w:r>
      <w:r w:rsidRPr="00A538DD">
        <w:t>e</w:t>
      </w:r>
      <w:r w:rsidRPr="00A538DD">
        <w:t>ras på ett öppet sätt och att den kan utvärderas. Väl utarbetade analytiska ramar och handlingsregler är ett sätt att öka tydligheten. Direktionen har preciserat hur man tolkar prisstabilitetsmålet, vilket tidsperspektiv som b</w:t>
      </w:r>
      <w:r w:rsidRPr="00A538DD">
        <w:t>e</w:t>
      </w:r>
      <w:r w:rsidRPr="00A538DD">
        <w:t>döms vara mest relevant för penningpolitikens utformning och hur olika former av störningar hanteras. På motsvarande sätt finns utgångspunkterna för bankens analyser av den finansiella stabiliteten bes</w:t>
      </w:r>
      <w:r w:rsidRPr="00A538DD">
        <w:t xml:space="preserve">krivna, liksom under vilka förutsättningar som Riksbanken kan ge likviditetsstöd till banker.  </w:t>
      </w:r>
    </w:p>
    <w:p w14:paraId="277E429C" w14:textId="77777777" w:rsidR="0048679D" w:rsidRPr="00A538DD" w:rsidRDefault="0048679D">
      <w:pPr>
        <w:pStyle w:val="Normaltindrag"/>
      </w:pPr>
      <w:r w:rsidRPr="00A538DD">
        <w:t>Riksbanken lägger stor vikt vid att förklara sitt arbete i regelbundna rap</w:t>
      </w:r>
      <w:r w:rsidRPr="00A538DD">
        <w:t>p</w:t>
      </w:r>
      <w:r w:rsidRPr="00A538DD">
        <w:t>orter, tal, pressmeddelanden och andra publikationer vilka publiceras rege</w:t>
      </w:r>
      <w:r w:rsidRPr="00A538DD">
        <w:t>l</w:t>
      </w:r>
      <w:r w:rsidRPr="00A538DD">
        <w:t>bundet. Fyra gånger per år publiceras en inflationsrapport som syftar till att underlätta för utomstående att följa och förstå penningpolitiken samt att up</w:t>
      </w:r>
      <w:r w:rsidRPr="00A538DD">
        <w:t>p</w:t>
      </w:r>
      <w:r w:rsidRPr="00A538DD">
        <w:t>muntra till diskussion kring penningpolitiska frågor. Två gånger per år publ</w:t>
      </w:r>
      <w:r w:rsidRPr="00A538DD">
        <w:t>i</w:t>
      </w:r>
      <w:r w:rsidRPr="00A538DD">
        <w:t>ceras rapporten om finansiell stabilitet som syftar till att skapa debatt kring stabilitetsfrågorna och att påverka de för den finansiella stabiliteten viktiga aktörerna. Protokollen från direktionens pe</w:t>
      </w:r>
      <w:r w:rsidRPr="00A538DD">
        <w:t xml:space="preserve">nningpolitiska sammanträden publiceras, och dessa ger en utförlig beskrivning av de diskussioner som ligger till grund för räntebesluten. </w:t>
      </w:r>
    </w:p>
    <w:p w14:paraId="31CE3569" w14:textId="77777777" w:rsidR="0048679D" w:rsidRPr="00A538DD" w:rsidRDefault="0048679D">
      <w:pPr>
        <w:pStyle w:val="R3"/>
      </w:pPr>
      <w:r w:rsidRPr="00A538DD">
        <w:t xml:space="preserve">Kompetens  </w:t>
      </w:r>
    </w:p>
    <w:p w14:paraId="4EE3D5B6" w14:textId="77777777" w:rsidR="0048679D" w:rsidRPr="00A538DD" w:rsidRDefault="0048679D">
      <w:r w:rsidRPr="00A538DD">
        <w:t>Kvalificerad analys är en förutsättning för välgrundade beslut och Riksbanken arbetar kontinuerligt med att höja kompetensen inom dess analysområden. Detta sker bl.a. genom att Riksbanken strävar efter en nära koppling mellan den praktiskt tillämpade analysen och teoretisk och empirisk forskning. De</w:t>
      </w:r>
      <w:r w:rsidRPr="00A538DD">
        <w:t>l</w:t>
      </w:r>
      <w:r w:rsidRPr="00A538DD">
        <w:t>tagande i internationellt samarbete ger också viktiga bidrag till ko</w:t>
      </w:r>
      <w:r w:rsidRPr="00A538DD">
        <w:t>m</w:t>
      </w:r>
      <w:r w:rsidRPr="00A538DD">
        <w:t xml:space="preserve">petensen. </w:t>
      </w:r>
    </w:p>
    <w:p w14:paraId="158A756C" w14:textId="77777777" w:rsidR="0048679D" w:rsidRPr="00A538DD" w:rsidRDefault="0048679D">
      <w:pPr>
        <w:pStyle w:val="Normaltindrag"/>
      </w:pPr>
      <w:r w:rsidRPr="00A538DD">
        <w:t>Under de senaste åren har det skett en omfattande kompetensväxling inom Riksbanken. Analytisk kompetens inom nationalekonomi har byggts upp samtidigt som behovet av administrativ och operativ personal har minskat till följd av att verksamheter dels effektiviserats, dels överförts till andra aktörer.</w:t>
      </w:r>
    </w:p>
    <w:p w14:paraId="7BC75C97" w14:textId="77777777" w:rsidR="0048679D" w:rsidRPr="00A538DD" w:rsidRDefault="0048679D">
      <w:pPr>
        <w:pStyle w:val="R3"/>
      </w:pPr>
      <w:r w:rsidRPr="00A538DD">
        <w:t>Organisation och ledningsformer</w:t>
      </w:r>
    </w:p>
    <w:p w14:paraId="2A37FB14" w14:textId="77777777" w:rsidR="0048679D" w:rsidRPr="00A538DD" w:rsidRDefault="0048679D">
      <w:r w:rsidRPr="00A538DD">
        <w:t>Riksbanken är organiserad i sju avdelningar och en kanslifunktion för rik</w:t>
      </w:r>
      <w:r w:rsidRPr="00A538DD">
        <w:t>s</w:t>
      </w:r>
      <w:r w:rsidRPr="00A538DD">
        <w:t xml:space="preserve">banksfullmäktige. Tre av avdelningarna har direkt inriktning mot bankens huvuduppgifter: avdelningen för penningpolitik, avdelningen för finansiell stabilitet och avdelningen för marknadsoperationer.  </w:t>
      </w:r>
    </w:p>
    <w:p w14:paraId="40A7E93C" w14:textId="77777777" w:rsidR="0048679D" w:rsidRPr="00A538DD" w:rsidRDefault="0048679D">
      <w:pPr>
        <w:pStyle w:val="Tabellrubrik"/>
      </w:pPr>
      <w:r w:rsidRPr="00A538DD">
        <w:t xml:space="preserve">Figur 4. Riksbankens organisation  </w:t>
      </w:r>
    </w:p>
    <w:p w14:paraId="04AB7AC4" w14:textId="7756EB51" w:rsidR="0048679D" w:rsidRPr="00A538DD" w:rsidRDefault="00A538DD">
      <w:pPr>
        <w:ind w:left="-284" w:firstLine="284"/>
      </w:pPr>
      <w:r w:rsidRPr="00A538DD">
        <w:rPr>
          <w:noProof/>
        </w:rPr>
        <w:drawing>
          <wp:inline distT="0" distB="0" distL="0" distR="0" wp14:anchorId="190ABCD8" wp14:editId="1A3827AE">
            <wp:extent cx="4201795" cy="21551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01795" cy="2155190"/>
                    </a:xfrm>
                    <a:prstGeom prst="rect">
                      <a:avLst/>
                    </a:prstGeom>
                    <a:noFill/>
                    <a:ln>
                      <a:noFill/>
                    </a:ln>
                  </pic:spPr>
                </pic:pic>
              </a:graphicData>
            </a:graphic>
          </wp:inline>
        </w:drawing>
      </w:r>
    </w:p>
    <w:p w14:paraId="41916E1F" w14:textId="77777777" w:rsidR="0048679D" w:rsidRPr="00A538DD" w:rsidRDefault="0048679D"/>
    <w:p w14:paraId="033A6897" w14:textId="77777777" w:rsidR="0048679D" w:rsidRPr="00A538DD" w:rsidRDefault="0048679D">
      <w:r w:rsidRPr="00A538DD">
        <w:t>Under 2004 genomfördes ett arbete med att förbättra Riksbankens ledning och styrning. En första förändring genomfördes den 1 juni 2004 då antalet avdelningar reducerades från elva till sju. Tre mindre avdelningar – den inte</w:t>
      </w:r>
      <w:r w:rsidRPr="00A538DD">
        <w:t>r</w:t>
      </w:r>
      <w:r w:rsidRPr="00A538DD">
        <w:t>nationella avdelningen, informationsavdelningen och direktionsavdelningen – slogs ihop till en stabsavdelning. Forskningsavdelningen överfördes till a</w:t>
      </w:r>
      <w:r w:rsidRPr="00A538DD">
        <w:t>v</w:t>
      </w:r>
      <w:r w:rsidRPr="00A538DD">
        <w:t xml:space="preserve">delningen för penningpolitik och riskkontrollavdelningen till avdelningen för finansiell stabilitet. </w:t>
      </w:r>
    </w:p>
    <w:p w14:paraId="72CB2DB6" w14:textId="77777777" w:rsidR="0048679D" w:rsidRPr="00A538DD" w:rsidRDefault="0048679D">
      <w:pPr>
        <w:pStyle w:val="Normaltindrag"/>
      </w:pPr>
      <w:r w:rsidRPr="00A538DD">
        <w:t>I december 2004 togs beslut om ytterligare förändringar gällande fr.o.m. den 1 januari 2005. Förändringarna avser att tydliggöra ansvarsförhållanden mellan direktionens ledamöter och avdelningscheferna samt att åstadkomma en mer sammanhållen ledning av Riksb</w:t>
      </w:r>
      <w:r w:rsidRPr="00A538DD">
        <w:t>anken:</w:t>
      </w:r>
      <w:bookmarkStart w:id="23" w:name="_Toc30311145"/>
    </w:p>
    <w:p w14:paraId="77A59C8C" w14:textId="77777777" w:rsidR="0048679D" w:rsidRPr="00A538DD" w:rsidRDefault="0048679D">
      <w:pPr>
        <w:numPr>
          <w:ilvl w:val="0"/>
          <w:numId w:val="51"/>
        </w:numPr>
        <w:tabs>
          <w:tab w:val="clear" w:pos="720"/>
        </w:tabs>
        <w:ind w:left="284" w:hanging="284"/>
      </w:pPr>
      <w:r w:rsidRPr="00A538DD">
        <w:t xml:space="preserve">Direktionsledamöternas beredningsansvar för avdelningarna upphörde. Därmed blev avdelningschefernas ansvar för den löpande verksamheten tydligare. </w:t>
      </w:r>
    </w:p>
    <w:p w14:paraId="27739A53" w14:textId="77777777" w:rsidR="0048679D" w:rsidRPr="00A538DD" w:rsidRDefault="0048679D">
      <w:pPr>
        <w:numPr>
          <w:ilvl w:val="0"/>
          <w:numId w:val="51"/>
        </w:numPr>
        <w:tabs>
          <w:tab w:val="clear" w:pos="720"/>
        </w:tabs>
        <w:ind w:left="284" w:hanging="284"/>
      </w:pPr>
      <w:r w:rsidRPr="00A538DD">
        <w:t>För de penningpolitiska frågorna, frågor kring finansiell stabilitet, til</w:t>
      </w:r>
      <w:r w:rsidRPr="00A538DD">
        <w:t>l</w:t>
      </w:r>
      <w:r w:rsidRPr="00A538DD">
        <w:t>gångsförvaltningen, handläggning av remisser samt strategiska inform</w:t>
      </w:r>
      <w:r w:rsidRPr="00A538DD">
        <w:t>a</w:t>
      </w:r>
      <w:r w:rsidRPr="00A538DD">
        <w:t>tions- och kommunikationsfrågor utsåg direktionen vardera en ledamot med särskilt ansvar. Till dessa delegerades ansvaret att i dessa frågor lä</w:t>
      </w:r>
      <w:r w:rsidRPr="00A538DD">
        <w:t>g</w:t>
      </w:r>
      <w:r w:rsidRPr="00A538DD">
        <w:t>ga fram förslag till beslut samt att fatta beslut inom delegerade ramar. Samtidigt bestämdes att riksbankschefen har chefsansvar för samtliga a</w:t>
      </w:r>
      <w:r w:rsidRPr="00A538DD">
        <w:t>v</w:t>
      </w:r>
      <w:r w:rsidRPr="00A538DD">
        <w:t>delningschefer.</w:t>
      </w:r>
    </w:p>
    <w:p w14:paraId="18F4388C" w14:textId="77777777" w:rsidR="0048679D" w:rsidRPr="00A538DD" w:rsidRDefault="0048679D">
      <w:pPr>
        <w:numPr>
          <w:ilvl w:val="0"/>
          <w:numId w:val="51"/>
        </w:numPr>
        <w:tabs>
          <w:tab w:val="clear" w:pos="720"/>
        </w:tabs>
        <w:ind w:left="284" w:hanging="284"/>
      </w:pPr>
      <w:r w:rsidRPr="00A538DD">
        <w:t>En ledningsgrupp inrättades, bestående av avdelningscheferna för de sex stora avdelningarna och med stabsavdelningens chef som ordförande.</w:t>
      </w:r>
      <w:r w:rsidRPr="00A538DD">
        <w:t xml:space="preserve"> Chefen för stabsavdelningen fick ansvar för avdelningsövergripande sa</w:t>
      </w:r>
      <w:r w:rsidRPr="00A538DD">
        <w:t>m</w:t>
      </w:r>
      <w:r w:rsidRPr="00A538DD">
        <w:t xml:space="preserve">ordning. </w:t>
      </w:r>
    </w:p>
    <w:p w14:paraId="6C2A16E4" w14:textId="77777777" w:rsidR="0048679D" w:rsidRPr="00A538DD" w:rsidRDefault="0048679D">
      <w:pPr>
        <w:rPr>
          <w:b/>
        </w:rPr>
      </w:pPr>
      <w:r w:rsidRPr="00A538DD">
        <w:t>Förändringen innebär att direktionen ges ett större utrymme att fokusera sitt arbete på Riksbankens centrala områden, det vill säga penningpolitik och uppgiften att främja ett effektivt och säkert betalningsväsende, samt den str</w:t>
      </w:r>
      <w:r w:rsidRPr="00A538DD">
        <w:t>a</w:t>
      </w:r>
      <w:r w:rsidRPr="00A538DD">
        <w:t>tegiska ledningen av bankens verksamhet.</w:t>
      </w:r>
    </w:p>
    <w:p w14:paraId="25BD2656" w14:textId="77777777" w:rsidR="0048679D" w:rsidRPr="00A538DD" w:rsidRDefault="0048679D">
      <w:pPr>
        <w:pStyle w:val="R2"/>
      </w:pPr>
      <w:r w:rsidRPr="00A538DD">
        <w:t>Riksbankens avdelningar</w:t>
      </w:r>
    </w:p>
    <w:p w14:paraId="64746E4F" w14:textId="77777777" w:rsidR="0048679D" w:rsidRPr="00A538DD" w:rsidRDefault="0048679D">
      <w:pPr>
        <w:pStyle w:val="R3"/>
      </w:pPr>
      <w:r w:rsidRPr="00A538DD">
        <w:t>Avdelningen för penningpolitik</w:t>
      </w:r>
      <w:bookmarkEnd w:id="23"/>
    </w:p>
    <w:p w14:paraId="61B8A7F6" w14:textId="77777777" w:rsidR="0048679D" w:rsidRPr="00A538DD" w:rsidRDefault="0048679D">
      <w:r w:rsidRPr="00A538DD">
        <w:t>Svarar för den penningpolitiska analysen, som ger underlag för de beslut som fattas för att uppfylla målet om ett fast penningvärde. Avdelningen följer och analyserar prisutvecklingen samt ansvarar för finansmarknads- och beta</w:t>
      </w:r>
      <w:r w:rsidRPr="00A538DD">
        <w:t>l</w:t>
      </w:r>
      <w:r w:rsidRPr="00A538DD">
        <w:t>ningsbalansstatistik. Inom avdelningen finns även Riksbankens forskningse</w:t>
      </w:r>
      <w:r w:rsidRPr="00A538DD">
        <w:t>n</w:t>
      </w:r>
      <w:r w:rsidRPr="00A538DD">
        <w:t>het.</w:t>
      </w:r>
    </w:p>
    <w:p w14:paraId="04106B5A" w14:textId="77777777" w:rsidR="0048679D" w:rsidRPr="00A538DD" w:rsidRDefault="0048679D">
      <w:pPr>
        <w:pStyle w:val="Reservantfrslag"/>
      </w:pPr>
      <w:r w:rsidRPr="00A538DD">
        <w:t>Avdelningschef: Anders Vredin</w:t>
      </w:r>
    </w:p>
    <w:p w14:paraId="04F30D27" w14:textId="77777777" w:rsidR="0048679D" w:rsidRPr="00A538DD" w:rsidRDefault="0048679D">
      <w:pPr>
        <w:pStyle w:val="Reservantfrslag"/>
      </w:pPr>
      <w:r w:rsidRPr="00A538DD">
        <w:t>Antal årsarbetskrafter: 79</w:t>
      </w:r>
    </w:p>
    <w:p w14:paraId="7B4C4025" w14:textId="77777777" w:rsidR="0048679D" w:rsidRPr="00A538DD" w:rsidRDefault="0048679D">
      <w:pPr>
        <w:pStyle w:val="R3"/>
      </w:pPr>
      <w:bookmarkStart w:id="24" w:name="_Toc30311146"/>
      <w:r w:rsidRPr="00A538DD">
        <w:t>Avdelningen för finansiell stabilitet</w:t>
      </w:r>
      <w:bookmarkEnd w:id="24"/>
    </w:p>
    <w:p w14:paraId="3745C760" w14:textId="77777777" w:rsidR="0048679D" w:rsidRPr="00A538DD" w:rsidRDefault="0048679D">
      <w:r w:rsidRPr="00A538DD">
        <w:t>Svarar för analysen av det finansiella systemets stabilitet, som ger underlag för de beslut som fattas för att uppfylla målet om att främja ett säkert och effektivt betalningsväsende. Avdelningen övervakar och analyserar infr</w:t>
      </w:r>
      <w:r w:rsidRPr="00A538DD">
        <w:t>a</w:t>
      </w:r>
      <w:r w:rsidRPr="00A538DD">
        <w:t>strukturen i betalningssystemet, enskilda större aktörer samt kontanthante</w:t>
      </w:r>
      <w:r w:rsidRPr="00A538DD">
        <w:t>r</w:t>
      </w:r>
      <w:r w:rsidRPr="00A538DD">
        <w:t xml:space="preserve">ingen. Avdelningen ansvarar även för kontroll av de risker som uppstår i Riksbankens finansiella verksamhet. </w:t>
      </w:r>
    </w:p>
    <w:p w14:paraId="0AFE7223" w14:textId="77777777" w:rsidR="0048679D" w:rsidRPr="00A538DD" w:rsidRDefault="0048679D">
      <w:pPr>
        <w:pStyle w:val="Reservantfrslag"/>
      </w:pPr>
      <w:r w:rsidRPr="00A538DD">
        <w:t>Avdelningschef: Martin Andersson</w:t>
      </w:r>
    </w:p>
    <w:p w14:paraId="5E6D6E66" w14:textId="77777777" w:rsidR="0048679D" w:rsidRPr="00A538DD" w:rsidRDefault="0048679D">
      <w:pPr>
        <w:pStyle w:val="Reservantfrslag"/>
      </w:pPr>
      <w:r w:rsidRPr="00A538DD">
        <w:t>Antal årsarbetskrafter: 33</w:t>
      </w:r>
    </w:p>
    <w:p w14:paraId="2731160C" w14:textId="77777777" w:rsidR="0048679D" w:rsidRPr="00A538DD" w:rsidRDefault="0048679D">
      <w:pPr>
        <w:pStyle w:val="R3"/>
      </w:pPr>
      <w:bookmarkStart w:id="25" w:name="_Toc30311147"/>
      <w:r w:rsidRPr="00A538DD">
        <w:t>Avdelningen för marknadsoperationer</w:t>
      </w:r>
      <w:bookmarkEnd w:id="25"/>
    </w:p>
    <w:p w14:paraId="21279FC8" w14:textId="77777777" w:rsidR="0048679D" w:rsidRPr="00A538DD" w:rsidRDefault="0048679D">
      <w:r w:rsidRPr="00A538DD">
        <w:t>Genomför penning- och valutapolitiska åtgärder i syfte att påverka ränte- och/eller växelkursen enligt de penningpolitiska besluten. Därutöver förvaltar avdelningen Riksbankens tillgångar i utländsk valuta och samlar in statistik om ränte- och valutamarknaderna. Avdelningen ansvarar även för driften av Riksbankens betalningssystem för stora betalningar mellan bankerna och för försörjningen av sedlar och mynt.</w:t>
      </w:r>
    </w:p>
    <w:p w14:paraId="082971D5" w14:textId="77777777" w:rsidR="0048679D" w:rsidRPr="00A538DD" w:rsidRDefault="0048679D">
      <w:pPr>
        <w:pStyle w:val="Reservantfrslag"/>
      </w:pPr>
      <w:r w:rsidRPr="00A538DD">
        <w:t>Avdelningschef: Kai Barvèll</w:t>
      </w:r>
    </w:p>
    <w:p w14:paraId="3900B85E" w14:textId="77777777" w:rsidR="0048679D" w:rsidRPr="00A538DD" w:rsidRDefault="0048679D">
      <w:pPr>
        <w:pStyle w:val="Reservantfrslag"/>
      </w:pPr>
      <w:r w:rsidRPr="00A538DD">
        <w:t>Antal årsarbetskrafter</w:t>
      </w:r>
      <w:bookmarkStart w:id="26" w:name="_Toc30311148"/>
      <w:r w:rsidRPr="00A538DD">
        <w:t>: 82</w:t>
      </w:r>
    </w:p>
    <w:p w14:paraId="6BADCCA1" w14:textId="77777777" w:rsidR="0048679D" w:rsidRPr="00A538DD" w:rsidRDefault="0048679D">
      <w:pPr>
        <w:pStyle w:val="R3"/>
      </w:pPr>
      <w:r w:rsidRPr="00A538DD">
        <w:t>Administrativa avdelningen</w:t>
      </w:r>
      <w:bookmarkEnd w:id="26"/>
    </w:p>
    <w:p w14:paraId="05903E91" w14:textId="77777777" w:rsidR="0048679D" w:rsidRPr="00A538DD" w:rsidRDefault="0048679D">
      <w:r w:rsidRPr="00A538DD">
        <w:t>Svarar för personalutveckling och kompetensförsörjning, kontors- och fasti</w:t>
      </w:r>
      <w:r w:rsidRPr="00A538DD">
        <w:t>g</w:t>
      </w:r>
      <w:r w:rsidRPr="00A538DD">
        <w:t>hetsservice, transporter, säkerhet, underlag för verksamhetsplanering och budget, redovisning, löne- och ekonomisystem samt finansadministration.</w:t>
      </w:r>
    </w:p>
    <w:p w14:paraId="09BD00BE" w14:textId="77777777" w:rsidR="0048679D" w:rsidRPr="00A538DD" w:rsidRDefault="0048679D">
      <w:pPr>
        <w:pStyle w:val="Reservantfrslag"/>
      </w:pPr>
      <w:r w:rsidRPr="00A538DD">
        <w:t>Avdelningschef: Agneta Rönström</w:t>
      </w:r>
    </w:p>
    <w:p w14:paraId="32D2381D" w14:textId="77777777" w:rsidR="0048679D" w:rsidRPr="00A538DD" w:rsidRDefault="0048679D">
      <w:pPr>
        <w:pStyle w:val="Reservantfrslag"/>
      </w:pPr>
      <w:r w:rsidRPr="00A538DD">
        <w:t>Antal årsarbetskrafter: 104</w:t>
      </w:r>
    </w:p>
    <w:p w14:paraId="45BF8820" w14:textId="77777777" w:rsidR="0048679D" w:rsidRPr="00A538DD" w:rsidRDefault="0048679D">
      <w:pPr>
        <w:pStyle w:val="R3"/>
      </w:pPr>
      <w:r w:rsidRPr="00A538DD">
        <w:t>Stabsavdelningen</w:t>
      </w:r>
    </w:p>
    <w:p w14:paraId="5FD61A6D" w14:textId="77777777" w:rsidR="0048679D" w:rsidRPr="00A538DD" w:rsidRDefault="0048679D">
      <w:r w:rsidRPr="00A538DD">
        <w:t>Svarar för att samordna den löpande verksamheten samt stödja direktionens styrning och strategiska utveckling av verksamheten. Samordnar Riksbankens informationsverksamhet och det internationella arbetet samt handlägger jur</w:t>
      </w:r>
      <w:r w:rsidRPr="00A538DD">
        <w:t>i</w:t>
      </w:r>
      <w:r w:rsidRPr="00A538DD">
        <w:t xml:space="preserve">diska frågor. </w:t>
      </w:r>
    </w:p>
    <w:p w14:paraId="33C0A988" w14:textId="77777777" w:rsidR="0048679D" w:rsidRPr="00A538DD" w:rsidRDefault="0048679D">
      <w:pPr>
        <w:pStyle w:val="Reservantfrslag"/>
      </w:pPr>
      <w:r w:rsidRPr="00A538DD">
        <w:t>Avdelningschef: Mats Galvenius</w:t>
      </w:r>
    </w:p>
    <w:p w14:paraId="01348965" w14:textId="77777777" w:rsidR="0048679D" w:rsidRPr="00A538DD" w:rsidRDefault="0048679D">
      <w:pPr>
        <w:pStyle w:val="Reservantfrslag"/>
        <w:rPr>
          <w:u w:val="single"/>
        </w:rPr>
      </w:pPr>
      <w:r w:rsidRPr="00A538DD">
        <w:t>Antal årsarbetskrafter: 52 (inklusive direktionen)</w:t>
      </w:r>
      <w:bookmarkStart w:id="27" w:name="_Toc30311153"/>
    </w:p>
    <w:p w14:paraId="5787AA00" w14:textId="77777777" w:rsidR="0048679D" w:rsidRPr="00A538DD" w:rsidRDefault="0048679D">
      <w:pPr>
        <w:pStyle w:val="R3"/>
      </w:pPr>
      <w:r w:rsidRPr="00A538DD">
        <w:t>IT-avdelningen</w:t>
      </w:r>
    </w:p>
    <w:p w14:paraId="0A91B8B1" w14:textId="77777777" w:rsidR="0048679D" w:rsidRPr="00A538DD" w:rsidRDefault="0048679D">
      <w:r w:rsidRPr="00A538DD">
        <w:t>Förvaltar och underhåller bankens IT-infrastruktur samt utvecklar och up</w:t>
      </w:r>
      <w:r w:rsidRPr="00A538DD">
        <w:t>p</w:t>
      </w:r>
      <w:r w:rsidRPr="00A538DD">
        <w:t>handlar nya applikationer.</w:t>
      </w:r>
    </w:p>
    <w:p w14:paraId="13671274" w14:textId="77777777" w:rsidR="0048679D" w:rsidRPr="00A538DD" w:rsidRDefault="0048679D">
      <w:pPr>
        <w:pStyle w:val="Reservantfrslag"/>
      </w:pPr>
      <w:r w:rsidRPr="00A538DD">
        <w:t>Avdelningschef: Marie Rudberg</w:t>
      </w:r>
    </w:p>
    <w:p w14:paraId="743BAFCC" w14:textId="77777777" w:rsidR="0048679D" w:rsidRPr="00A538DD" w:rsidRDefault="0048679D">
      <w:pPr>
        <w:pStyle w:val="Reservantfrslag"/>
      </w:pPr>
      <w:r w:rsidRPr="00A538DD">
        <w:t>Antal årsarbetskrafter: 78</w:t>
      </w:r>
    </w:p>
    <w:p w14:paraId="30D42623" w14:textId="77777777" w:rsidR="0048679D" w:rsidRPr="00A538DD" w:rsidRDefault="0048679D">
      <w:pPr>
        <w:pStyle w:val="R3"/>
      </w:pPr>
      <w:r w:rsidRPr="00A538DD">
        <w:t>Internrevisionsavdelningen</w:t>
      </w:r>
      <w:bookmarkEnd w:id="27"/>
    </w:p>
    <w:p w14:paraId="55C7DE76" w14:textId="77777777" w:rsidR="0048679D" w:rsidRPr="00A538DD" w:rsidRDefault="0048679D">
      <w:r w:rsidRPr="00A538DD">
        <w:t xml:space="preserve">Granskar och utvärderar bankens verksamhet samt bidrar till att arbetet i Riksbanken utformas effektivt och säkert. </w:t>
      </w:r>
    </w:p>
    <w:p w14:paraId="6FAE3539" w14:textId="77777777" w:rsidR="0048679D" w:rsidRPr="00A538DD" w:rsidRDefault="0048679D">
      <w:pPr>
        <w:pStyle w:val="Reservantfrslag"/>
      </w:pPr>
      <w:r w:rsidRPr="00A538DD">
        <w:t>Avdelningschef: Ulrika Bergelv</w:t>
      </w:r>
    </w:p>
    <w:p w14:paraId="093CBC2E" w14:textId="77777777" w:rsidR="0048679D" w:rsidRPr="00A538DD" w:rsidRDefault="0048679D">
      <w:pPr>
        <w:pStyle w:val="Reservantfrslag"/>
      </w:pPr>
      <w:r w:rsidRPr="00A538DD">
        <w:t>Antal årsarbetskrafter: 5</w:t>
      </w:r>
    </w:p>
    <w:p w14:paraId="7A0BD68C" w14:textId="77777777" w:rsidR="0048679D" w:rsidRPr="00A538DD" w:rsidRDefault="0048679D">
      <w:bookmarkStart w:id="28" w:name="_Toc30311154"/>
      <w:r w:rsidRPr="00A538DD">
        <w:t>Utöver detta finns en kanslifunktion för riksbanksfullmäktige som också arbetar med att avveckla Riksbankens bolag. Chef för denna funktion är Björn Hasselgren.</w:t>
      </w:r>
      <w:bookmarkEnd w:id="28"/>
    </w:p>
    <w:p w14:paraId="3332AEA6" w14:textId="77777777" w:rsidR="0048679D" w:rsidRPr="00A538DD" w:rsidRDefault="0048679D">
      <w:r w:rsidRPr="00A538DD">
        <w:t xml:space="preserve">Antal årsarbetskrafter avser antalet vid årets slut. </w:t>
      </w:r>
    </w:p>
    <w:p w14:paraId="3A62DE76" w14:textId="77777777" w:rsidR="0048679D" w:rsidRPr="00A538DD" w:rsidRDefault="0048679D">
      <w:pPr>
        <w:pStyle w:val="R2"/>
      </w:pPr>
      <w:r w:rsidRPr="00A538DD">
        <w:t>Medarbetare</w:t>
      </w:r>
    </w:p>
    <w:p w14:paraId="7DFD2BA1" w14:textId="77777777" w:rsidR="0048679D" w:rsidRPr="00A538DD" w:rsidRDefault="0048679D">
      <w:r w:rsidRPr="00A538DD">
        <w:t>Under 2004 har Riksbankens personalarbete framför allt varit inriktat på att stödja cheferna vid omställningsarbete, bl.a. vid införlivandet av SKAB:s kontanthanteringsverksamhet i Riksbanken. Personalenheten har också på olika sätt arbetat för att öka den interna rörligheten och ge medarbetarna möjligheter att utvecklas i sina yrkesroller. Fortsatt utbyggnad av det syst</w:t>
      </w:r>
      <w:r w:rsidRPr="00A538DD">
        <w:t>e</w:t>
      </w:r>
      <w:r w:rsidRPr="00A538DD">
        <w:t xml:space="preserve">matiska arbetsmiljöarbetet på Riksbanken har också stått i fokus under 2004. </w:t>
      </w:r>
    </w:p>
    <w:p w14:paraId="747FCCBA" w14:textId="77777777" w:rsidR="0048679D" w:rsidRPr="00A538DD" w:rsidRDefault="0048679D">
      <w:pPr>
        <w:pStyle w:val="Normaltindrag"/>
      </w:pPr>
      <w:r w:rsidRPr="00A538DD">
        <w:t>Riksbankens chefer har genomgått den andra delen av en chefs- och leda</w:t>
      </w:r>
      <w:r w:rsidRPr="00A538DD">
        <w:t>r</w:t>
      </w:r>
      <w:r w:rsidRPr="00A538DD">
        <w:t>skapsutbildning. Utbildningen har framför allt fokuserat på kommunikation och cheferna har tränats i att lyssna aktivt och att kommunicera tydliga bu</w:t>
      </w:r>
      <w:r w:rsidRPr="00A538DD">
        <w:t>d</w:t>
      </w:r>
      <w:r w:rsidRPr="00A538DD">
        <w:t>skap. Utbildningen har också behandlat de grundläggande krav och förvän</w:t>
      </w:r>
      <w:r w:rsidRPr="00A538DD">
        <w:t>t</w:t>
      </w:r>
      <w:r w:rsidRPr="00A538DD">
        <w:t>ningar som medarbetarna har på sin chef samt de förväntningar som finns på cheferna i arbetsgivarrollen. Syftet är att utveckla både det egna chefs- och ledarskapet samt att skapa samsyn kring ledarskapet i banken.</w:t>
      </w:r>
    </w:p>
    <w:p w14:paraId="65DDE48B" w14:textId="77777777" w:rsidR="0048679D" w:rsidRPr="00A538DD" w:rsidRDefault="0048679D">
      <w:pPr>
        <w:pStyle w:val="R3"/>
        <w:rPr>
          <w:b w:val="0"/>
          <w:i/>
        </w:rPr>
      </w:pPr>
      <w:r w:rsidRPr="00A538DD">
        <w:t>Kompetensutveckling</w:t>
      </w:r>
      <w:r w:rsidRPr="00A538DD">
        <w:rPr>
          <w:b w:val="0"/>
          <w:i/>
        </w:rPr>
        <w:t xml:space="preserve"> </w:t>
      </w:r>
    </w:p>
    <w:p w14:paraId="0C9594C5" w14:textId="77777777" w:rsidR="0048679D" w:rsidRPr="00A538DD" w:rsidRDefault="0048679D">
      <w:r w:rsidRPr="00A538DD">
        <w:t>I en kunskapsintensiv organisation som Riksbanken är det viktigt med ko</w:t>
      </w:r>
      <w:r w:rsidRPr="00A538DD">
        <w:t>m</w:t>
      </w:r>
      <w:r w:rsidRPr="00A538DD">
        <w:t>petensutveckling. En betydande del av utvecklingen sker i arbetet genom att lära av andra. Riksbanken erbjuder också interna kurser inom olika områden. Medarbetarna har dessutom möjlighet till extern utbildning, både nationellt och internationellt, för fördjupning av olika specialistkompetenser. Seminar</w:t>
      </w:r>
      <w:r w:rsidRPr="00A538DD">
        <w:t>i</w:t>
      </w:r>
      <w:r w:rsidRPr="00A538DD">
        <w:t>er, arbete i internationella kommittéer och arbetsgrupper samt utbyte med andra centralbanker ger också goda möjligheter till fördjupning och bred</w:t>
      </w:r>
      <w:r w:rsidRPr="00A538DD">
        <w:t>d</w:t>
      </w:r>
      <w:r w:rsidRPr="00A538DD">
        <w:t xml:space="preserve">ning inom det egna arbetsområdet. </w:t>
      </w:r>
    </w:p>
    <w:p w14:paraId="61790F19" w14:textId="77777777" w:rsidR="0048679D" w:rsidRPr="00A538DD" w:rsidRDefault="0048679D">
      <w:pPr>
        <w:pStyle w:val="Diagramrubrik"/>
      </w:pPr>
      <w:r w:rsidRPr="00A538DD">
        <w:t>Diagram 9. Utbildningsni</w:t>
      </w:r>
      <w:r w:rsidRPr="00A538DD">
        <w:t xml:space="preserve">vå </w:t>
      </w:r>
    </w:p>
    <w:p w14:paraId="7C45217F" w14:textId="536447B5" w:rsidR="0048679D" w:rsidRPr="00A538DD" w:rsidRDefault="00A538DD">
      <w:pPr>
        <w:pStyle w:val="rIngress"/>
        <w:ind w:right="-2"/>
        <w:rPr>
          <w:rFonts w:ascii="Times New Roman" w:hAnsi="Times New Roman"/>
          <w:i w:val="0"/>
          <w:sz w:val="19"/>
        </w:rPr>
      </w:pPr>
      <w:r w:rsidRPr="00A538DD">
        <w:rPr>
          <w:noProof/>
        </w:rPr>
        <w:drawing>
          <wp:inline distT="0" distB="0" distL="0" distR="0" wp14:anchorId="4BFB72A0" wp14:editId="0B799C0D">
            <wp:extent cx="3826510" cy="214439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grayscl/>
                      <a:extLst>
                        <a:ext uri="{28A0092B-C50C-407E-A947-70E740481C1C}">
                          <a14:useLocalDpi xmlns:a14="http://schemas.microsoft.com/office/drawing/2010/main" val="0"/>
                        </a:ext>
                      </a:extLst>
                    </a:blip>
                    <a:srcRect/>
                    <a:stretch>
                      <a:fillRect/>
                    </a:stretch>
                  </pic:blipFill>
                  <pic:spPr bwMode="auto">
                    <a:xfrm>
                      <a:off x="0" y="0"/>
                      <a:ext cx="3826510" cy="2144395"/>
                    </a:xfrm>
                    <a:prstGeom prst="rect">
                      <a:avLst/>
                    </a:prstGeom>
                    <a:noFill/>
                    <a:ln>
                      <a:noFill/>
                    </a:ln>
                  </pic:spPr>
                </pic:pic>
              </a:graphicData>
            </a:graphic>
          </wp:inline>
        </w:drawing>
      </w:r>
    </w:p>
    <w:p w14:paraId="0323092A" w14:textId="77777777" w:rsidR="0048679D" w:rsidRPr="00A538DD" w:rsidRDefault="0048679D">
      <w:pPr>
        <w:rPr>
          <w:sz w:val="16"/>
        </w:rPr>
      </w:pPr>
      <w:r w:rsidRPr="00A538DD">
        <w:rPr>
          <w:sz w:val="16"/>
        </w:rPr>
        <w:t>Anm. Cirka 60 % av Riksbankens medarbetare har akademisk utbildning.</w:t>
      </w:r>
    </w:p>
    <w:p w14:paraId="722345D4" w14:textId="77777777" w:rsidR="0048679D" w:rsidRPr="00A538DD" w:rsidRDefault="0048679D"/>
    <w:p w14:paraId="4E3AD159" w14:textId="77777777" w:rsidR="0048679D" w:rsidRPr="00A538DD" w:rsidRDefault="0048679D">
      <w:pPr>
        <w:pStyle w:val="R3"/>
      </w:pPr>
      <w:r w:rsidRPr="00A538DD">
        <w:t xml:space="preserve">Jämställdhet och etnisk mångfald </w:t>
      </w:r>
    </w:p>
    <w:p w14:paraId="417E3380" w14:textId="77777777" w:rsidR="0048679D" w:rsidRPr="00A538DD" w:rsidRDefault="0048679D">
      <w:r w:rsidRPr="00A538DD">
        <w:t>Riksbanken strävar efter att alla medarbetare ska bedömas utifrån den egna prestationen och den egna personligheten och inte utifrån eventuell grupptil</w:t>
      </w:r>
      <w:r w:rsidRPr="00A538DD">
        <w:t>l</w:t>
      </w:r>
      <w:r w:rsidRPr="00A538DD">
        <w:t xml:space="preserve">hörighet såsom kön eller etnisk tillhörighet. Riksbanken har sedan lång tid tillbaka arbetat framgångsrikt för att öka jämställdheten mellan könen. Det är ett långsiktigt arbete som går ut på att öka medvetenheten om och förändra attityder till jämställdhet och mångfald. Fördelningen mellan könen är för närvarande relativt jämn: 44 </w:t>
      </w:r>
      <w:r w:rsidRPr="00A538DD">
        <w:rPr>
          <w:sz w:val="16"/>
        </w:rPr>
        <w:t>%</w:t>
      </w:r>
      <w:r w:rsidRPr="00A538DD">
        <w:t xml:space="preserve"> kvinnor och 56 </w:t>
      </w:r>
      <w:r w:rsidRPr="00A538DD">
        <w:rPr>
          <w:sz w:val="16"/>
        </w:rPr>
        <w:t>%</w:t>
      </w:r>
      <w:r w:rsidRPr="00A538DD">
        <w:t xml:space="preserve"> män. På chefsnivå är förde</w:t>
      </w:r>
      <w:r w:rsidRPr="00A538DD">
        <w:t>l</w:t>
      </w:r>
      <w:r w:rsidRPr="00A538DD">
        <w:t xml:space="preserve">ningen, 40 </w:t>
      </w:r>
      <w:r w:rsidRPr="00A538DD">
        <w:rPr>
          <w:sz w:val="16"/>
        </w:rPr>
        <w:t>%</w:t>
      </w:r>
      <w:r w:rsidRPr="00A538DD">
        <w:t xml:space="preserve"> kvinnor och 60 </w:t>
      </w:r>
      <w:r w:rsidRPr="00A538DD">
        <w:rPr>
          <w:sz w:val="16"/>
        </w:rPr>
        <w:t>%</w:t>
      </w:r>
      <w:r w:rsidRPr="00A538DD">
        <w:t xml:space="preserve"> män. I Riksbankens direktion är fördelningen jämn: tre män och tre kvinnor. Inom ramen för jämställdh</w:t>
      </w:r>
      <w:r w:rsidRPr="00A538DD">
        <w:t>etsplanen har arb</w:t>
      </w:r>
      <w:r w:rsidRPr="00A538DD">
        <w:t>e</w:t>
      </w:r>
      <w:r w:rsidRPr="00A538DD">
        <w:t xml:space="preserve">tet med att utjämna osakliga löneskillnader fortsatt. Attityder till jämställdhet samt mäns och kvinnors olika sätt att kommunicera har behandlats inom ramen för chefsutbildningen. Personalenheten har genomfört en översyn av rekryteringsprocessen från ett mångfaldsperspektiv, och Riksbankens chefer har fått utbildning i vad mångfaldslagstiftningen, och arbetsgivarrollen inom detta område, innebär. </w:t>
      </w:r>
    </w:p>
    <w:p w14:paraId="218A8C1F" w14:textId="77777777" w:rsidR="0048679D" w:rsidRPr="00A538DD" w:rsidRDefault="0048679D">
      <w:pPr>
        <w:pStyle w:val="R3"/>
      </w:pPr>
      <w:r w:rsidRPr="00A538DD">
        <w:t xml:space="preserve">Arbetsmiljö </w:t>
      </w:r>
    </w:p>
    <w:p w14:paraId="5B2E33D6" w14:textId="77777777" w:rsidR="0048679D" w:rsidRPr="00A538DD" w:rsidRDefault="0048679D">
      <w:r w:rsidRPr="00A538DD">
        <w:t>Riksbanken strävar efter att vara en arbetsplats där medarbetarna kan förena privatliv och höga professionella ambitioner. Arbetsmiljöarbetet på Riksba</w:t>
      </w:r>
      <w:r w:rsidRPr="00A538DD">
        <w:t>n</w:t>
      </w:r>
      <w:r w:rsidRPr="00A538DD">
        <w:t>ken syftar till att åstadkomma en arbetsmiljö som ökar medarbetarnas mot</w:t>
      </w:r>
      <w:r w:rsidRPr="00A538DD">
        <w:t>i</w:t>
      </w:r>
      <w:r w:rsidRPr="00A538DD">
        <w:t>vation, arbetsglädje och effektivitet. Genom medarbetarsamtal och avgång</w:t>
      </w:r>
      <w:r w:rsidRPr="00A538DD">
        <w:t>s</w:t>
      </w:r>
      <w:r w:rsidRPr="00A538DD">
        <w:t>intervjuer formas en bild av hur medarbetarna upplever sin arbetssituation. På så sätt kan Riksbanken identifiera förbättringsområden och sätta mål för ett bättre arbetsklimat. Under 2004 har det pågått en utbyggnad av det system</w:t>
      </w:r>
      <w:r w:rsidRPr="00A538DD">
        <w:t>a</w:t>
      </w:r>
      <w:r w:rsidRPr="00A538DD">
        <w:t>tiska arbetsmiljöarbetet.</w:t>
      </w:r>
    </w:p>
    <w:p w14:paraId="168789E3" w14:textId="77777777" w:rsidR="0048679D" w:rsidRPr="00A538DD" w:rsidRDefault="0048679D">
      <w:pPr>
        <w:pStyle w:val="Normaltindrag"/>
        <w:rPr>
          <w:b/>
        </w:rPr>
      </w:pPr>
      <w:r w:rsidRPr="00A538DD">
        <w:t xml:space="preserve">Riksbanken har en väl utbyggd friskvårdsverksamhet som innefattar olika former av fysisk träning, avspänning </w:t>
      </w:r>
      <w:r w:rsidRPr="00A538DD">
        <w:t xml:space="preserve">och kostrådgivning. I riksbankshuset finns en välutrustad träningslokal. </w:t>
      </w:r>
    </w:p>
    <w:p w14:paraId="68C18794" w14:textId="77777777" w:rsidR="0048679D" w:rsidRPr="00A538DD" w:rsidRDefault="0048679D">
      <w:pPr>
        <w:pStyle w:val="R3"/>
      </w:pPr>
      <w:r w:rsidRPr="00A538DD">
        <w:t>Personalomsättning och frånvaro</w:t>
      </w:r>
    </w:p>
    <w:p w14:paraId="637B28DB" w14:textId="77777777" w:rsidR="0048679D" w:rsidRPr="00A538DD" w:rsidRDefault="0048679D">
      <w:r w:rsidRPr="00A538DD">
        <w:t xml:space="preserve">Medelantalet anställda, beräknat som årsarbetskrafter, uppgick under året till 420 personer varav 189 kvinnor och 231 män. Antalet anställda vid årets slut uppgick till 434 årsarbetskrafter varav 33 avser personer tidigare anställda i SKAB. Antalet anställda har reducerats kraftigt den senaste tioårsperioden. 1995 hade Riksbanken 755 årsarbetskrafter i genomsnitt. </w:t>
      </w:r>
    </w:p>
    <w:p w14:paraId="06DB4F93" w14:textId="77777777" w:rsidR="0048679D" w:rsidRPr="00A538DD" w:rsidRDefault="0048679D">
      <w:pPr>
        <w:pStyle w:val="Normaltindrag"/>
      </w:pPr>
      <w:r w:rsidRPr="00A538DD">
        <w:t xml:space="preserve">Personalomsättningen minskade något under 2004 från 9 </w:t>
      </w:r>
      <w:r w:rsidRPr="00A538DD">
        <w:rPr>
          <w:sz w:val="16"/>
        </w:rPr>
        <w:t>%</w:t>
      </w:r>
      <w:r w:rsidRPr="00A538DD">
        <w:t xml:space="preserve"> till 8 </w:t>
      </w:r>
      <w:r w:rsidRPr="00A538DD">
        <w:rPr>
          <w:sz w:val="16"/>
        </w:rPr>
        <w:t>%</w:t>
      </w:r>
      <w:r w:rsidRPr="00A538DD">
        <w:t>. Den genomsnittliga anställningstiden var 10 år.</w:t>
      </w:r>
    </w:p>
    <w:p w14:paraId="2688711A" w14:textId="77777777" w:rsidR="0048679D" w:rsidRPr="00A538DD" w:rsidRDefault="0048679D">
      <w:pPr>
        <w:pStyle w:val="Normaltindrag"/>
      </w:pPr>
      <w:r w:rsidRPr="00A538DD">
        <w:t>Den totala sjukfrånvaron av den sammanlagda arbetstiden uppgick till 6,0 </w:t>
      </w:r>
      <w:r w:rsidRPr="00A538DD">
        <w:rPr>
          <w:sz w:val="16"/>
        </w:rPr>
        <w:t>%</w:t>
      </w:r>
      <w:r w:rsidRPr="00A538DD">
        <w:t xml:space="preserve"> för kvinnor och 3,0 </w:t>
      </w:r>
      <w:r w:rsidRPr="00A538DD">
        <w:rPr>
          <w:sz w:val="16"/>
        </w:rPr>
        <w:t>%</w:t>
      </w:r>
      <w:r w:rsidRPr="00A538DD">
        <w:t xml:space="preserve"> för män. </w:t>
      </w:r>
    </w:p>
    <w:p w14:paraId="5B67BCD9" w14:textId="77777777" w:rsidR="0048679D" w:rsidRPr="00A538DD" w:rsidRDefault="0048679D">
      <w:pPr>
        <w:pStyle w:val="Tabellrubrik"/>
        <w:spacing w:before="0"/>
        <w:ind w:left="426" w:hanging="993"/>
      </w:pPr>
      <w:r w:rsidRPr="00A538DD">
        <w:br w:type="page"/>
        <w:t>Tabell 4.</w:t>
      </w:r>
      <w:r w:rsidRPr="00A538DD">
        <w:tab/>
        <w:t>Medelantal anställda (årsarbetskra</w:t>
      </w:r>
      <w:r w:rsidRPr="00A538DD">
        <w:t>f</w:t>
      </w:r>
      <w:r w:rsidRPr="00A538DD">
        <w:t>ter)</w:t>
      </w:r>
    </w:p>
    <w:tbl>
      <w:tblPr>
        <w:tblW w:w="0" w:type="auto"/>
        <w:tblInd w:w="-567" w:type="dxa"/>
        <w:tblLayout w:type="fixed"/>
        <w:tblCellMar>
          <w:left w:w="70" w:type="dxa"/>
          <w:right w:w="70" w:type="dxa"/>
        </w:tblCellMar>
        <w:tblLook w:val="0000" w:firstRow="0" w:lastRow="0" w:firstColumn="0" w:lastColumn="0" w:noHBand="0" w:noVBand="0"/>
      </w:tblPr>
      <w:tblGrid>
        <w:gridCol w:w="3122"/>
        <w:gridCol w:w="960"/>
        <w:gridCol w:w="960"/>
        <w:gridCol w:w="913"/>
        <w:gridCol w:w="913"/>
      </w:tblGrid>
      <w:tr w:rsidR="00000000" w:rsidRPr="00A538DD" w14:paraId="322BAB8F" w14:textId="77777777">
        <w:tblPrEx>
          <w:tblCellMar>
            <w:top w:w="0" w:type="dxa"/>
            <w:bottom w:w="0" w:type="dxa"/>
          </w:tblCellMar>
        </w:tblPrEx>
        <w:trPr>
          <w:trHeight w:val="255"/>
        </w:trPr>
        <w:tc>
          <w:tcPr>
            <w:tcW w:w="3122" w:type="dxa"/>
            <w:tcBorders>
              <w:top w:val="single" w:sz="4" w:space="0" w:color="auto"/>
              <w:left w:val="nil"/>
              <w:bottom w:val="single" w:sz="4" w:space="0" w:color="auto"/>
              <w:right w:val="nil"/>
            </w:tcBorders>
            <w:shd w:val="pct5" w:color="auto" w:fill="auto"/>
            <w:vAlign w:val="bottom"/>
          </w:tcPr>
          <w:p w14:paraId="35C4B8D5" w14:textId="77777777" w:rsidR="0048679D" w:rsidRPr="00A538DD" w:rsidRDefault="0048679D">
            <w:pPr>
              <w:rPr>
                <w:b/>
                <w:sz w:val="20"/>
              </w:rPr>
            </w:pPr>
            <w:r w:rsidRPr="00A538DD">
              <w:rPr>
                <w:b/>
                <w:sz w:val="20"/>
              </w:rPr>
              <w:t> </w:t>
            </w:r>
          </w:p>
        </w:tc>
        <w:tc>
          <w:tcPr>
            <w:tcW w:w="960" w:type="dxa"/>
            <w:tcBorders>
              <w:top w:val="single" w:sz="4" w:space="0" w:color="auto"/>
              <w:left w:val="nil"/>
              <w:bottom w:val="single" w:sz="4" w:space="0" w:color="auto"/>
              <w:right w:val="nil"/>
            </w:tcBorders>
            <w:shd w:val="pct5" w:color="auto" w:fill="auto"/>
            <w:vAlign w:val="bottom"/>
          </w:tcPr>
          <w:p w14:paraId="56F3A1B6" w14:textId="77777777" w:rsidR="0048679D" w:rsidRPr="00A538DD" w:rsidRDefault="0048679D">
            <w:pPr>
              <w:jc w:val="center"/>
              <w:rPr>
                <w:b/>
                <w:sz w:val="20"/>
              </w:rPr>
            </w:pPr>
            <w:r w:rsidRPr="00A538DD">
              <w:rPr>
                <w:b/>
                <w:sz w:val="20"/>
              </w:rPr>
              <w:t>1995</w:t>
            </w:r>
          </w:p>
        </w:tc>
        <w:tc>
          <w:tcPr>
            <w:tcW w:w="960" w:type="dxa"/>
            <w:tcBorders>
              <w:top w:val="single" w:sz="4" w:space="0" w:color="auto"/>
              <w:left w:val="nil"/>
              <w:bottom w:val="single" w:sz="4" w:space="0" w:color="auto"/>
              <w:right w:val="nil"/>
            </w:tcBorders>
            <w:shd w:val="pct5" w:color="auto" w:fill="auto"/>
            <w:vAlign w:val="bottom"/>
          </w:tcPr>
          <w:p w14:paraId="5B8FB741" w14:textId="77777777" w:rsidR="0048679D" w:rsidRPr="00A538DD" w:rsidRDefault="0048679D">
            <w:pPr>
              <w:jc w:val="center"/>
              <w:rPr>
                <w:b/>
                <w:sz w:val="20"/>
              </w:rPr>
            </w:pPr>
            <w:r w:rsidRPr="00A538DD">
              <w:rPr>
                <w:b/>
                <w:sz w:val="20"/>
              </w:rPr>
              <w:t>2002</w:t>
            </w:r>
          </w:p>
        </w:tc>
        <w:tc>
          <w:tcPr>
            <w:tcW w:w="913" w:type="dxa"/>
            <w:tcBorders>
              <w:top w:val="single" w:sz="4" w:space="0" w:color="auto"/>
              <w:left w:val="nil"/>
              <w:bottom w:val="single" w:sz="4" w:space="0" w:color="auto"/>
              <w:right w:val="nil"/>
            </w:tcBorders>
            <w:shd w:val="pct5" w:color="auto" w:fill="auto"/>
          </w:tcPr>
          <w:p w14:paraId="33762749" w14:textId="77777777" w:rsidR="0048679D" w:rsidRPr="00A538DD" w:rsidRDefault="0048679D">
            <w:pPr>
              <w:jc w:val="center"/>
              <w:rPr>
                <w:b/>
                <w:sz w:val="20"/>
              </w:rPr>
            </w:pPr>
            <w:r w:rsidRPr="00A538DD">
              <w:rPr>
                <w:b/>
                <w:sz w:val="20"/>
              </w:rPr>
              <w:t>2003</w:t>
            </w:r>
          </w:p>
        </w:tc>
        <w:tc>
          <w:tcPr>
            <w:tcW w:w="913" w:type="dxa"/>
            <w:tcBorders>
              <w:top w:val="single" w:sz="4" w:space="0" w:color="auto"/>
              <w:left w:val="nil"/>
              <w:bottom w:val="single" w:sz="4" w:space="0" w:color="auto"/>
              <w:right w:val="nil"/>
            </w:tcBorders>
            <w:shd w:val="pct5" w:color="auto" w:fill="auto"/>
            <w:vAlign w:val="bottom"/>
          </w:tcPr>
          <w:p w14:paraId="56CDD9DC" w14:textId="77777777" w:rsidR="0048679D" w:rsidRPr="00A538DD" w:rsidRDefault="0048679D">
            <w:pPr>
              <w:jc w:val="center"/>
              <w:rPr>
                <w:b/>
                <w:sz w:val="20"/>
              </w:rPr>
            </w:pPr>
            <w:r w:rsidRPr="00A538DD">
              <w:rPr>
                <w:b/>
                <w:sz w:val="20"/>
              </w:rPr>
              <w:t>2004</w:t>
            </w:r>
          </w:p>
        </w:tc>
      </w:tr>
      <w:tr w:rsidR="00000000" w:rsidRPr="00A538DD" w14:paraId="5613CB2C" w14:textId="77777777">
        <w:tblPrEx>
          <w:tblCellMar>
            <w:top w:w="0" w:type="dxa"/>
            <w:bottom w:w="0" w:type="dxa"/>
          </w:tblCellMar>
        </w:tblPrEx>
        <w:trPr>
          <w:trHeight w:val="255"/>
        </w:trPr>
        <w:tc>
          <w:tcPr>
            <w:tcW w:w="3122" w:type="dxa"/>
            <w:tcBorders>
              <w:top w:val="single" w:sz="4" w:space="0" w:color="auto"/>
              <w:left w:val="nil"/>
              <w:bottom w:val="nil"/>
              <w:right w:val="nil"/>
            </w:tcBorders>
            <w:vAlign w:val="bottom"/>
          </w:tcPr>
          <w:p w14:paraId="5061503C" w14:textId="77777777" w:rsidR="0048679D" w:rsidRPr="00A538DD" w:rsidRDefault="0048679D">
            <w:pPr>
              <w:rPr>
                <w:sz w:val="18"/>
              </w:rPr>
            </w:pPr>
            <w:r w:rsidRPr="00A538DD">
              <w:rPr>
                <w:sz w:val="18"/>
              </w:rPr>
              <w:t>Riksbanken</w:t>
            </w:r>
          </w:p>
        </w:tc>
        <w:tc>
          <w:tcPr>
            <w:tcW w:w="960" w:type="dxa"/>
            <w:tcBorders>
              <w:top w:val="single" w:sz="4" w:space="0" w:color="auto"/>
              <w:left w:val="nil"/>
              <w:bottom w:val="nil"/>
              <w:right w:val="nil"/>
            </w:tcBorders>
            <w:vAlign w:val="bottom"/>
          </w:tcPr>
          <w:p w14:paraId="404FEBFB" w14:textId="77777777" w:rsidR="0048679D" w:rsidRPr="00A538DD" w:rsidRDefault="0048679D">
            <w:pPr>
              <w:jc w:val="center"/>
              <w:rPr>
                <w:sz w:val="18"/>
              </w:rPr>
            </w:pPr>
            <w:r w:rsidRPr="00A538DD">
              <w:rPr>
                <w:sz w:val="18"/>
              </w:rPr>
              <w:t>755</w:t>
            </w:r>
          </w:p>
        </w:tc>
        <w:tc>
          <w:tcPr>
            <w:tcW w:w="960" w:type="dxa"/>
            <w:tcBorders>
              <w:top w:val="single" w:sz="4" w:space="0" w:color="auto"/>
              <w:left w:val="nil"/>
              <w:bottom w:val="nil"/>
              <w:right w:val="nil"/>
            </w:tcBorders>
            <w:vAlign w:val="bottom"/>
          </w:tcPr>
          <w:p w14:paraId="551CE263" w14:textId="77777777" w:rsidR="0048679D" w:rsidRPr="00A538DD" w:rsidRDefault="0048679D">
            <w:pPr>
              <w:jc w:val="center"/>
              <w:rPr>
                <w:sz w:val="18"/>
              </w:rPr>
            </w:pPr>
            <w:r w:rsidRPr="00A538DD">
              <w:rPr>
                <w:sz w:val="18"/>
              </w:rPr>
              <w:t>437</w:t>
            </w:r>
          </w:p>
        </w:tc>
        <w:tc>
          <w:tcPr>
            <w:tcW w:w="913" w:type="dxa"/>
            <w:tcBorders>
              <w:top w:val="single" w:sz="4" w:space="0" w:color="auto"/>
              <w:left w:val="nil"/>
              <w:bottom w:val="nil"/>
              <w:right w:val="nil"/>
            </w:tcBorders>
          </w:tcPr>
          <w:p w14:paraId="5025C083" w14:textId="77777777" w:rsidR="0048679D" w:rsidRPr="00A538DD" w:rsidRDefault="0048679D">
            <w:pPr>
              <w:jc w:val="center"/>
              <w:rPr>
                <w:sz w:val="18"/>
              </w:rPr>
            </w:pPr>
            <w:r w:rsidRPr="00A538DD">
              <w:rPr>
                <w:sz w:val="18"/>
              </w:rPr>
              <w:t>439</w:t>
            </w:r>
          </w:p>
        </w:tc>
        <w:tc>
          <w:tcPr>
            <w:tcW w:w="913" w:type="dxa"/>
            <w:tcBorders>
              <w:top w:val="single" w:sz="4" w:space="0" w:color="auto"/>
              <w:left w:val="nil"/>
              <w:bottom w:val="nil"/>
              <w:right w:val="nil"/>
            </w:tcBorders>
            <w:vAlign w:val="bottom"/>
          </w:tcPr>
          <w:p w14:paraId="5357458B" w14:textId="77777777" w:rsidR="0048679D" w:rsidRPr="00A538DD" w:rsidRDefault="0048679D">
            <w:pPr>
              <w:jc w:val="center"/>
              <w:rPr>
                <w:sz w:val="18"/>
              </w:rPr>
            </w:pPr>
            <w:r w:rsidRPr="00A538DD">
              <w:rPr>
                <w:sz w:val="18"/>
              </w:rPr>
              <w:t>420</w:t>
            </w:r>
          </w:p>
        </w:tc>
      </w:tr>
      <w:tr w:rsidR="00000000" w:rsidRPr="00A538DD" w14:paraId="624003D4" w14:textId="77777777">
        <w:tblPrEx>
          <w:tblCellMar>
            <w:top w:w="0" w:type="dxa"/>
            <w:bottom w:w="0" w:type="dxa"/>
          </w:tblCellMar>
        </w:tblPrEx>
        <w:trPr>
          <w:trHeight w:val="255"/>
        </w:trPr>
        <w:tc>
          <w:tcPr>
            <w:tcW w:w="3122" w:type="dxa"/>
            <w:tcBorders>
              <w:top w:val="nil"/>
              <w:left w:val="nil"/>
              <w:bottom w:val="nil"/>
              <w:right w:val="nil"/>
            </w:tcBorders>
            <w:vAlign w:val="bottom"/>
          </w:tcPr>
          <w:p w14:paraId="5066437B" w14:textId="77777777" w:rsidR="0048679D" w:rsidRPr="00A538DD" w:rsidRDefault="0048679D">
            <w:pPr>
              <w:rPr>
                <w:i/>
                <w:sz w:val="18"/>
              </w:rPr>
            </w:pPr>
            <w:r w:rsidRPr="00A538DD">
              <w:rPr>
                <w:i/>
                <w:sz w:val="18"/>
              </w:rPr>
              <w:t>–varav betalningsmedelsa</w:t>
            </w:r>
            <w:r w:rsidRPr="00A538DD">
              <w:rPr>
                <w:i/>
                <w:sz w:val="18"/>
              </w:rPr>
              <w:t>v</w:t>
            </w:r>
            <w:r w:rsidRPr="00A538DD">
              <w:rPr>
                <w:i/>
                <w:sz w:val="18"/>
              </w:rPr>
              <w:t>delningen</w:t>
            </w:r>
          </w:p>
        </w:tc>
        <w:tc>
          <w:tcPr>
            <w:tcW w:w="960" w:type="dxa"/>
            <w:tcBorders>
              <w:top w:val="nil"/>
              <w:left w:val="nil"/>
              <w:bottom w:val="nil"/>
              <w:right w:val="nil"/>
            </w:tcBorders>
            <w:vAlign w:val="bottom"/>
          </w:tcPr>
          <w:p w14:paraId="7E37A01E" w14:textId="77777777" w:rsidR="0048679D" w:rsidRPr="00A538DD" w:rsidRDefault="0048679D">
            <w:pPr>
              <w:jc w:val="center"/>
              <w:rPr>
                <w:i/>
                <w:sz w:val="18"/>
              </w:rPr>
            </w:pPr>
            <w:r w:rsidRPr="00A538DD">
              <w:rPr>
                <w:i/>
                <w:sz w:val="18"/>
              </w:rPr>
              <w:t>390</w:t>
            </w:r>
          </w:p>
        </w:tc>
        <w:tc>
          <w:tcPr>
            <w:tcW w:w="960" w:type="dxa"/>
            <w:tcBorders>
              <w:top w:val="nil"/>
              <w:left w:val="nil"/>
              <w:bottom w:val="nil"/>
              <w:right w:val="nil"/>
            </w:tcBorders>
            <w:vAlign w:val="bottom"/>
          </w:tcPr>
          <w:p w14:paraId="3706A851" w14:textId="77777777" w:rsidR="0048679D" w:rsidRPr="00A538DD" w:rsidRDefault="0048679D">
            <w:pPr>
              <w:jc w:val="center"/>
              <w:rPr>
                <w:i/>
                <w:sz w:val="18"/>
              </w:rPr>
            </w:pPr>
            <w:r w:rsidRPr="00A538DD">
              <w:rPr>
                <w:i/>
                <w:sz w:val="18"/>
              </w:rPr>
              <w:t>–</w:t>
            </w:r>
          </w:p>
        </w:tc>
        <w:tc>
          <w:tcPr>
            <w:tcW w:w="913" w:type="dxa"/>
            <w:tcBorders>
              <w:top w:val="nil"/>
              <w:left w:val="nil"/>
              <w:bottom w:val="nil"/>
              <w:right w:val="nil"/>
            </w:tcBorders>
          </w:tcPr>
          <w:p w14:paraId="15740A5D" w14:textId="77777777" w:rsidR="0048679D" w:rsidRPr="00A538DD" w:rsidRDefault="0048679D">
            <w:pPr>
              <w:jc w:val="center"/>
              <w:rPr>
                <w:i/>
                <w:sz w:val="18"/>
              </w:rPr>
            </w:pPr>
          </w:p>
        </w:tc>
        <w:tc>
          <w:tcPr>
            <w:tcW w:w="913" w:type="dxa"/>
            <w:tcBorders>
              <w:top w:val="nil"/>
              <w:left w:val="nil"/>
              <w:bottom w:val="nil"/>
              <w:right w:val="nil"/>
            </w:tcBorders>
            <w:vAlign w:val="bottom"/>
          </w:tcPr>
          <w:p w14:paraId="1FBE4A95" w14:textId="77777777" w:rsidR="0048679D" w:rsidRPr="00A538DD" w:rsidRDefault="0048679D">
            <w:pPr>
              <w:jc w:val="center"/>
              <w:rPr>
                <w:i/>
                <w:sz w:val="18"/>
              </w:rPr>
            </w:pPr>
            <w:r w:rsidRPr="00A538DD">
              <w:rPr>
                <w:i/>
                <w:sz w:val="18"/>
              </w:rPr>
              <w:t>–-</w:t>
            </w:r>
          </w:p>
        </w:tc>
      </w:tr>
      <w:tr w:rsidR="00000000" w:rsidRPr="00A538DD" w14:paraId="59C489F1" w14:textId="77777777">
        <w:tblPrEx>
          <w:tblCellMar>
            <w:top w:w="0" w:type="dxa"/>
            <w:bottom w:w="0" w:type="dxa"/>
          </w:tblCellMar>
        </w:tblPrEx>
        <w:trPr>
          <w:trHeight w:val="255"/>
        </w:trPr>
        <w:tc>
          <w:tcPr>
            <w:tcW w:w="3122" w:type="dxa"/>
            <w:tcBorders>
              <w:top w:val="nil"/>
              <w:left w:val="nil"/>
              <w:bottom w:val="nil"/>
              <w:right w:val="nil"/>
            </w:tcBorders>
            <w:vAlign w:val="bottom"/>
          </w:tcPr>
          <w:p w14:paraId="4CDFC3B7" w14:textId="77777777" w:rsidR="0048679D" w:rsidRPr="00A538DD" w:rsidRDefault="0048679D">
            <w:pPr>
              <w:rPr>
                <w:i/>
                <w:sz w:val="18"/>
              </w:rPr>
            </w:pPr>
            <w:r w:rsidRPr="00A538DD">
              <w:rPr>
                <w:i/>
                <w:sz w:val="18"/>
              </w:rPr>
              <w:t>– varav införlivade från SKAB</w:t>
            </w:r>
          </w:p>
        </w:tc>
        <w:tc>
          <w:tcPr>
            <w:tcW w:w="960" w:type="dxa"/>
            <w:tcBorders>
              <w:top w:val="nil"/>
              <w:left w:val="nil"/>
              <w:bottom w:val="nil"/>
              <w:right w:val="nil"/>
            </w:tcBorders>
            <w:vAlign w:val="bottom"/>
          </w:tcPr>
          <w:p w14:paraId="3F642C4E" w14:textId="77777777" w:rsidR="0048679D" w:rsidRPr="00A538DD" w:rsidRDefault="0048679D">
            <w:pPr>
              <w:jc w:val="center"/>
              <w:rPr>
                <w:i/>
                <w:sz w:val="18"/>
              </w:rPr>
            </w:pPr>
            <w:r w:rsidRPr="00A538DD">
              <w:rPr>
                <w:i/>
                <w:sz w:val="18"/>
              </w:rPr>
              <w:t>–</w:t>
            </w:r>
          </w:p>
        </w:tc>
        <w:tc>
          <w:tcPr>
            <w:tcW w:w="960" w:type="dxa"/>
            <w:tcBorders>
              <w:top w:val="nil"/>
              <w:left w:val="nil"/>
              <w:bottom w:val="nil"/>
              <w:right w:val="nil"/>
            </w:tcBorders>
            <w:vAlign w:val="bottom"/>
          </w:tcPr>
          <w:p w14:paraId="01048A9A" w14:textId="77777777" w:rsidR="0048679D" w:rsidRPr="00A538DD" w:rsidRDefault="0048679D">
            <w:pPr>
              <w:jc w:val="center"/>
              <w:rPr>
                <w:i/>
                <w:sz w:val="18"/>
              </w:rPr>
            </w:pPr>
            <w:r w:rsidRPr="00A538DD">
              <w:rPr>
                <w:i/>
                <w:sz w:val="18"/>
              </w:rPr>
              <w:t>–</w:t>
            </w:r>
          </w:p>
        </w:tc>
        <w:tc>
          <w:tcPr>
            <w:tcW w:w="913" w:type="dxa"/>
            <w:tcBorders>
              <w:top w:val="nil"/>
              <w:left w:val="nil"/>
              <w:bottom w:val="nil"/>
              <w:right w:val="nil"/>
            </w:tcBorders>
          </w:tcPr>
          <w:p w14:paraId="2645D664" w14:textId="77777777" w:rsidR="0048679D" w:rsidRPr="00A538DD" w:rsidRDefault="0048679D">
            <w:pPr>
              <w:jc w:val="center"/>
              <w:rPr>
                <w:i/>
                <w:sz w:val="18"/>
              </w:rPr>
            </w:pPr>
          </w:p>
        </w:tc>
        <w:tc>
          <w:tcPr>
            <w:tcW w:w="913" w:type="dxa"/>
            <w:tcBorders>
              <w:top w:val="nil"/>
              <w:left w:val="nil"/>
              <w:bottom w:val="nil"/>
              <w:right w:val="nil"/>
            </w:tcBorders>
            <w:vAlign w:val="bottom"/>
          </w:tcPr>
          <w:p w14:paraId="603E86C1" w14:textId="77777777" w:rsidR="0048679D" w:rsidRPr="00A538DD" w:rsidRDefault="0048679D">
            <w:pPr>
              <w:jc w:val="center"/>
              <w:rPr>
                <w:i/>
                <w:sz w:val="18"/>
              </w:rPr>
            </w:pPr>
            <w:r w:rsidRPr="00A538DD">
              <w:rPr>
                <w:i/>
                <w:sz w:val="18"/>
              </w:rPr>
              <w:t>33</w:t>
            </w:r>
          </w:p>
        </w:tc>
      </w:tr>
      <w:tr w:rsidR="00000000" w:rsidRPr="00A538DD" w14:paraId="7C7A09DB" w14:textId="77777777">
        <w:tblPrEx>
          <w:tblCellMar>
            <w:top w:w="0" w:type="dxa"/>
            <w:bottom w:w="0" w:type="dxa"/>
          </w:tblCellMar>
        </w:tblPrEx>
        <w:trPr>
          <w:trHeight w:val="255"/>
        </w:trPr>
        <w:tc>
          <w:tcPr>
            <w:tcW w:w="3122" w:type="dxa"/>
            <w:tcBorders>
              <w:top w:val="nil"/>
              <w:left w:val="nil"/>
              <w:bottom w:val="nil"/>
              <w:right w:val="nil"/>
            </w:tcBorders>
            <w:vAlign w:val="bottom"/>
          </w:tcPr>
          <w:p w14:paraId="63ECD364" w14:textId="77777777" w:rsidR="0048679D" w:rsidRPr="00A538DD" w:rsidRDefault="0048679D">
            <w:pPr>
              <w:rPr>
                <w:sz w:val="18"/>
              </w:rPr>
            </w:pPr>
            <w:r w:rsidRPr="00A538DD">
              <w:rPr>
                <w:sz w:val="18"/>
              </w:rPr>
              <w:t>Riksbankens bolag</w:t>
            </w:r>
          </w:p>
        </w:tc>
        <w:tc>
          <w:tcPr>
            <w:tcW w:w="960" w:type="dxa"/>
            <w:tcBorders>
              <w:top w:val="nil"/>
              <w:left w:val="nil"/>
              <w:bottom w:val="nil"/>
              <w:right w:val="nil"/>
            </w:tcBorders>
            <w:vAlign w:val="bottom"/>
          </w:tcPr>
          <w:p w14:paraId="0F76924D" w14:textId="77777777" w:rsidR="0048679D" w:rsidRPr="00A538DD" w:rsidRDefault="0048679D">
            <w:pPr>
              <w:jc w:val="center"/>
              <w:rPr>
                <w:sz w:val="18"/>
              </w:rPr>
            </w:pPr>
            <w:r w:rsidRPr="00A538DD">
              <w:rPr>
                <w:sz w:val="18"/>
              </w:rPr>
              <w:t>381</w:t>
            </w:r>
          </w:p>
        </w:tc>
        <w:tc>
          <w:tcPr>
            <w:tcW w:w="960" w:type="dxa"/>
            <w:tcBorders>
              <w:top w:val="nil"/>
              <w:left w:val="nil"/>
              <w:bottom w:val="nil"/>
              <w:right w:val="nil"/>
            </w:tcBorders>
            <w:vAlign w:val="bottom"/>
          </w:tcPr>
          <w:p w14:paraId="52D747D2" w14:textId="77777777" w:rsidR="0048679D" w:rsidRPr="00A538DD" w:rsidRDefault="0048679D">
            <w:pPr>
              <w:jc w:val="center"/>
              <w:rPr>
                <w:sz w:val="18"/>
              </w:rPr>
            </w:pPr>
            <w:r w:rsidRPr="00A538DD">
              <w:rPr>
                <w:sz w:val="18"/>
              </w:rPr>
              <w:t>844</w:t>
            </w:r>
          </w:p>
        </w:tc>
        <w:tc>
          <w:tcPr>
            <w:tcW w:w="913" w:type="dxa"/>
            <w:tcBorders>
              <w:top w:val="nil"/>
              <w:left w:val="nil"/>
              <w:bottom w:val="nil"/>
              <w:right w:val="nil"/>
            </w:tcBorders>
          </w:tcPr>
          <w:p w14:paraId="27EB37CE" w14:textId="77777777" w:rsidR="0048679D" w:rsidRPr="00A538DD" w:rsidRDefault="0048679D">
            <w:pPr>
              <w:jc w:val="center"/>
              <w:rPr>
                <w:sz w:val="18"/>
              </w:rPr>
            </w:pPr>
            <w:r w:rsidRPr="00A538DD">
              <w:rPr>
                <w:sz w:val="18"/>
              </w:rPr>
              <w:t>540</w:t>
            </w:r>
          </w:p>
        </w:tc>
        <w:tc>
          <w:tcPr>
            <w:tcW w:w="913" w:type="dxa"/>
            <w:tcBorders>
              <w:top w:val="nil"/>
              <w:left w:val="nil"/>
              <w:bottom w:val="nil"/>
              <w:right w:val="nil"/>
            </w:tcBorders>
            <w:vAlign w:val="bottom"/>
          </w:tcPr>
          <w:p w14:paraId="05C89EA0" w14:textId="77777777" w:rsidR="0048679D" w:rsidRPr="00A538DD" w:rsidRDefault="0048679D">
            <w:pPr>
              <w:jc w:val="center"/>
              <w:rPr>
                <w:sz w:val="18"/>
              </w:rPr>
            </w:pPr>
            <w:r w:rsidRPr="00A538DD">
              <w:rPr>
                <w:sz w:val="18"/>
              </w:rPr>
              <w:t>3</w:t>
            </w:r>
          </w:p>
        </w:tc>
      </w:tr>
      <w:tr w:rsidR="00000000" w:rsidRPr="00A538DD" w14:paraId="6D70CE68" w14:textId="77777777">
        <w:tblPrEx>
          <w:tblCellMar>
            <w:top w:w="0" w:type="dxa"/>
            <w:bottom w:w="0" w:type="dxa"/>
          </w:tblCellMar>
        </w:tblPrEx>
        <w:trPr>
          <w:trHeight w:val="255"/>
        </w:trPr>
        <w:tc>
          <w:tcPr>
            <w:tcW w:w="3122" w:type="dxa"/>
            <w:tcBorders>
              <w:top w:val="nil"/>
              <w:left w:val="nil"/>
              <w:bottom w:val="nil"/>
              <w:right w:val="nil"/>
            </w:tcBorders>
            <w:vAlign w:val="bottom"/>
          </w:tcPr>
          <w:p w14:paraId="70D91D6D" w14:textId="77777777" w:rsidR="0048679D" w:rsidRPr="00A538DD" w:rsidRDefault="0048679D">
            <w:pPr>
              <w:rPr>
                <w:i/>
                <w:sz w:val="18"/>
              </w:rPr>
            </w:pPr>
            <w:r w:rsidRPr="00A538DD">
              <w:rPr>
                <w:i/>
                <w:sz w:val="18"/>
              </w:rPr>
              <w:t>– varav SKAB/PSAB</w:t>
            </w:r>
          </w:p>
        </w:tc>
        <w:tc>
          <w:tcPr>
            <w:tcW w:w="960" w:type="dxa"/>
            <w:tcBorders>
              <w:top w:val="nil"/>
              <w:left w:val="nil"/>
              <w:bottom w:val="nil"/>
              <w:right w:val="nil"/>
            </w:tcBorders>
            <w:vAlign w:val="bottom"/>
          </w:tcPr>
          <w:p w14:paraId="544ADD00" w14:textId="77777777" w:rsidR="0048679D" w:rsidRPr="00A538DD" w:rsidRDefault="0048679D">
            <w:pPr>
              <w:jc w:val="center"/>
              <w:rPr>
                <w:i/>
                <w:sz w:val="18"/>
              </w:rPr>
            </w:pPr>
            <w:r w:rsidRPr="00A538DD">
              <w:rPr>
                <w:i/>
                <w:sz w:val="18"/>
              </w:rPr>
              <w:t>–</w:t>
            </w:r>
          </w:p>
        </w:tc>
        <w:tc>
          <w:tcPr>
            <w:tcW w:w="960" w:type="dxa"/>
            <w:tcBorders>
              <w:top w:val="nil"/>
              <w:left w:val="nil"/>
              <w:bottom w:val="nil"/>
              <w:right w:val="nil"/>
            </w:tcBorders>
            <w:vAlign w:val="bottom"/>
          </w:tcPr>
          <w:p w14:paraId="570D3352" w14:textId="77777777" w:rsidR="0048679D" w:rsidRPr="00A538DD" w:rsidRDefault="0048679D">
            <w:pPr>
              <w:jc w:val="center"/>
              <w:rPr>
                <w:i/>
                <w:sz w:val="18"/>
              </w:rPr>
            </w:pPr>
            <w:r w:rsidRPr="00A538DD">
              <w:rPr>
                <w:i/>
                <w:sz w:val="18"/>
              </w:rPr>
              <w:t>555</w:t>
            </w:r>
          </w:p>
        </w:tc>
        <w:tc>
          <w:tcPr>
            <w:tcW w:w="913" w:type="dxa"/>
            <w:tcBorders>
              <w:top w:val="nil"/>
              <w:left w:val="nil"/>
              <w:bottom w:val="nil"/>
              <w:right w:val="nil"/>
            </w:tcBorders>
          </w:tcPr>
          <w:p w14:paraId="3076C754" w14:textId="77777777" w:rsidR="0048679D" w:rsidRPr="00A538DD" w:rsidRDefault="0048679D">
            <w:pPr>
              <w:jc w:val="center"/>
              <w:rPr>
                <w:i/>
                <w:sz w:val="18"/>
              </w:rPr>
            </w:pPr>
            <w:r w:rsidRPr="00A538DD">
              <w:rPr>
                <w:i/>
                <w:sz w:val="18"/>
              </w:rPr>
              <w:t>540</w:t>
            </w:r>
          </w:p>
        </w:tc>
        <w:tc>
          <w:tcPr>
            <w:tcW w:w="913" w:type="dxa"/>
            <w:tcBorders>
              <w:top w:val="nil"/>
              <w:left w:val="nil"/>
              <w:bottom w:val="nil"/>
              <w:right w:val="nil"/>
            </w:tcBorders>
            <w:vAlign w:val="bottom"/>
          </w:tcPr>
          <w:p w14:paraId="57C9A2A1" w14:textId="77777777" w:rsidR="0048679D" w:rsidRPr="00A538DD" w:rsidRDefault="0048679D">
            <w:pPr>
              <w:jc w:val="center"/>
              <w:rPr>
                <w:i/>
                <w:sz w:val="18"/>
              </w:rPr>
            </w:pPr>
            <w:r w:rsidRPr="00A538DD">
              <w:rPr>
                <w:i/>
                <w:sz w:val="18"/>
              </w:rPr>
              <w:t>3*</w:t>
            </w:r>
          </w:p>
        </w:tc>
      </w:tr>
      <w:tr w:rsidR="00000000" w:rsidRPr="00A538DD" w14:paraId="53398F9D" w14:textId="77777777">
        <w:tblPrEx>
          <w:tblCellMar>
            <w:top w:w="0" w:type="dxa"/>
            <w:bottom w:w="0" w:type="dxa"/>
          </w:tblCellMar>
        </w:tblPrEx>
        <w:trPr>
          <w:trHeight w:val="255"/>
        </w:trPr>
        <w:tc>
          <w:tcPr>
            <w:tcW w:w="3122" w:type="dxa"/>
            <w:tcBorders>
              <w:top w:val="nil"/>
              <w:left w:val="nil"/>
              <w:bottom w:val="single" w:sz="4" w:space="0" w:color="auto"/>
              <w:right w:val="nil"/>
            </w:tcBorders>
            <w:vAlign w:val="bottom"/>
          </w:tcPr>
          <w:p w14:paraId="1BAB5668" w14:textId="77777777" w:rsidR="0048679D" w:rsidRPr="00A538DD" w:rsidRDefault="0048679D">
            <w:pPr>
              <w:rPr>
                <w:i/>
                <w:sz w:val="18"/>
              </w:rPr>
            </w:pPr>
            <w:r w:rsidRPr="00A538DD">
              <w:rPr>
                <w:i/>
                <w:sz w:val="18"/>
              </w:rPr>
              <w:t>– varav AB Tumba bruk/Crane AB</w:t>
            </w:r>
          </w:p>
        </w:tc>
        <w:tc>
          <w:tcPr>
            <w:tcW w:w="960" w:type="dxa"/>
            <w:tcBorders>
              <w:top w:val="nil"/>
              <w:left w:val="nil"/>
              <w:bottom w:val="single" w:sz="4" w:space="0" w:color="auto"/>
              <w:right w:val="nil"/>
            </w:tcBorders>
            <w:vAlign w:val="bottom"/>
          </w:tcPr>
          <w:p w14:paraId="171E998B" w14:textId="77777777" w:rsidR="0048679D" w:rsidRPr="00A538DD" w:rsidRDefault="0048679D">
            <w:pPr>
              <w:jc w:val="center"/>
              <w:rPr>
                <w:i/>
                <w:sz w:val="18"/>
              </w:rPr>
            </w:pPr>
            <w:r w:rsidRPr="00A538DD">
              <w:rPr>
                <w:i/>
                <w:sz w:val="18"/>
              </w:rPr>
              <w:t>381</w:t>
            </w:r>
          </w:p>
        </w:tc>
        <w:tc>
          <w:tcPr>
            <w:tcW w:w="960" w:type="dxa"/>
            <w:tcBorders>
              <w:top w:val="nil"/>
              <w:left w:val="nil"/>
              <w:bottom w:val="single" w:sz="4" w:space="0" w:color="auto"/>
              <w:right w:val="nil"/>
            </w:tcBorders>
            <w:vAlign w:val="bottom"/>
          </w:tcPr>
          <w:p w14:paraId="0BF52119" w14:textId="77777777" w:rsidR="0048679D" w:rsidRPr="00A538DD" w:rsidRDefault="0048679D">
            <w:pPr>
              <w:jc w:val="center"/>
              <w:rPr>
                <w:i/>
                <w:sz w:val="18"/>
              </w:rPr>
            </w:pPr>
            <w:r w:rsidRPr="00A538DD">
              <w:rPr>
                <w:i/>
                <w:sz w:val="18"/>
              </w:rPr>
              <w:t>289</w:t>
            </w:r>
          </w:p>
        </w:tc>
        <w:tc>
          <w:tcPr>
            <w:tcW w:w="913" w:type="dxa"/>
            <w:tcBorders>
              <w:top w:val="nil"/>
              <w:left w:val="nil"/>
              <w:bottom w:val="single" w:sz="4" w:space="0" w:color="auto"/>
              <w:right w:val="nil"/>
            </w:tcBorders>
          </w:tcPr>
          <w:p w14:paraId="56036704" w14:textId="77777777" w:rsidR="0048679D" w:rsidRPr="00A538DD" w:rsidRDefault="0048679D">
            <w:pPr>
              <w:jc w:val="center"/>
              <w:rPr>
                <w:i/>
                <w:sz w:val="18"/>
              </w:rPr>
            </w:pPr>
            <w:r w:rsidRPr="00A538DD">
              <w:rPr>
                <w:i/>
                <w:sz w:val="18"/>
              </w:rPr>
              <w:t>**</w:t>
            </w:r>
          </w:p>
        </w:tc>
        <w:tc>
          <w:tcPr>
            <w:tcW w:w="913" w:type="dxa"/>
            <w:tcBorders>
              <w:top w:val="nil"/>
              <w:left w:val="nil"/>
              <w:bottom w:val="single" w:sz="4" w:space="0" w:color="auto"/>
              <w:right w:val="nil"/>
            </w:tcBorders>
            <w:vAlign w:val="bottom"/>
          </w:tcPr>
          <w:p w14:paraId="5B93E15D" w14:textId="77777777" w:rsidR="0048679D" w:rsidRPr="00A538DD" w:rsidRDefault="0048679D">
            <w:pPr>
              <w:jc w:val="center"/>
              <w:rPr>
                <w:i/>
                <w:sz w:val="18"/>
              </w:rPr>
            </w:pPr>
            <w:r w:rsidRPr="00A538DD">
              <w:rPr>
                <w:i/>
                <w:sz w:val="18"/>
              </w:rPr>
              <w:t>–</w:t>
            </w:r>
          </w:p>
        </w:tc>
      </w:tr>
      <w:tr w:rsidR="00000000" w:rsidRPr="00A538DD" w14:paraId="2CAD408F" w14:textId="77777777">
        <w:tblPrEx>
          <w:tblCellMar>
            <w:top w:w="0" w:type="dxa"/>
            <w:bottom w:w="0" w:type="dxa"/>
          </w:tblCellMar>
        </w:tblPrEx>
        <w:trPr>
          <w:trHeight w:val="255"/>
        </w:trPr>
        <w:tc>
          <w:tcPr>
            <w:tcW w:w="3122" w:type="dxa"/>
            <w:tcBorders>
              <w:top w:val="nil"/>
              <w:left w:val="nil"/>
              <w:bottom w:val="nil"/>
              <w:right w:val="nil"/>
            </w:tcBorders>
            <w:vAlign w:val="bottom"/>
          </w:tcPr>
          <w:p w14:paraId="62476A47" w14:textId="77777777" w:rsidR="0048679D" w:rsidRPr="00A538DD" w:rsidRDefault="0048679D">
            <w:pPr>
              <w:rPr>
                <w:sz w:val="18"/>
              </w:rPr>
            </w:pPr>
            <w:r w:rsidRPr="00A538DD">
              <w:rPr>
                <w:sz w:val="18"/>
              </w:rPr>
              <w:t>Totalt</w:t>
            </w:r>
          </w:p>
        </w:tc>
        <w:tc>
          <w:tcPr>
            <w:tcW w:w="960" w:type="dxa"/>
            <w:tcBorders>
              <w:top w:val="nil"/>
              <w:left w:val="nil"/>
              <w:bottom w:val="nil"/>
              <w:right w:val="nil"/>
            </w:tcBorders>
            <w:vAlign w:val="bottom"/>
          </w:tcPr>
          <w:p w14:paraId="68C50360" w14:textId="77777777" w:rsidR="0048679D" w:rsidRPr="00A538DD" w:rsidRDefault="0048679D">
            <w:pPr>
              <w:jc w:val="center"/>
              <w:rPr>
                <w:sz w:val="18"/>
              </w:rPr>
            </w:pPr>
            <w:r w:rsidRPr="00A538DD">
              <w:rPr>
                <w:sz w:val="18"/>
              </w:rPr>
              <w:t>1136</w:t>
            </w:r>
          </w:p>
        </w:tc>
        <w:tc>
          <w:tcPr>
            <w:tcW w:w="960" w:type="dxa"/>
            <w:tcBorders>
              <w:top w:val="nil"/>
              <w:left w:val="nil"/>
              <w:bottom w:val="nil"/>
              <w:right w:val="nil"/>
            </w:tcBorders>
            <w:vAlign w:val="bottom"/>
          </w:tcPr>
          <w:p w14:paraId="691F750E" w14:textId="77777777" w:rsidR="0048679D" w:rsidRPr="00A538DD" w:rsidRDefault="0048679D">
            <w:pPr>
              <w:jc w:val="center"/>
              <w:rPr>
                <w:sz w:val="18"/>
              </w:rPr>
            </w:pPr>
            <w:r w:rsidRPr="00A538DD">
              <w:rPr>
                <w:sz w:val="18"/>
              </w:rPr>
              <w:t>1281</w:t>
            </w:r>
          </w:p>
        </w:tc>
        <w:tc>
          <w:tcPr>
            <w:tcW w:w="913" w:type="dxa"/>
            <w:tcBorders>
              <w:top w:val="nil"/>
              <w:left w:val="nil"/>
              <w:bottom w:val="nil"/>
              <w:right w:val="nil"/>
            </w:tcBorders>
          </w:tcPr>
          <w:p w14:paraId="76DA8B99" w14:textId="77777777" w:rsidR="0048679D" w:rsidRPr="00A538DD" w:rsidRDefault="0048679D">
            <w:pPr>
              <w:jc w:val="center"/>
              <w:rPr>
                <w:sz w:val="18"/>
              </w:rPr>
            </w:pPr>
            <w:r w:rsidRPr="00A538DD">
              <w:rPr>
                <w:sz w:val="18"/>
              </w:rPr>
              <w:t>979</w:t>
            </w:r>
          </w:p>
        </w:tc>
        <w:tc>
          <w:tcPr>
            <w:tcW w:w="913" w:type="dxa"/>
            <w:tcBorders>
              <w:top w:val="nil"/>
              <w:left w:val="nil"/>
              <w:bottom w:val="nil"/>
              <w:right w:val="nil"/>
            </w:tcBorders>
            <w:vAlign w:val="bottom"/>
          </w:tcPr>
          <w:p w14:paraId="392A73E7" w14:textId="77777777" w:rsidR="0048679D" w:rsidRPr="00A538DD" w:rsidRDefault="0048679D">
            <w:pPr>
              <w:jc w:val="center"/>
              <w:rPr>
                <w:sz w:val="18"/>
              </w:rPr>
            </w:pPr>
            <w:r w:rsidRPr="00A538DD">
              <w:rPr>
                <w:sz w:val="18"/>
              </w:rPr>
              <w:t>423</w:t>
            </w:r>
          </w:p>
        </w:tc>
      </w:tr>
      <w:tr w:rsidR="00000000" w:rsidRPr="00A538DD" w14:paraId="0877CCE7" w14:textId="77777777">
        <w:tblPrEx>
          <w:tblCellMar>
            <w:top w:w="0" w:type="dxa"/>
            <w:bottom w:w="0" w:type="dxa"/>
          </w:tblCellMar>
        </w:tblPrEx>
        <w:trPr>
          <w:trHeight w:val="255"/>
        </w:trPr>
        <w:tc>
          <w:tcPr>
            <w:tcW w:w="3122" w:type="dxa"/>
            <w:tcBorders>
              <w:top w:val="nil"/>
              <w:left w:val="nil"/>
              <w:bottom w:val="nil"/>
              <w:right w:val="nil"/>
            </w:tcBorders>
            <w:vAlign w:val="bottom"/>
          </w:tcPr>
          <w:p w14:paraId="0D92670C" w14:textId="77777777" w:rsidR="0048679D" w:rsidRPr="00A538DD" w:rsidRDefault="0048679D">
            <w:pPr>
              <w:rPr>
                <w:sz w:val="18"/>
              </w:rPr>
            </w:pPr>
          </w:p>
        </w:tc>
        <w:tc>
          <w:tcPr>
            <w:tcW w:w="960" w:type="dxa"/>
            <w:tcBorders>
              <w:top w:val="nil"/>
              <w:left w:val="nil"/>
              <w:bottom w:val="nil"/>
              <w:right w:val="nil"/>
            </w:tcBorders>
            <w:vAlign w:val="bottom"/>
          </w:tcPr>
          <w:p w14:paraId="4487FA92" w14:textId="77777777" w:rsidR="0048679D" w:rsidRPr="00A538DD" w:rsidRDefault="0048679D">
            <w:pPr>
              <w:jc w:val="center"/>
              <w:rPr>
                <w:sz w:val="18"/>
              </w:rPr>
            </w:pPr>
          </w:p>
        </w:tc>
        <w:tc>
          <w:tcPr>
            <w:tcW w:w="960" w:type="dxa"/>
            <w:tcBorders>
              <w:top w:val="nil"/>
              <w:left w:val="nil"/>
              <w:bottom w:val="nil"/>
              <w:right w:val="nil"/>
            </w:tcBorders>
            <w:vAlign w:val="bottom"/>
          </w:tcPr>
          <w:p w14:paraId="2FA48A42" w14:textId="77777777" w:rsidR="0048679D" w:rsidRPr="00A538DD" w:rsidRDefault="0048679D">
            <w:pPr>
              <w:jc w:val="center"/>
              <w:rPr>
                <w:sz w:val="18"/>
              </w:rPr>
            </w:pPr>
          </w:p>
        </w:tc>
        <w:tc>
          <w:tcPr>
            <w:tcW w:w="913" w:type="dxa"/>
            <w:tcBorders>
              <w:top w:val="nil"/>
              <w:left w:val="nil"/>
              <w:bottom w:val="nil"/>
              <w:right w:val="nil"/>
            </w:tcBorders>
          </w:tcPr>
          <w:p w14:paraId="5658C9EF" w14:textId="77777777" w:rsidR="0048679D" w:rsidRPr="00A538DD" w:rsidRDefault="0048679D">
            <w:pPr>
              <w:jc w:val="center"/>
              <w:rPr>
                <w:sz w:val="18"/>
              </w:rPr>
            </w:pPr>
          </w:p>
        </w:tc>
        <w:tc>
          <w:tcPr>
            <w:tcW w:w="913" w:type="dxa"/>
            <w:tcBorders>
              <w:top w:val="nil"/>
              <w:left w:val="nil"/>
              <w:bottom w:val="nil"/>
              <w:right w:val="nil"/>
            </w:tcBorders>
            <w:vAlign w:val="bottom"/>
          </w:tcPr>
          <w:p w14:paraId="2747CC5D" w14:textId="77777777" w:rsidR="0048679D" w:rsidRPr="00A538DD" w:rsidRDefault="0048679D">
            <w:pPr>
              <w:jc w:val="center"/>
              <w:rPr>
                <w:sz w:val="18"/>
              </w:rPr>
            </w:pPr>
          </w:p>
        </w:tc>
      </w:tr>
      <w:tr w:rsidR="00000000" w:rsidRPr="00A538DD" w14:paraId="10C7121B" w14:textId="77777777">
        <w:tblPrEx>
          <w:tblCellMar>
            <w:top w:w="0" w:type="dxa"/>
            <w:bottom w:w="0" w:type="dxa"/>
          </w:tblCellMar>
        </w:tblPrEx>
        <w:trPr>
          <w:trHeight w:val="255"/>
        </w:trPr>
        <w:tc>
          <w:tcPr>
            <w:tcW w:w="3122" w:type="dxa"/>
            <w:tcBorders>
              <w:top w:val="nil"/>
              <w:left w:val="nil"/>
              <w:bottom w:val="nil"/>
              <w:right w:val="nil"/>
            </w:tcBorders>
            <w:vAlign w:val="bottom"/>
          </w:tcPr>
          <w:p w14:paraId="76FC6779" w14:textId="77777777" w:rsidR="0048679D" w:rsidRPr="00A538DD" w:rsidRDefault="0048679D">
            <w:pPr>
              <w:rPr>
                <w:sz w:val="18"/>
              </w:rPr>
            </w:pPr>
          </w:p>
        </w:tc>
        <w:tc>
          <w:tcPr>
            <w:tcW w:w="960" w:type="dxa"/>
            <w:tcBorders>
              <w:top w:val="nil"/>
              <w:left w:val="nil"/>
              <w:bottom w:val="nil"/>
              <w:right w:val="nil"/>
            </w:tcBorders>
            <w:vAlign w:val="bottom"/>
          </w:tcPr>
          <w:p w14:paraId="4C1A7794" w14:textId="77777777" w:rsidR="0048679D" w:rsidRPr="00A538DD" w:rsidRDefault="0048679D">
            <w:pPr>
              <w:jc w:val="center"/>
              <w:rPr>
                <w:sz w:val="18"/>
              </w:rPr>
            </w:pPr>
          </w:p>
        </w:tc>
        <w:tc>
          <w:tcPr>
            <w:tcW w:w="960" w:type="dxa"/>
            <w:tcBorders>
              <w:top w:val="nil"/>
              <w:left w:val="nil"/>
              <w:bottom w:val="nil"/>
              <w:right w:val="nil"/>
            </w:tcBorders>
            <w:vAlign w:val="bottom"/>
          </w:tcPr>
          <w:p w14:paraId="2E6A54E3" w14:textId="77777777" w:rsidR="0048679D" w:rsidRPr="00A538DD" w:rsidRDefault="0048679D">
            <w:pPr>
              <w:jc w:val="center"/>
              <w:rPr>
                <w:sz w:val="18"/>
              </w:rPr>
            </w:pPr>
          </w:p>
        </w:tc>
        <w:tc>
          <w:tcPr>
            <w:tcW w:w="913" w:type="dxa"/>
            <w:tcBorders>
              <w:top w:val="nil"/>
              <w:left w:val="nil"/>
              <w:bottom w:val="nil"/>
              <w:right w:val="nil"/>
            </w:tcBorders>
          </w:tcPr>
          <w:p w14:paraId="4047666D" w14:textId="77777777" w:rsidR="0048679D" w:rsidRPr="00A538DD" w:rsidRDefault="0048679D">
            <w:pPr>
              <w:jc w:val="center"/>
              <w:rPr>
                <w:sz w:val="18"/>
              </w:rPr>
            </w:pPr>
          </w:p>
        </w:tc>
        <w:tc>
          <w:tcPr>
            <w:tcW w:w="913" w:type="dxa"/>
            <w:tcBorders>
              <w:top w:val="nil"/>
              <w:left w:val="nil"/>
              <w:bottom w:val="nil"/>
              <w:right w:val="nil"/>
            </w:tcBorders>
            <w:vAlign w:val="bottom"/>
          </w:tcPr>
          <w:p w14:paraId="0E3134E6" w14:textId="77777777" w:rsidR="0048679D" w:rsidRPr="00A538DD" w:rsidRDefault="0048679D">
            <w:pPr>
              <w:jc w:val="center"/>
              <w:rPr>
                <w:sz w:val="18"/>
              </w:rPr>
            </w:pPr>
          </w:p>
        </w:tc>
      </w:tr>
      <w:tr w:rsidR="00000000" w:rsidRPr="00A538DD" w14:paraId="72AF7271" w14:textId="77777777">
        <w:tblPrEx>
          <w:tblCellMar>
            <w:top w:w="0" w:type="dxa"/>
            <w:bottom w:w="0" w:type="dxa"/>
          </w:tblCellMar>
        </w:tblPrEx>
        <w:trPr>
          <w:trHeight w:val="255"/>
        </w:trPr>
        <w:tc>
          <w:tcPr>
            <w:tcW w:w="3122" w:type="dxa"/>
            <w:tcBorders>
              <w:top w:val="nil"/>
              <w:left w:val="nil"/>
              <w:bottom w:val="nil"/>
              <w:right w:val="nil"/>
            </w:tcBorders>
            <w:vAlign w:val="bottom"/>
          </w:tcPr>
          <w:p w14:paraId="400E5247" w14:textId="77777777" w:rsidR="0048679D" w:rsidRPr="00A538DD" w:rsidRDefault="0048679D">
            <w:pPr>
              <w:rPr>
                <w:sz w:val="16"/>
              </w:rPr>
            </w:pPr>
            <w:r w:rsidRPr="00A538DD">
              <w:rPr>
                <w:sz w:val="16"/>
              </w:rPr>
              <w:t>* Vid årets slut.</w:t>
            </w:r>
          </w:p>
        </w:tc>
        <w:tc>
          <w:tcPr>
            <w:tcW w:w="960" w:type="dxa"/>
            <w:tcBorders>
              <w:top w:val="nil"/>
              <w:left w:val="nil"/>
              <w:bottom w:val="nil"/>
              <w:right w:val="nil"/>
            </w:tcBorders>
            <w:vAlign w:val="bottom"/>
          </w:tcPr>
          <w:p w14:paraId="007737AD" w14:textId="77777777" w:rsidR="0048679D" w:rsidRPr="00A538DD" w:rsidRDefault="0048679D">
            <w:pPr>
              <w:jc w:val="center"/>
              <w:rPr>
                <w:sz w:val="16"/>
              </w:rPr>
            </w:pPr>
          </w:p>
        </w:tc>
        <w:tc>
          <w:tcPr>
            <w:tcW w:w="960" w:type="dxa"/>
            <w:tcBorders>
              <w:top w:val="nil"/>
              <w:left w:val="nil"/>
              <w:bottom w:val="nil"/>
              <w:right w:val="nil"/>
            </w:tcBorders>
            <w:vAlign w:val="bottom"/>
          </w:tcPr>
          <w:p w14:paraId="789F9F11" w14:textId="77777777" w:rsidR="0048679D" w:rsidRPr="00A538DD" w:rsidRDefault="0048679D">
            <w:pPr>
              <w:jc w:val="center"/>
              <w:rPr>
                <w:sz w:val="16"/>
              </w:rPr>
            </w:pPr>
          </w:p>
        </w:tc>
        <w:tc>
          <w:tcPr>
            <w:tcW w:w="913" w:type="dxa"/>
            <w:tcBorders>
              <w:top w:val="nil"/>
              <w:left w:val="nil"/>
              <w:bottom w:val="nil"/>
              <w:right w:val="nil"/>
            </w:tcBorders>
          </w:tcPr>
          <w:p w14:paraId="1EA64A5D" w14:textId="77777777" w:rsidR="0048679D" w:rsidRPr="00A538DD" w:rsidRDefault="0048679D">
            <w:pPr>
              <w:jc w:val="center"/>
              <w:rPr>
                <w:sz w:val="16"/>
              </w:rPr>
            </w:pPr>
          </w:p>
        </w:tc>
        <w:tc>
          <w:tcPr>
            <w:tcW w:w="913" w:type="dxa"/>
            <w:tcBorders>
              <w:top w:val="nil"/>
              <w:left w:val="nil"/>
              <w:bottom w:val="nil"/>
              <w:right w:val="nil"/>
            </w:tcBorders>
            <w:vAlign w:val="bottom"/>
          </w:tcPr>
          <w:p w14:paraId="6C7F821D" w14:textId="77777777" w:rsidR="0048679D" w:rsidRPr="00A538DD" w:rsidRDefault="0048679D">
            <w:pPr>
              <w:jc w:val="center"/>
              <w:rPr>
                <w:sz w:val="16"/>
              </w:rPr>
            </w:pPr>
          </w:p>
        </w:tc>
      </w:tr>
      <w:tr w:rsidR="00000000" w:rsidRPr="00A538DD" w14:paraId="2D17215F" w14:textId="77777777">
        <w:tblPrEx>
          <w:tblCellMar>
            <w:top w:w="0" w:type="dxa"/>
            <w:bottom w:w="0" w:type="dxa"/>
          </w:tblCellMar>
        </w:tblPrEx>
        <w:trPr>
          <w:trHeight w:val="255"/>
        </w:trPr>
        <w:tc>
          <w:tcPr>
            <w:tcW w:w="3122" w:type="dxa"/>
            <w:tcBorders>
              <w:top w:val="nil"/>
              <w:left w:val="nil"/>
              <w:bottom w:val="nil"/>
              <w:right w:val="nil"/>
            </w:tcBorders>
            <w:vAlign w:val="bottom"/>
          </w:tcPr>
          <w:p w14:paraId="4FC64612" w14:textId="77777777" w:rsidR="0048679D" w:rsidRPr="00A538DD" w:rsidRDefault="0048679D">
            <w:pPr>
              <w:rPr>
                <w:sz w:val="16"/>
              </w:rPr>
            </w:pPr>
            <w:r w:rsidRPr="00A538DD">
              <w:rPr>
                <w:sz w:val="16"/>
              </w:rPr>
              <w:t>** Bolaget såldes vid årets slut.</w:t>
            </w:r>
          </w:p>
        </w:tc>
        <w:tc>
          <w:tcPr>
            <w:tcW w:w="960" w:type="dxa"/>
            <w:tcBorders>
              <w:top w:val="nil"/>
              <w:left w:val="nil"/>
              <w:bottom w:val="nil"/>
              <w:right w:val="nil"/>
            </w:tcBorders>
            <w:vAlign w:val="bottom"/>
          </w:tcPr>
          <w:p w14:paraId="047B0579" w14:textId="77777777" w:rsidR="0048679D" w:rsidRPr="00A538DD" w:rsidRDefault="0048679D">
            <w:pPr>
              <w:jc w:val="center"/>
              <w:rPr>
                <w:sz w:val="16"/>
              </w:rPr>
            </w:pPr>
          </w:p>
        </w:tc>
        <w:tc>
          <w:tcPr>
            <w:tcW w:w="960" w:type="dxa"/>
            <w:tcBorders>
              <w:top w:val="nil"/>
              <w:left w:val="nil"/>
              <w:bottom w:val="nil"/>
              <w:right w:val="nil"/>
            </w:tcBorders>
            <w:vAlign w:val="bottom"/>
          </w:tcPr>
          <w:p w14:paraId="7E8D99C4" w14:textId="77777777" w:rsidR="0048679D" w:rsidRPr="00A538DD" w:rsidRDefault="0048679D">
            <w:pPr>
              <w:jc w:val="center"/>
              <w:rPr>
                <w:sz w:val="16"/>
              </w:rPr>
            </w:pPr>
          </w:p>
        </w:tc>
        <w:tc>
          <w:tcPr>
            <w:tcW w:w="913" w:type="dxa"/>
            <w:tcBorders>
              <w:top w:val="nil"/>
              <w:left w:val="nil"/>
              <w:bottom w:val="nil"/>
              <w:right w:val="nil"/>
            </w:tcBorders>
          </w:tcPr>
          <w:p w14:paraId="1950F7DB" w14:textId="77777777" w:rsidR="0048679D" w:rsidRPr="00A538DD" w:rsidRDefault="0048679D">
            <w:pPr>
              <w:jc w:val="center"/>
              <w:rPr>
                <w:sz w:val="16"/>
              </w:rPr>
            </w:pPr>
          </w:p>
        </w:tc>
        <w:tc>
          <w:tcPr>
            <w:tcW w:w="913" w:type="dxa"/>
            <w:tcBorders>
              <w:top w:val="nil"/>
              <w:left w:val="nil"/>
              <w:bottom w:val="nil"/>
              <w:right w:val="nil"/>
            </w:tcBorders>
            <w:vAlign w:val="bottom"/>
          </w:tcPr>
          <w:p w14:paraId="52414594" w14:textId="77777777" w:rsidR="0048679D" w:rsidRPr="00A538DD" w:rsidRDefault="0048679D">
            <w:pPr>
              <w:jc w:val="center"/>
              <w:rPr>
                <w:sz w:val="16"/>
              </w:rPr>
            </w:pPr>
          </w:p>
        </w:tc>
      </w:tr>
    </w:tbl>
    <w:p w14:paraId="6B6814D9" w14:textId="77777777" w:rsidR="0048679D" w:rsidRPr="00A538DD" w:rsidRDefault="0048679D"/>
    <w:p w14:paraId="12F4B2C9" w14:textId="77777777" w:rsidR="0048679D" w:rsidRPr="00A538DD" w:rsidRDefault="0048679D">
      <w:pPr>
        <w:pStyle w:val="R1"/>
      </w:pPr>
      <w:r w:rsidRPr="00A538DD">
        <w:br w:type="page"/>
        <w:t xml:space="preserve">Ledning </w:t>
      </w:r>
    </w:p>
    <w:p w14:paraId="507B7680" w14:textId="77777777" w:rsidR="0048679D" w:rsidRPr="00A538DD" w:rsidRDefault="0048679D">
      <w:pPr>
        <w:pStyle w:val="R2"/>
        <w:spacing w:before="0"/>
        <w:rPr>
          <w:sz w:val="28"/>
          <w:u w:val="single"/>
        </w:rPr>
      </w:pPr>
      <w:r w:rsidRPr="00A538DD">
        <w:t>Riksbankens direktion</w:t>
      </w:r>
    </w:p>
    <w:p w14:paraId="2B7DF028" w14:textId="77777777" w:rsidR="0048679D" w:rsidRPr="00A538DD" w:rsidRDefault="0048679D">
      <w:pPr>
        <w:ind w:right="-2"/>
      </w:pPr>
      <w:r w:rsidRPr="00A538DD">
        <w:t xml:space="preserve">Riksbanken leds av en direktion som har följande sex ledamöter: </w:t>
      </w:r>
    </w:p>
    <w:p w14:paraId="1972F857" w14:textId="77777777" w:rsidR="0048679D" w:rsidRPr="00A538DD" w:rsidRDefault="0048679D">
      <w:pPr>
        <w:ind w:right="-2"/>
      </w:pPr>
      <w:r w:rsidRPr="00A538DD">
        <w:rPr>
          <w:rStyle w:val="Stark"/>
          <w:b w:val="0"/>
          <w:i/>
        </w:rPr>
        <w:t xml:space="preserve">Lars Heikensten, mandatperiod sex år från den 1 januari 2003 </w:t>
      </w:r>
      <w:r w:rsidRPr="00A538DD">
        <w:rPr>
          <w:rStyle w:val="Stark"/>
          <w:b w:val="0"/>
        </w:rPr>
        <w:t>Lars He</w:t>
      </w:r>
      <w:r w:rsidRPr="00A538DD">
        <w:rPr>
          <w:rStyle w:val="Stark"/>
          <w:b w:val="0"/>
        </w:rPr>
        <w:t>i</w:t>
      </w:r>
      <w:r w:rsidRPr="00A538DD">
        <w:rPr>
          <w:rStyle w:val="Stark"/>
          <w:b w:val="0"/>
        </w:rPr>
        <w:t>kensten</w:t>
      </w:r>
      <w:r w:rsidRPr="00A538DD">
        <w:t xml:space="preserve"> är riksbankschef och ordförande i direktionen. Heikensten har under 2004 haft ansvar för beredning av ärenden från stabsavdelningen och inter</w:t>
      </w:r>
      <w:r w:rsidRPr="00A538DD">
        <w:t>n</w:t>
      </w:r>
      <w:r w:rsidRPr="00A538DD">
        <w:t>revisionsavdelningen. Heikensten är medlem i ECB:s allmänna råd och led</w:t>
      </w:r>
      <w:r w:rsidRPr="00A538DD">
        <w:t>a</w:t>
      </w:r>
      <w:r w:rsidRPr="00A538DD">
        <w:t>mot av BIS styrelse. Han är också Sveriges guvernör i IMF. Tidigare har han bl.a. varit chefsekonom på Svenska Handelsbanken och Riksgäldskontoret samt varit chef för den ekonomiska avdelningen på Finansdepartementet. Heikensten, som är ekonomie doktor, var vice riksbankschef under</w:t>
      </w:r>
      <w:r w:rsidRPr="00A538DD">
        <w:t xml:space="preserve"> perioden 1995–2002.</w:t>
      </w:r>
    </w:p>
    <w:p w14:paraId="6AADD1DB" w14:textId="77777777" w:rsidR="0048679D" w:rsidRPr="00A538DD" w:rsidRDefault="0048679D">
      <w:pPr>
        <w:spacing w:before="187"/>
        <w:ind w:right="-2"/>
      </w:pPr>
      <w:r w:rsidRPr="00A538DD">
        <w:rPr>
          <w:rStyle w:val="Stark"/>
          <w:b w:val="0"/>
          <w:i/>
        </w:rPr>
        <w:t xml:space="preserve">Eva Srejber, mandatperiod sex år från den 1 januari 2003 </w:t>
      </w:r>
      <w:r w:rsidRPr="00A538DD">
        <w:rPr>
          <w:rStyle w:val="Stark"/>
          <w:b w:val="0"/>
        </w:rPr>
        <w:t>Eva Srejber</w:t>
      </w:r>
      <w:r w:rsidRPr="00A538DD">
        <w:t xml:space="preserve"> är förste vice ordförande och förste vice riksbankschef. Srejber har under 2004 haft ansvar för beredning av ärenden från IT-avdelningen och avdelningen för marknadsoperationer. Srejber är riksbankschefens ställföreträdare i ECB:s allmänna råd och medlem i EU:s ekonomiska och finansiella kommitté och i ECB:s internationella kommitté. Srejber är ekonom och har tidigare bl.a. varit chef för Riksbankens penning- och valutapolitiska avdelning, ledamot i IMF:s styrelse och vice vd i Föreningssparbank</w:t>
      </w:r>
      <w:r w:rsidRPr="00A538DD">
        <w:t xml:space="preserve">en med ansvar för bl.a. EMU-frågor. </w:t>
      </w:r>
    </w:p>
    <w:p w14:paraId="2958BDDD" w14:textId="77777777" w:rsidR="0048679D" w:rsidRPr="00A538DD" w:rsidRDefault="0048679D">
      <w:pPr>
        <w:spacing w:before="187"/>
        <w:rPr>
          <w:rStyle w:val="Stark"/>
          <w:b w:val="0"/>
          <w:i/>
        </w:rPr>
      </w:pPr>
      <w:r w:rsidRPr="00A538DD">
        <w:rPr>
          <w:rStyle w:val="Stark"/>
          <w:b w:val="0"/>
          <w:i/>
        </w:rPr>
        <w:t>Villy Bergström, mandatperiod sex år från den 1 januari 2002</w:t>
      </w:r>
    </w:p>
    <w:p w14:paraId="4C789210" w14:textId="77777777" w:rsidR="0048679D" w:rsidRPr="00A538DD" w:rsidRDefault="0048679D">
      <w:r w:rsidRPr="00A538DD">
        <w:t>Villy Bergström är vice riksbankschef och har under 2004 haft ansvar för Riksbankens forskningsfrågor och för handläggning av Riksbankens yttra</w:t>
      </w:r>
      <w:r w:rsidRPr="00A538DD">
        <w:t>n</w:t>
      </w:r>
      <w:r w:rsidRPr="00A538DD">
        <w:t xml:space="preserve">den över remisser. Bergström representerar Riksbanken i OECD:s kommitté WP3. Han är docent i nationalekonomi och har tidigare bl.a. varit chef för Fackföreningsrörelsens institut för ekonomisk forskning, FIEF, medlem av SNS konjunkturråd och chefredaktör på Dala-Demokraten. </w:t>
      </w:r>
    </w:p>
    <w:p w14:paraId="4888544B" w14:textId="77777777" w:rsidR="0048679D" w:rsidRPr="00A538DD" w:rsidRDefault="0048679D">
      <w:pPr>
        <w:spacing w:before="187"/>
        <w:ind w:right="-2"/>
        <w:rPr>
          <w:rStyle w:val="Stark"/>
          <w:b w:val="0"/>
        </w:rPr>
      </w:pPr>
      <w:r w:rsidRPr="00A538DD">
        <w:rPr>
          <w:rStyle w:val="Stark"/>
          <w:b w:val="0"/>
          <w:i/>
        </w:rPr>
        <w:t xml:space="preserve">Lars Nyberg, mandatperiod sex år från den 1 januari 2000 </w:t>
      </w:r>
      <w:r w:rsidRPr="00A538DD">
        <w:rPr>
          <w:rStyle w:val="Stark"/>
          <w:b w:val="0"/>
        </w:rPr>
        <w:t xml:space="preserve">Lars Nyberg är </w:t>
      </w:r>
      <w:r w:rsidRPr="00A538DD">
        <w:t xml:space="preserve">vice riksbankschef och </w:t>
      </w:r>
      <w:r w:rsidRPr="00A538DD">
        <w:rPr>
          <w:kern w:val="18"/>
        </w:rPr>
        <w:t xml:space="preserve">har under 2004 haft ansvar för beredning av ärenden från avdelningen för finansiell stabilitet. Nyberg är av regeringen utsedd ledamot av Finansinspektionens styrelse samt Riksbankens representant i G10-samarbetet på ställföreträdande riksbankschefsnivå och medlem i ECB:s kommitté för banktillsyn. </w:t>
      </w:r>
      <w:r w:rsidRPr="00A538DD">
        <w:t>Nyberg är docent i nationalekonomi och har tidig</w:t>
      </w:r>
      <w:r w:rsidRPr="00A538DD">
        <w:t>a</w:t>
      </w:r>
      <w:r w:rsidRPr="00A538DD">
        <w:t>re bl.a. varit vice vd i Handelsbanken och Föreningssparbanken samt vd i Länsförsäkringsbolagens förening.</w:t>
      </w:r>
      <w:r w:rsidRPr="00A538DD">
        <w:rPr>
          <w:b/>
          <w:kern w:val="18"/>
        </w:rPr>
        <w:t xml:space="preserve"> </w:t>
      </w:r>
    </w:p>
    <w:p w14:paraId="31168AFA" w14:textId="77777777" w:rsidR="0048679D" w:rsidRPr="00A538DD" w:rsidRDefault="0048679D">
      <w:pPr>
        <w:rPr>
          <w:i/>
        </w:rPr>
      </w:pPr>
    </w:p>
    <w:p w14:paraId="48DE6878" w14:textId="77777777" w:rsidR="0048679D" w:rsidRPr="00A538DD" w:rsidRDefault="0048679D">
      <w:pPr>
        <w:pStyle w:val="Normaltindrag"/>
      </w:pPr>
    </w:p>
    <w:p w14:paraId="175AA0A8" w14:textId="77777777" w:rsidR="0048679D" w:rsidRPr="00A538DD" w:rsidRDefault="0048679D">
      <w:r w:rsidRPr="00A538DD">
        <w:rPr>
          <w:i/>
        </w:rPr>
        <w:br w:type="page"/>
        <w:t xml:space="preserve">Kristina Persson, mandatperiod sex år från den 1 maj 2001 </w:t>
      </w:r>
      <w:r w:rsidRPr="00A538DD">
        <w:t>Kristina Persson är vice riksbankschef och har under 2004 haft ansvar för beredning av äre</w:t>
      </w:r>
      <w:r w:rsidRPr="00A538DD">
        <w:t>n</w:t>
      </w:r>
      <w:r w:rsidRPr="00A538DD">
        <w:t>den från administrativa avdelningen och för IMF-frågor. Persson är civilek</w:t>
      </w:r>
      <w:r w:rsidRPr="00A538DD">
        <w:t>o</w:t>
      </w:r>
      <w:r w:rsidRPr="00A538DD">
        <w:t>nom och har bl.a. varit landshövding i Jämtlands län och arbetat på Finansd</w:t>
      </w:r>
      <w:r w:rsidRPr="00A538DD">
        <w:t>e</w:t>
      </w:r>
      <w:r w:rsidRPr="00A538DD">
        <w:t>partementet, Institutet för Framtidsstudier och som TCO-ekonom. Hon har också varit riksdagsledamot och ledamot av Finansutskottet, riksbanksful</w:t>
      </w:r>
      <w:r w:rsidRPr="00A538DD">
        <w:t>l</w:t>
      </w:r>
      <w:r w:rsidRPr="00A538DD">
        <w:t xml:space="preserve">mäktige och Europaparlamentet. </w:t>
      </w:r>
    </w:p>
    <w:p w14:paraId="0AD21770" w14:textId="77777777" w:rsidR="0048679D" w:rsidRPr="00A538DD" w:rsidRDefault="0048679D">
      <w:pPr>
        <w:pStyle w:val="LagtextRubrik"/>
        <w:spacing w:before="62" w:after="0" w:line="250" w:lineRule="atLeast"/>
      </w:pPr>
      <w:r w:rsidRPr="00A538DD">
        <w:t>Irma Rosenberg, mandatperiod sex år från den 1 janu</w:t>
      </w:r>
      <w:r w:rsidRPr="00A538DD">
        <w:t>a</w:t>
      </w:r>
      <w:r w:rsidRPr="00A538DD">
        <w:t>ri 2003</w:t>
      </w:r>
    </w:p>
    <w:p w14:paraId="38D9E553" w14:textId="77777777" w:rsidR="0048679D" w:rsidRPr="00A538DD" w:rsidRDefault="0048679D">
      <w:r w:rsidRPr="00A538DD">
        <w:t>Irma Rosenberg är vice riksbankschef och har under 2004 haft ansvar för beredning av ärenden från avdelningen för penningpolitik och för ärenden som rör ägandet av Riksbankens bolag. Rosenberg deltar i BIS centralbank</w:t>
      </w:r>
      <w:r w:rsidRPr="00A538DD">
        <w:t>s</w:t>
      </w:r>
      <w:r w:rsidRPr="00A538DD">
        <w:t>chefsmöten och styrelsemöten tillsammans med riksbankschefen. Hon är doktor i nationalekonomi och har arbetat som chefsekonom i bostadsfinansi</w:t>
      </w:r>
      <w:r w:rsidRPr="00A538DD">
        <w:t>e</w:t>
      </w:r>
      <w:r w:rsidRPr="00A538DD">
        <w:t>ringsföretaget SBAB och på Posten och Postgirot Bank. Dessförinnan var Rosenberg bl.a. forskningschef och prognoschef på Konjunkturinst</w:t>
      </w:r>
      <w:r w:rsidRPr="00A538DD">
        <w:t>i</w:t>
      </w:r>
      <w:r w:rsidRPr="00A538DD">
        <w:t xml:space="preserve">tutet. </w:t>
      </w:r>
    </w:p>
    <w:p w14:paraId="1A3F7F7D" w14:textId="77777777" w:rsidR="0048679D" w:rsidRPr="00A538DD" w:rsidRDefault="0048679D">
      <w:pPr>
        <w:pStyle w:val="R3"/>
      </w:pPr>
      <w:r w:rsidRPr="00A538DD">
        <w:t>Direktionens uppgifter</w:t>
      </w:r>
    </w:p>
    <w:p w14:paraId="110AAC30" w14:textId="77777777" w:rsidR="0048679D" w:rsidRPr="00A538DD" w:rsidRDefault="0048679D">
      <w:pPr>
        <w:ind w:right="-2"/>
      </w:pPr>
      <w:r w:rsidRPr="00A538DD">
        <w:t>Direktionen ansvarar för hela bankens verksamhet, dvs. penningpolitik, frågor om finansiell stabilitet, marknadsoperationer och betalningsväsende. Dire</w:t>
      </w:r>
      <w:r w:rsidRPr="00A538DD">
        <w:t>k</w:t>
      </w:r>
      <w:r w:rsidRPr="00A538DD">
        <w:t>tionen har också ansvaret för bankens administration och budget. Ledamöte</w:t>
      </w:r>
      <w:r w:rsidRPr="00A538DD">
        <w:t>r</w:t>
      </w:r>
      <w:r w:rsidRPr="00A538DD">
        <w:t>na har under 2004 varit beredningsansvariga för de olika avdelningarna. Från och med den 1 januari 2005 upphör beredningsansvaret och ersätts med ett sakansvar för vissa ärenden, enligt följande:</w:t>
      </w:r>
    </w:p>
    <w:p w14:paraId="617C75BE" w14:textId="77777777" w:rsidR="0048679D" w:rsidRPr="00A538DD" w:rsidRDefault="0048679D">
      <w:r w:rsidRPr="00A538DD">
        <w:t>Lars Heikensten ansvarar för att lägga fram förslag om tillsättning av de tjänster som beslutas av direktionen samt utövar chefsansvar över avdelning</w:t>
      </w:r>
      <w:r w:rsidRPr="00A538DD">
        <w:t>s</w:t>
      </w:r>
      <w:r w:rsidRPr="00A538DD">
        <w:t>cheferna.</w:t>
      </w:r>
    </w:p>
    <w:p w14:paraId="7EBDDEB9" w14:textId="77777777" w:rsidR="0048679D" w:rsidRPr="00A538DD" w:rsidRDefault="0048679D">
      <w:pPr>
        <w:ind w:right="-2"/>
      </w:pPr>
      <w:r w:rsidRPr="00A538DD">
        <w:t>Eva Srejber ansvarar för att lägga fram förslag inom området tillgångsförval</w:t>
      </w:r>
      <w:r w:rsidRPr="00A538DD">
        <w:t>t</w:t>
      </w:r>
      <w:r w:rsidRPr="00A538DD">
        <w:t>ning.</w:t>
      </w:r>
    </w:p>
    <w:p w14:paraId="55166434" w14:textId="77777777" w:rsidR="0048679D" w:rsidRPr="00A538DD" w:rsidRDefault="0048679D">
      <w:pPr>
        <w:ind w:right="-2"/>
      </w:pPr>
      <w:r w:rsidRPr="00A538DD">
        <w:t xml:space="preserve">Villy Bergström ansvarar för att lägga fram förslag till principiellt viktiga remissyttranden och fatta beslut i övriga remissärenden. </w:t>
      </w:r>
    </w:p>
    <w:p w14:paraId="570F089D" w14:textId="77777777" w:rsidR="0048679D" w:rsidRPr="00A538DD" w:rsidRDefault="0048679D">
      <w:pPr>
        <w:ind w:right="-2"/>
      </w:pPr>
      <w:r w:rsidRPr="00A538DD">
        <w:t xml:space="preserve">Lars Nyberg ansvarar för att lägga fram förslag till rapporter om finansiell stabilitet samt förslag till åtgärder avsedda att säkerställa stabiliteten och effektiviteten i betalningsväsendet. </w:t>
      </w:r>
    </w:p>
    <w:p w14:paraId="76CA542F" w14:textId="77777777" w:rsidR="0048679D" w:rsidRPr="00A538DD" w:rsidRDefault="0048679D">
      <w:pPr>
        <w:ind w:right="-2"/>
      </w:pPr>
      <w:r w:rsidRPr="00A538DD">
        <w:t>Kristina Persson ansvarar för att lägga fram förslag beträffande strategiska informations- och kommunikationsfrågor.</w:t>
      </w:r>
    </w:p>
    <w:p w14:paraId="4B0C9785" w14:textId="77777777" w:rsidR="0048679D" w:rsidRPr="00A538DD" w:rsidRDefault="0048679D">
      <w:pPr>
        <w:ind w:right="-2"/>
      </w:pPr>
      <w:r w:rsidRPr="00A538DD">
        <w:t xml:space="preserve">Irma Rosenberg ansvarar för att lägga fram förslag till inflationsrapporter samt beslut om penning- och valutapolitiska åtgärder. Irma Rosenberg har även ett ansvar för frågor som rör Riksbankens bolag. </w:t>
      </w:r>
    </w:p>
    <w:p w14:paraId="3D1D9A50" w14:textId="77777777" w:rsidR="0048679D" w:rsidRPr="00A538DD" w:rsidRDefault="0048679D">
      <w:pPr>
        <w:ind w:right="-2"/>
      </w:pPr>
      <w:r w:rsidRPr="00A538DD">
        <w:t>Direktionen fattar beslut gemensamt vid sammanträden, som normalt äger rum varannan torsdag. Fullmäktiges ordförande och vice ordförande får nä</w:t>
      </w:r>
      <w:r w:rsidRPr="00A538DD">
        <w:t>r</w:t>
      </w:r>
      <w:r w:rsidRPr="00A538DD">
        <w:t>vara vid direktionens sammanträden med yttranderätt men utan förslags- och rösträtt. Inför viktiga penningpolitiska beslut ska Riksbanken informera r</w:t>
      </w:r>
      <w:r w:rsidRPr="00A538DD">
        <w:t>e</w:t>
      </w:r>
      <w:r w:rsidRPr="00A538DD">
        <w:t>geringen. Under 2004 hölls 30 sammanträden, varav åtta penningpolitiska sammanträden.</w:t>
      </w:r>
    </w:p>
    <w:p w14:paraId="33B5D677" w14:textId="77777777" w:rsidR="0048679D" w:rsidRPr="00A538DD" w:rsidRDefault="0048679D">
      <w:pPr>
        <w:pStyle w:val="R3"/>
      </w:pPr>
      <w:r w:rsidRPr="00A538DD">
        <w:t>Direktionen 2004</w:t>
      </w:r>
    </w:p>
    <w:p w14:paraId="61F1602E" w14:textId="77777777" w:rsidR="0048679D" w:rsidRPr="00A538DD" w:rsidRDefault="0048679D">
      <w:r w:rsidRPr="00A538DD">
        <w:t>Under 2004 har direktionsledamöterna hållit ett femtiotal offentliga anföra</w:t>
      </w:r>
      <w:r w:rsidRPr="00A538DD">
        <w:t>n</w:t>
      </w:r>
      <w:r w:rsidRPr="00A538DD">
        <w:t>den. Dessa har bl.a. handlat om den aktuella penningpolitiken och konjun</w:t>
      </w:r>
      <w:r w:rsidRPr="00A538DD">
        <w:t>k</w:t>
      </w:r>
      <w:r w:rsidRPr="00A538DD">
        <w:t>turläget, finansiell stabilitet samt allmänpolitiska frågor, så som globalisering och demografi.</w:t>
      </w:r>
    </w:p>
    <w:p w14:paraId="0403B375" w14:textId="77777777" w:rsidR="0048679D" w:rsidRPr="00A538DD" w:rsidRDefault="0048679D">
      <w:pPr>
        <w:pStyle w:val="Normaltindrag"/>
      </w:pPr>
      <w:r w:rsidRPr="00A538DD">
        <w:t>Ett direktionssammanträde varje år hålls utanför Stockholm. Syftet är att förbättra möjligheten att diskutera den ekonomiska utvecklingen med företr</w:t>
      </w:r>
      <w:r w:rsidRPr="00A538DD">
        <w:t>ä</w:t>
      </w:r>
      <w:r w:rsidRPr="00A538DD">
        <w:t>dare för olika branscher och regioner samt inhämta synpunkter på Riksba</w:t>
      </w:r>
      <w:r w:rsidRPr="00A538DD">
        <w:t>n</w:t>
      </w:r>
      <w:r w:rsidRPr="00A538DD">
        <w:t>kens verksamhet. Direktionens sammanträde den 9 juni 2004 hölls i Härn</w:t>
      </w:r>
      <w:r w:rsidRPr="00A538DD">
        <w:t>ö</w:t>
      </w:r>
      <w:r w:rsidRPr="00A538DD">
        <w:t>sand.</w:t>
      </w:r>
    </w:p>
    <w:p w14:paraId="1D0854D1" w14:textId="77777777" w:rsidR="0048679D" w:rsidRPr="00A538DD" w:rsidRDefault="0048679D">
      <w:pPr>
        <w:pStyle w:val="Normaltindrag"/>
        <w:rPr>
          <w:sz w:val="28"/>
          <w:u w:val="single"/>
        </w:rPr>
      </w:pPr>
      <w:r w:rsidRPr="00A538DD">
        <w:t>Direktionen lämnar två gånger om året en skriftlig redogörelse för pe</w:t>
      </w:r>
      <w:r w:rsidRPr="00A538DD">
        <w:t>n</w:t>
      </w:r>
      <w:r w:rsidRPr="00A538DD">
        <w:t>ningpolitiken till riksdagens finansutskott. Inflationsrapporten har använts som rapport till riksdagen och har kompletterats med två offentliga utfrå</w:t>
      </w:r>
      <w:r w:rsidRPr="00A538DD">
        <w:t>g</w:t>
      </w:r>
      <w:r w:rsidRPr="00A538DD">
        <w:t>ningar av riksbankschefen i finansutskottet.</w:t>
      </w:r>
    </w:p>
    <w:p w14:paraId="63AA8A13" w14:textId="77777777" w:rsidR="0048679D" w:rsidRPr="00A538DD" w:rsidRDefault="0048679D">
      <w:pPr>
        <w:pStyle w:val="R2"/>
        <w:spacing w:before="600" w:after="120"/>
      </w:pPr>
      <w:r w:rsidRPr="00A538DD">
        <w:t>Riksbanksfullmäktige</w:t>
      </w:r>
    </w:p>
    <w:p w14:paraId="207FE4EE" w14:textId="77777777" w:rsidR="0048679D" w:rsidRPr="00A538DD" w:rsidRDefault="0048679D">
      <w:r w:rsidRPr="00A538DD">
        <w:t>Riksbanksfullmäktige har elva ledamöter och lika många suppleanter. Led</w:t>
      </w:r>
      <w:r w:rsidRPr="00A538DD">
        <w:t>a</w:t>
      </w:r>
      <w:r w:rsidRPr="00A538DD">
        <w:t>möterna utses av riksdagen och har samma mandatperiod som riksdagsled</w:t>
      </w:r>
      <w:r w:rsidRPr="00A538DD">
        <w:t>a</w:t>
      </w:r>
      <w:r w:rsidRPr="00A538DD">
        <w:t>möterna. Fullmäktige väljer inom sig ordförande och vice ordf</w:t>
      </w:r>
      <w:r w:rsidRPr="00A538DD">
        <w:t>ö</w:t>
      </w:r>
      <w:r w:rsidRPr="00A538DD">
        <w:t xml:space="preserve">rande. </w:t>
      </w:r>
    </w:p>
    <w:p w14:paraId="657E32C2" w14:textId="77777777" w:rsidR="0048679D" w:rsidRPr="00A538DD" w:rsidRDefault="0048679D">
      <w:r w:rsidRPr="00A538DD">
        <w:t>Fullmäktigeledamöter är Jan Bergqvist (ordförande), Johan Gernandt (vice ordförande), Sinikka Bohlin, Susanne Eberstein, Peter Egardt, Kenneth Kvist, Lennart Nilsson, Kjell Nordström, Mats Odell, Karin Pilsäter och Bengt Westerberg. Suppleanter är Marianne Carlström, Camilla Dahlin Andersson, Lars U. Granberg, Siv Holma, Sonia Karlsson, Maria Larsson (ersatte Göran Häg</w:t>
      </w:r>
      <w:r w:rsidRPr="00A538DD">
        <w:t>glund genom riksdagens beslut den 29 april 2004), Carin Lundberg, St</w:t>
      </w:r>
      <w:r w:rsidRPr="00A538DD">
        <w:t>e</w:t>
      </w:r>
      <w:r w:rsidRPr="00A538DD">
        <w:t>phan Tolstoy, Ma</w:t>
      </w:r>
      <w:r w:rsidRPr="00A538DD">
        <w:t>r</w:t>
      </w:r>
      <w:r w:rsidRPr="00A538DD">
        <w:t xml:space="preserve">gareta af Ugglas, Göte Wahlström och Tommy Waidelich. </w:t>
      </w:r>
    </w:p>
    <w:p w14:paraId="356E3470" w14:textId="77777777" w:rsidR="0048679D" w:rsidRPr="00A538DD" w:rsidRDefault="0048679D">
      <w:pPr>
        <w:pStyle w:val="R3"/>
      </w:pPr>
      <w:r w:rsidRPr="00A538DD">
        <w:t xml:space="preserve">Riksbanksfullmäktiges uppgifter </w:t>
      </w:r>
    </w:p>
    <w:p w14:paraId="5FDE7F1B" w14:textId="77777777" w:rsidR="0048679D" w:rsidRPr="00A538DD" w:rsidRDefault="0048679D">
      <w:r w:rsidRPr="00A538DD">
        <w:t xml:space="preserve">Fullmäktige utser ledamöter i direktionen och beslutar om deras löne- och anställningsvillkor. Fullmäktige fastställer också Riksbankens arbetsordning samt beslutar om utformningen av sedlar och mynt. </w:t>
      </w:r>
    </w:p>
    <w:p w14:paraId="75BF2784" w14:textId="77777777" w:rsidR="0048679D" w:rsidRPr="00A538DD" w:rsidRDefault="0048679D">
      <w:pPr>
        <w:pStyle w:val="Normaltindrag"/>
      </w:pPr>
      <w:r w:rsidRPr="00A538DD">
        <w:t>Fullmäktige, som väljs av riksdagen, utgör en brygga mellan riksdagen och Riksbanken. Fullmäktige har till uppgift att löpande följa upp Riksbankens verksamhet och hur direktionsledamöterna bedriver verksamheten. Fullmä</w:t>
      </w:r>
      <w:r w:rsidRPr="00A538DD">
        <w:t>k</w:t>
      </w:r>
      <w:r w:rsidRPr="00A538DD">
        <w:t>tige utövar kontroll bl.a. genom att fullmäktiges ordförande och vice ordf</w:t>
      </w:r>
      <w:r w:rsidRPr="00A538DD">
        <w:t>ö</w:t>
      </w:r>
      <w:r w:rsidRPr="00A538DD">
        <w:t>rande har närvarorätt på direktionens sammanträden. Fullmäktige har också en revisionsenhet som granskar direktionsledamöternas tjänsteutövande och Riksbankens bokslutsarbete med inriktning på beräkningen av Riksbankens resultat. Revisionsenhetens arbete utförs av extern auktoriserad revisor.</w:t>
      </w:r>
    </w:p>
    <w:p w14:paraId="415BE4B2" w14:textId="77777777" w:rsidR="0048679D" w:rsidRPr="00A538DD" w:rsidRDefault="0048679D">
      <w:pPr>
        <w:pStyle w:val="Normaltindrag"/>
      </w:pPr>
      <w:r w:rsidRPr="00A538DD">
        <w:t xml:space="preserve">Fullmäktige kan lämna remissyttranden inom sitt verksamhetsområde och i samråd med direktionen lämna förslag till riksdagen och regeringen om </w:t>
      </w:r>
      <w:r w:rsidRPr="00A538DD">
        <w:t>än</w:t>
      </w:r>
      <w:r w:rsidRPr="00A538DD">
        <w:t>d</w:t>
      </w:r>
      <w:r w:rsidRPr="00A538DD">
        <w:t xml:space="preserve">ringar i författningar eller annan åtgärd inom sitt ansvarsområde.  </w:t>
      </w:r>
    </w:p>
    <w:p w14:paraId="7D61504F" w14:textId="77777777" w:rsidR="0048679D" w:rsidRPr="00A538DD" w:rsidRDefault="0048679D">
      <w:pPr>
        <w:pStyle w:val="Normaltindrag"/>
      </w:pPr>
      <w:r w:rsidRPr="00A538DD">
        <w:t>Fullmäktige lämnar förslag till riksdagen och Riksrevisionen om dispos</w:t>
      </w:r>
      <w:r w:rsidRPr="00A538DD">
        <w:t>i</w:t>
      </w:r>
      <w:r w:rsidRPr="00A538DD">
        <w:t>tionen av Riksbankens resultat.</w:t>
      </w:r>
    </w:p>
    <w:p w14:paraId="1952EA20" w14:textId="77777777" w:rsidR="0048679D" w:rsidRPr="00A538DD" w:rsidRDefault="0048679D">
      <w:pPr>
        <w:pStyle w:val="R3"/>
      </w:pPr>
      <w:r w:rsidRPr="00A538DD">
        <w:t>Riksbanksfullmäktige 2004</w:t>
      </w:r>
    </w:p>
    <w:p w14:paraId="1CEC982E" w14:textId="77777777" w:rsidR="0048679D" w:rsidRPr="00A538DD" w:rsidRDefault="0048679D">
      <w:r w:rsidRPr="00A538DD">
        <w:t>Fullmäktige har under 2004 sammanträtt vid elva tillfällen. Ordföranden och vice ordföranden har vanligen deltagit i direktionens sammanträden. Ful</w:t>
      </w:r>
      <w:r w:rsidRPr="00A538DD">
        <w:t>l</w:t>
      </w:r>
      <w:r w:rsidRPr="00A538DD">
        <w:t xml:space="preserve">mäktige har regelbundet fått redogörelser för verksamheten från direktionen. </w:t>
      </w:r>
    </w:p>
    <w:p w14:paraId="3B96EC49" w14:textId="77777777" w:rsidR="0048679D" w:rsidRPr="00A538DD" w:rsidRDefault="0048679D">
      <w:pPr>
        <w:pStyle w:val="Normaltindrag"/>
      </w:pPr>
      <w:r w:rsidRPr="00A538DD">
        <w:t>Fullmäktige beslutade under året om utformning av minnesmynt med a</w:t>
      </w:r>
      <w:r w:rsidRPr="00A538DD">
        <w:t>n</w:t>
      </w:r>
      <w:r w:rsidRPr="00A538DD">
        <w:t>ledning av 250-årsjubileet av Kungliga Slottet i Stockholm samt att 2005 utge en minnessedel för att högtidlighålla att det är 250 år sedan sedelpappersbr</w:t>
      </w:r>
      <w:r w:rsidRPr="00A538DD">
        <w:t>u</w:t>
      </w:r>
      <w:r w:rsidRPr="00A538DD">
        <w:t xml:space="preserve">ket Tumba Bruk grundades. </w:t>
      </w:r>
    </w:p>
    <w:p w14:paraId="27F3829D" w14:textId="77777777" w:rsidR="0048679D" w:rsidRPr="00A538DD" w:rsidRDefault="0048679D">
      <w:pPr>
        <w:pStyle w:val="Normaltindrag"/>
        <w:sectPr w:rsidR="00000000" w:rsidRPr="00A538DD">
          <w:pgSz w:w="11906" w:h="16838" w:code="9"/>
          <w:pgMar w:top="907" w:right="4649" w:bottom="4508" w:left="1304" w:header="340" w:footer="227" w:gutter="0"/>
          <w:cols w:space="720"/>
          <w:titlePg/>
        </w:sectPr>
      </w:pPr>
      <w:r w:rsidRPr="00A538DD">
        <w:t>Fullmäktiges revisionsenhet har huvudsakligen granskat att Riksbankens arbetsordning och instruktion inte strider mot varandra samt efterlevnaden av dessa, hur direktionsledamöterna utövar sin tjänst samt Riksbankens förslag till vinstdisposition. Denna granskning har inte inneburit någon anmärkning.</w:t>
      </w:r>
    </w:p>
    <w:p w14:paraId="43E68F8F" w14:textId="77777777" w:rsidR="0048679D" w:rsidRPr="00A538DD" w:rsidRDefault="0048679D">
      <w:pPr>
        <w:pStyle w:val="Rubrik1"/>
        <w:spacing w:after="120"/>
        <w:rPr>
          <w:noProof w:val="0"/>
        </w:rPr>
      </w:pPr>
      <w:bookmarkStart w:id="29" w:name="_Toc97613755"/>
      <w:r w:rsidRPr="00A538DD">
        <w:rPr>
          <w:noProof w:val="0"/>
        </w:rPr>
        <w:t>Riksbankens bolag</w:t>
      </w:r>
      <w:bookmarkEnd w:id="29"/>
    </w:p>
    <w:p w14:paraId="7F1E4892" w14:textId="77777777" w:rsidR="0048679D" w:rsidRPr="00A538DD" w:rsidRDefault="0048679D">
      <w:r w:rsidRPr="00A538DD">
        <w:t>Riksbanken äger sammanlagt – direkt eller indirekt – åtta aktiebolag. Samtl</w:t>
      </w:r>
      <w:r w:rsidRPr="00A538DD">
        <w:t>i</w:t>
      </w:r>
      <w:r w:rsidRPr="00A538DD">
        <w:t>ga bolag är en följd av den omstrukturering som genomförts inom kontan</w:t>
      </w:r>
      <w:r w:rsidRPr="00A538DD">
        <w:t>t</w:t>
      </w:r>
      <w:r w:rsidRPr="00A538DD">
        <w:t>hanteringen och är sedan 2004 under avveckling.</w:t>
      </w:r>
    </w:p>
    <w:p w14:paraId="47D31142" w14:textId="77777777" w:rsidR="0048679D" w:rsidRPr="00A538DD" w:rsidRDefault="0048679D">
      <w:pPr>
        <w:pStyle w:val="Normaltindrag"/>
      </w:pPr>
      <w:r w:rsidRPr="00A538DD">
        <w:t>Svensk Kontantförsörjning AB (SKAB) är moderbolag för sex bolag i SKAB-gruppen. Här ingår förutom Pengar i Sverige AB ytterligare fem a</w:t>
      </w:r>
      <w:r w:rsidRPr="00A538DD">
        <w:t>k</w:t>
      </w:r>
      <w:r w:rsidRPr="00A538DD">
        <w:t>tiebolag, av vilka två är vilande. De två större bolagen, SKAB och Pengar i Sverige AB, har under året genomgått stora förändringar. De övriga tre bol</w:t>
      </w:r>
      <w:r w:rsidRPr="00A538DD">
        <w:t>a</w:t>
      </w:r>
      <w:r w:rsidRPr="00A538DD">
        <w:t>gen förvaltar två tidigare riksbanksfastigheter, som är under försäljning. I Tumba Kulturfastigheter AB förvaltas viss mark från tidigare AB Tumba Bruk, bel</w:t>
      </w:r>
      <w:r w:rsidRPr="00A538DD">
        <w:t>ä</w:t>
      </w:r>
      <w:r w:rsidRPr="00A538DD">
        <w:t>gen i Botkyrka kommun.</w:t>
      </w:r>
    </w:p>
    <w:p w14:paraId="0749F383" w14:textId="77777777" w:rsidR="0048679D" w:rsidRPr="00A538DD" w:rsidRDefault="0048679D">
      <w:pPr>
        <w:pStyle w:val="Bildrubrik"/>
      </w:pPr>
      <w:r w:rsidRPr="00A538DD">
        <w:t xml:space="preserve">Figur 5. </w:t>
      </w:r>
      <w:r w:rsidRPr="00A538DD">
        <w:tab/>
        <w:t>Riksbankens bolag</w:t>
      </w:r>
    </w:p>
    <w:p w14:paraId="3B0F9699" w14:textId="38D01F21" w:rsidR="0048679D" w:rsidRPr="00A538DD" w:rsidRDefault="00A538DD">
      <w:r w:rsidRPr="00A538DD">
        <w:rPr>
          <w:noProof/>
        </w:rPr>
        <w:drawing>
          <wp:inline distT="0" distB="0" distL="0" distR="0" wp14:anchorId="08693AE5" wp14:editId="1FD7E746">
            <wp:extent cx="3597910" cy="26835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97910" cy="2683510"/>
                    </a:xfrm>
                    <a:prstGeom prst="rect">
                      <a:avLst/>
                    </a:prstGeom>
                    <a:noFill/>
                    <a:ln>
                      <a:noFill/>
                    </a:ln>
                  </pic:spPr>
                </pic:pic>
              </a:graphicData>
            </a:graphic>
          </wp:inline>
        </w:drawing>
      </w:r>
    </w:p>
    <w:p w14:paraId="60113349" w14:textId="77777777" w:rsidR="0048679D" w:rsidRPr="00A538DD" w:rsidRDefault="0048679D"/>
    <w:p w14:paraId="0EE97135" w14:textId="77777777" w:rsidR="0048679D" w:rsidRPr="00A538DD" w:rsidRDefault="0048679D">
      <w:r w:rsidRPr="00A538DD">
        <w:t>Riksbanken beslutade 1998 att överföra verksamhet och personal i den dåv</w:t>
      </w:r>
      <w:r w:rsidRPr="00A538DD">
        <w:t>a</w:t>
      </w:r>
      <w:r w:rsidRPr="00A538DD">
        <w:t>rande betalningsmedelsavdelningen till ett helägt bolag, Pengar i Sverige AB. Syftet var att utveckla och omstrukturera verksamheten för att effektivisera Riksbankens kontanthantering och bidra till en effektivisering av kontan</w:t>
      </w:r>
      <w:r w:rsidRPr="00A538DD">
        <w:t>t</w:t>
      </w:r>
      <w:r w:rsidRPr="00A538DD">
        <w:t>hanteringen i samhället. En ny ägare till bolaget skulle sökas så snart det var möjligt.</w:t>
      </w:r>
    </w:p>
    <w:p w14:paraId="2CA8B122" w14:textId="77777777" w:rsidR="0048679D" w:rsidRPr="00A538DD" w:rsidRDefault="0048679D">
      <w:pPr>
        <w:pStyle w:val="Normaltindrag"/>
      </w:pPr>
      <w:r w:rsidRPr="00A538DD">
        <w:t>Det visade sig vara mer komplicerat att förändra verksamheten än vad Riksbanken räknat med. För att nå tillräcklig bredd och omsättning i ver</w:t>
      </w:r>
      <w:r w:rsidRPr="00A538DD">
        <w:t>k</w:t>
      </w:r>
      <w:r w:rsidRPr="00A538DD">
        <w:t>samheten byggdes bl.a. en värdetransportrörelse upp under 2002. Det var emellertid inte möjligt att nå lönsamhet i bolaget och Riksbanken valde under 2002 att dela bolaget i två delar. En del innefattande det mer riksbanksnära uppdraget att på fyra orter i landet svara för lagerhållning samt in- och utlä</w:t>
      </w:r>
      <w:r w:rsidRPr="00A538DD">
        <w:t>m</w:t>
      </w:r>
      <w:r w:rsidRPr="00A538DD">
        <w:t>ning av sedlar och mynt. Denna del lades i bolaget SKAB. Övriga delar av det ursprungliga bolaget fördes till ”nya” Pengar i Sverige. I Pengar i Sverige AB bedrevs från delningen i september 2002 enbart ko</w:t>
      </w:r>
      <w:r w:rsidRPr="00A538DD">
        <w:t>mmersiell verksamhet huvudsakligen i form av uppräkningstjänster för bank och handel samt värd</w:t>
      </w:r>
      <w:r w:rsidRPr="00A538DD">
        <w:t>e</w:t>
      </w:r>
      <w:r w:rsidRPr="00A538DD">
        <w:t xml:space="preserve">transportrörelse. </w:t>
      </w:r>
    </w:p>
    <w:p w14:paraId="5EA025A3" w14:textId="77777777" w:rsidR="0048679D" w:rsidRPr="00A538DD" w:rsidRDefault="0048679D">
      <w:pPr>
        <w:pStyle w:val="Normaltindrag"/>
      </w:pPr>
      <w:r w:rsidRPr="00A538DD">
        <w:t>Sedan 2002 har Riksbanken arbetat med att sälja Pengar i Sverige AB. Omfattande åtgärder vidtogs under 2002 och 2003 för att omstrukturera ver</w:t>
      </w:r>
      <w:r w:rsidRPr="00A538DD">
        <w:t>k</w:t>
      </w:r>
      <w:r w:rsidRPr="00A538DD">
        <w:t>samheten. Dessa har inte varit tillräckliga för att nå lönsamhet. Under 2004 var försäljningsarbetet intensivt och inriktades på att finna ägare till tillgån</w:t>
      </w:r>
      <w:r w:rsidRPr="00A538DD">
        <w:t>g</w:t>
      </w:r>
      <w:r w:rsidRPr="00A538DD">
        <w:t>arna i bolaget då det visade sig att det inte fanns någon intressent som var villig att förvärva aktierna i bolaget.</w:t>
      </w:r>
    </w:p>
    <w:p w14:paraId="40D0D893" w14:textId="77777777" w:rsidR="0048679D" w:rsidRPr="00A538DD" w:rsidRDefault="0048679D">
      <w:pPr>
        <w:pStyle w:val="Normaltindrag"/>
      </w:pPr>
      <w:r w:rsidRPr="00A538DD">
        <w:t>I början av 2004 slöts ett avtal om försäljning av huvuddelen av tillgånga</w:t>
      </w:r>
      <w:r w:rsidRPr="00A538DD">
        <w:t>r</w:t>
      </w:r>
      <w:r w:rsidRPr="00A538DD">
        <w:t xml:space="preserve">na i Pengar i Sverige AB till Securitas Värde AB. </w:t>
      </w:r>
      <w:commentRangeStart w:id="30"/>
      <w:commentRangeEnd w:id="30"/>
      <w:r w:rsidRPr="00A538DD">
        <w:rPr>
          <w:rStyle w:val="Kommentarsreferens"/>
          <w:sz w:val="19"/>
        </w:rPr>
        <w:commentReference w:id="30"/>
      </w:r>
      <w:r w:rsidRPr="00A538DD">
        <w:t>Överlåtelsen anmä</w:t>
      </w:r>
      <w:r w:rsidRPr="00A538DD">
        <w:t>l</w:t>
      </w:r>
      <w:r w:rsidRPr="00A538DD">
        <w:t>des till Konkurrensverket, som i maj 2004 meddelade att verket skulle gå vidare med en särskild undersökning av överlåtelsen. Securitas Värde valde då att säga upp avtalet. Pengar i Sverige AB arrangerade efter detta ett a</w:t>
      </w:r>
      <w:r w:rsidRPr="00A538DD">
        <w:t>n</w:t>
      </w:r>
      <w:r w:rsidRPr="00A538DD">
        <w:t>budsförfarande varvid samtliga tillgångar i bolaget utbjöds till försäljning. Efter utvärdering av inkomna anbud slöts i juli 2004 ett avtal med Securitas Värde AB rörande större delen av tillgångarna. Konkurrensverket meddelade i augusti 2004 att det inte avsåg att pröv</w:t>
      </w:r>
      <w:r w:rsidRPr="00A538DD">
        <w:t xml:space="preserve">a denna överlåtelse, som därefter genomfördes den 1 oktober 2004. </w:t>
      </w:r>
    </w:p>
    <w:p w14:paraId="27114AA2" w14:textId="77777777" w:rsidR="0048679D" w:rsidRPr="00A538DD" w:rsidRDefault="0048679D">
      <w:pPr>
        <w:pStyle w:val="Normaltindrag"/>
      </w:pPr>
      <w:r w:rsidRPr="00A538DD">
        <w:t>Samtliga kundavtal i Pengar i Sverige sades upp under våren 2004 och samtliga ca 250 anställda i Pengar i Sverige sades upp per den 1 juli 2004. Verksamheten i Pengar i Sverige AB avslutades således vid halvårsskiftet och verksamheten i SKAB överfördes den 1 oktober 2004 till Riksbanken. Para</w:t>
      </w:r>
      <w:r w:rsidRPr="00A538DD">
        <w:t>l</w:t>
      </w:r>
      <w:r w:rsidRPr="00A538DD">
        <w:t>lellt med detta har Riksbanken beslutat om en ny struktur för kontantförsör</w:t>
      </w:r>
      <w:r w:rsidRPr="00A538DD">
        <w:t>j</w:t>
      </w:r>
      <w:r w:rsidRPr="00A538DD">
        <w:t xml:space="preserve">ningen, som kommer att införas under 2005. </w:t>
      </w:r>
    </w:p>
    <w:p w14:paraId="5D68EA6A" w14:textId="77777777" w:rsidR="0048679D" w:rsidRPr="00A538DD" w:rsidRDefault="0048679D">
      <w:pPr>
        <w:pStyle w:val="Normaltindrag"/>
        <w:jc w:val="left"/>
        <w:sectPr w:rsidR="00000000" w:rsidRPr="00A538DD">
          <w:pgSz w:w="11906" w:h="16838" w:code="9"/>
          <w:pgMar w:top="907" w:right="4649" w:bottom="4508" w:left="1304" w:header="340" w:footer="227" w:gutter="0"/>
          <w:cols w:space="720"/>
          <w:titlePg/>
        </w:sectPr>
      </w:pPr>
      <w:r w:rsidRPr="00A538DD">
        <w:t>Under hösten 2004 har arbetet bestått av att avsluta bolagens återstående kundavtal och leverantörsförbindelser samt att avveckla kvarvarande lokaler. Hyresavtalet till den av SKAB hyrda lokalen i Malmö, där Riksbanken num</w:t>
      </w:r>
      <w:r w:rsidRPr="00A538DD">
        <w:t>e</w:t>
      </w:r>
      <w:r w:rsidRPr="00A538DD">
        <w:t>ra bedriver verksamheten, har den 1 januari 2005 överlåtits till Riksbanken. Till den tidigare personalen i bolagen utbetalas uppsägningslöner. Ambiti</w:t>
      </w:r>
      <w:r w:rsidRPr="00A538DD">
        <w:t>o</w:t>
      </w:r>
      <w:r w:rsidRPr="00A538DD">
        <w:t xml:space="preserve">nen har varit att avveckla så stor del som möjligt av kvarvarande verksamhet till årsskiftet 2004/2005. </w:t>
      </w:r>
    </w:p>
    <w:p w14:paraId="1CF5BBE0" w14:textId="77777777" w:rsidR="0048679D" w:rsidRPr="00A538DD" w:rsidRDefault="0048679D">
      <w:pPr>
        <w:pStyle w:val="Rubrik1"/>
        <w:spacing w:after="120"/>
        <w:rPr>
          <w:noProof w:val="0"/>
        </w:rPr>
      </w:pPr>
      <w:bookmarkStart w:id="31" w:name="_Toc97613756"/>
      <w:r w:rsidRPr="00A538DD">
        <w:rPr>
          <w:noProof w:val="0"/>
        </w:rPr>
        <w:t>Balansräkning och resultaträkning</w:t>
      </w:r>
      <w:bookmarkEnd w:id="31"/>
    </w:p>
    <w:p w14:paraId="1A355246" w14:textId="77777777" w:rsidR="0048679D" w:rsidRPr="00A538DD" w:rsidRDefault="0048679D">
      <w:pPr>
        <w:pStyle w:val="Rubrik2"/>
      </w:pPr>
      <w:bookmarkStart w:id="32" w:name="_Toc97613757"/>
      <w:r w:rsidRPr="00A538DD">
        <w:t>Redovisningsprinciper</w:t>
      </w:r>
      <w:bookmarkEnd w:id="32"/>
    </w:p>
    <w:p w14:paraId="0AA20F5D" w14:textId="77777777" w:rsidR="0048679D" w:rsidRPr="00A538DD" w:rsidRDefault="0048679D">
      <w:r w:rsidRPr="00A538DD">
        <w:t>Riksbankens balansräkning och resultaträkning har upprättats enligt rik</w:t>
      </w:r>
      <w:r w:rsidRPr="00A538DD">
        <w:t>s</w:t>
      </w:r>
      <w:r w:rsidRPr="00A538DD">
        <w:t xml:space="preserve">bankslagen med tillämpning av Regler för bokföring och årsredovisning i Sveriges riksbank som är fastställda av direktionen. </w:t>
      </w:r>
    </w:p>
    <w:p w14:paraId="063424A7" w14:textId="77777777" w:rsidR="0048679D" w:rsidRPr="00A538DD" w:rsidRDefault="0048679D">
      <w:pPr>
        <w:pStyle w:val="R3"/>
      </w:pPr>
      <w:r w:rsidRPr="00A538DD">
        <w:t>Ändrade redovisningsprinciper</w:t>
      </w:r>
    </w:p>
    <w:p w14:paraId="196EC12F" w14:textId="77777777" w:rsidR="0048679D" w:rsidRPr="00A538DD" w:rsidRDefault="0048679D">
      <w:r w:rsidRPr="00A538DD">
        <w:t>Direktionen beslutade i december 2003 att gällande fr.o.m. räkenskapsåret 2004 ersätta Bokföringsinstruktion för Riksbanken med Regler för bokföring och årsredovisning i Sveriges riksbank. Reglerna för bokföring är hämtade från förordning (2000:606) om myndigheters bokföring och reglerna för årsredovisning från Europeiska centralbanksystemets redovisningsriktlinje (ECB/2002/10). Förändringen blev möjlig då ett nytt redovisningssystem införts. Beslutet medförde följande väsentliga förändringar avseende Rik</w:t>
      </w:r>
      <w:r w:rsidRPr="00A538DD">
        <w:t>s</w:t>
      </w:r>
      <w:r w:rsidRPr="00A538DD">
        <w:t>bankens redovisning:</w:t>
      </w:r>
    </w:p>
    <w:p w14:paraId="48F5E97D" w14:textId="77777777" w:rsidR="0048679D" w:rsidRPr="00A538DD" w:rsidRDefault="0048679D">
      <w:pPr>
        <w:numPr>
          <w:ilvl w:val="0"/>
          <w:numId w:val="54"/>
        </w:numPr>
        <w:spacing w:before="0"/>
      </w:pPr>
      <w:r w:rsidRPr="00A538DD">
        <w:t>Orealiserade pris- och valutakursvinster och förluster särredovisas. Or</w:t>
      </w:r>
      <w:r w:rsidRPr="00A538DD">
        <w:t>e</w:t>
      </w:r>
      <w:r w:rsidRPr="00A538DD">
        <w:t>aliserade vinster redovisas inte längre i resultaträkningen utan förs direkt till särskilt värderegleringskonto i balansräkningen. Orealiserade förlu</w:t>
      </w:r>
      <w:r w:rsidRPr="00A538DD">
        <w:t>s</w:t>
      </w:r>
      <w:r w:rsidRPr="00A538DD">
        <w:t>ter redovisas i resultaträkningen om de överstiger i balansräkningen bo</w:t>
      </w:r>
      <w:r w:rsidRPr="00A538DD">
        <w:t>k</w:t>
      </w:r>
      <w:r w:rsidRPr="00A538DD">
        <w:t>fö</w:t>
      </w:r>
      <w:r w:rsidRPr="00A538DD">
        <w:t>r</w:t>
      </w:r>
      <w:r w:rsidRPr="00A538DD">
        <w:t>da orealiserade vinster, se not 22.</w:t>
      </w:r>
    </w:p>
    <w:p w14:paraId="1D0B29D8" w14:textId="77777777" w:rsidR="0048679D" w:rsidRPr="00A538DD" w:rsidRDefault="0048679D">
      <w:pPr>
        <w:numPr>
          <w:ilvl w:val="0"/>
          <w:numId w:val="54"/>
        </w:numPr>
        <w:spacing w:before="0"/>
        <w:ind w:left="357" w:hanging="357"/>
      </w:pPr>
      <w:r w:rsidRPr="00A538DD">
        <w:t>Upplupen ränta redovisas under särskilda balansräkningsposter.</w:t>
      </w:r>
    </w:p>
    <w:p w14:paraId="5050F73E" w14:textId="77777777" w:rsidR="0048679D" w:rsidRPr="00A538DD" w:rsidRDefault="0048679D">
      <w:pPr>
        <w:numPr>
          <w:ilvl w:val="0"/>
          <w:numId w:val="54"/>
        </w:numPr>
        <w:spacing w:before="0"/>
        <w:ind w:left="357" w:hanging="357"/>
      </w:pPr>
      <w:r w:rsidRPr="00A538DD">
        <w:t>Eget kapital redovisas uppdelat på balansräkningsposterna grundfond och reserver vilket innebär att reservfonden, dispositionsfonden och r</w:t>
      </w:r>
      <w:r w:rsidRPr="00A538DD">
        <w:t>e</w:t>
      </w:r>
      <w:r w:rsidRPr="00A538DD">
        <w:t>sultatu</w:t>
      </w:r>
      <w:r w:rsidRPr="00A538DD">
        <w:t>t</w:t>
      </w:r>
      <w:r w:rsidRPr="00A538DD">
        <w:t>jämningsfonden ingår i posten reserver.</w:t>
      </w:r>
    </w:p>
    <w:p w14:paraId="4D29F311" w14:textId="77777777" w:rsidR="0048679D" w:rsidRPr="00A538DD" w:rsidRDefault="0048679D">
      <w:pPr>
        <w:numPr>
          <w:ilvl w:val="0"/>
          <w:numId w:val="54"/>
        </w:numPr>
        <w:spacing w:before="0"/>
        <w:ind w:left="357" w:hanging="357"/>
      </w:pPr>
      <w:r w:rsidRPr="00A538DD">
        <w:t>Vid köp och försäljningar av värdepapper redovisas likvidbeloppen i balansräkningen fr.o.m. likviddagen i stället för affärsdagen vilket inn</w:t>
      </w:r>
      <w:r w:rsidRPr="00A538DD">
        <w:t>e</w:t>
      </w:r>
      <w:r w:rsidRPr="00A538DD">
        <w:t>bär att posterna fondlikvidfordringar och fondlikvidskulder utgår.</w:t>
      </w:r>
    </w:p>
    <w:p w14:paraId="5D5EC271" w14:textId="77777777" w:rsidR="0048679D" w:rsidRPr="00A538DD" w:rsidRDefault="0048679D">
      <w:r w:rsidRPr="00A538DD">
        <w:t>Balansräkningens jämförelsesiffror per 2003-12-31 har omräknats med a</w:t>
      </w:r>
      <w:r w:rsidRPr="00A538DD">
        <w:t>n</w:t>
      </w:r>
      <w:r w:rsidRPr="00A538DD">
        <w:t>ledning av de ändrade redovisningsprinciperna, se not 38. Effekten av att redovisa orealiserade vinster och förluster på särskilt värderegleringskonto redovisas med tillämpning framåt eftersom denna inte kan fastställas med rimlig precision för tidigare år.</w:t>
      </w:r>
    </w:p>
    <w:p w14:paraId="17565F24" w14:textId="77777777" w:rsidR="0048679D" w:rsidRPr="00A538DD" w:rsidRDefault="0048679D">
      <w:pPr>
        <w:pStyle w:val="R3"/>
      </w:pPr>
      <w:r w:rsidRPr="00A538DD">
        <w:t>Grundläggande redovisningsprinciper</w:t>
      </w:r>
    </w:p>
    <w:p w14:paraId="678CA5BE" w14:textId="77777777" w:rsidR="0048679D" w:rsidRPr="00A538DD" w:rsidRDefault="0048679D">
      <w:r w:rsidRPr="00A538DD">
        <w:t>Följande grundläggande redovisningsprinciper har tillämpats:</w:t>
      </w:r>
    </w:p>
    <w:p w14:paraId="19BF56AC" w14:textId="77777777" w:rsidR="0048679D" w:rsidRPr="00A538DD" w:rsidRDefault="0048679D">
      <w:pPr>
        <w:numPr>
          <w:ilvl w:val="0"/>
          <w:numId w:val="55"/>
        </w:numPr>
      </w:pPr>
      <w:r w:rsidRPr="00A538DD">
        <w:t>Redovisningen ska återspegla den ekonomiska verkligheten och präglas av öppenhet.</w:t>
      </w:r>
    </w:p>
    <w:p w14:paraId="5C6CC67F" w14:textId="77777777" w:rsidR="0048679D" w:rsidRPr="00A538DD" w:rsidRDefault="0048679D">
      <w:pPr>
        <w:numPr>
          <w:ilvl w:val="0"/>
          <w:numId w:val="55"/>
        </w:numPr>
        <w:spacing w:before="0"/>
        <w:ind w:left="357" w:hanging="357"/>
      </w:pPr>
      <w:r w:rsidRPr="00A538DD">
        <w:t>Värdering av tillgångar och skulder, liksom resultatavräkningen ska präglas av försiktighet.</w:t>
      </w:r>
    </w:p>
    <w:p w14:paraId="5407D0F3" w14:textId="77777777" w:rsidR="0048679D" w:rsidRPr="00A538DD" w:rsidRDefault="0048679D">
      <w:pPr>
        <w:numPr>
          <w:ilvl w:val="0"/>
          <w:numId w:val="55"/>
        </w:numPr>
        <w:spacing w:before="0"/>
        <w:ind w:left="357" w:hanging="357"/>
      </w:pPr>
      <w:r w:rsidRPr="00A538DD">
        <w:t>Tillgångar och skulder ska justeras så att hänsyn tas till händelser som inträffar mellan räkenskapsårets utgång och den dag då direktionen go</w:t>
      </w:r>
      <w:r w:rsidRPr="00A538DD">
        <w:t>d</w:t>
      </w:r>
      <w:r w:rsidRPr="00A538DD">
        <w:t>känner årsredovisningen förutsatt att dessa händelser påverkat värdet på tillgångarna eller skulderna per balansdagen.</w:t>
      </w:r>
    </w:p>
    <w:p w14:paraId="4AE7D9D0" w14:textId="77777777" w:rsidR="0048679D" w:rsidRPr="00A538DD" w:rsidRDefault="0048679D">
      <w:pPr>
        <w:numPr>
          <w:ilvl w:val="0"/>
          <w:numId w:val="55"/>
        </w:numPr>
        <w:spacing w:before="0"/>
        <w:ind w:left="357" w:hanging="357"/>
      </w:pPr>
      <w:r w:rsidRPr="00A538DD">
        <w:t>Vid värderingen av tillgångar och skulder ska det förutsättas att ver</w:t>
      </w:r>
      <w:r w:rsidRPr="00A538DD">
        <w:t>k</w:t>
      </w:r>
      <w:r w:rsidRPr="00A538DD">
        <w:t>samh</w:t>
      </w:r>
      <w:r w:rsidRPr="00A538DD">
        <w:t>e</w:t>
      </w:r>
      <w:r w:rsidRPr="00A538DD">
        <w:t>ten kommer att fortsätta.</w:t>
      </w:r>
    </w:p>
    <w:p w14:paraId="3B9BCABE" w14:textId="77777777" w:rsidR="0048679D" w:rsidRPr="00A538DD" w:rsidRDefault="0048679D">
      <w:pPr>
        <w:numPr>
          <w:ilvl w:val="0"/>
          <w:numId w:val="55"/>
        </w:numPr>
        <w:spacing w:before="0"/>
        <w:ind w:left="357" w:hanging="357"/>
      </w:pPr>
      <w:r w:rsidRPr="00A538DD">
        <w:t>Inkomster och utgifter ska redovisas som intäkter och kostnader på den redovisningsperiod då de intjänas eller uppkommer oavsett betalning</w:t>
      </w:r>
      <w:r w:rsidRPr="00A538DD">
        <w:t>s</w:t>
      </w:r>
      <w:r w:rsidRPr="00A538DD">
        <w:t>tidpunkten.</w:t>
      </w:r>
    </w:p>
    <w:p w14:paraId="62BDAE1E" w14:textId="77777777" w:rsidR="0048679D" w:rsidRPr="00A538DD" w:rsidRDefault="0048679D">
      <w:pPr>
        <w:numPr>
          <w:ilvl w:val="0"/>
          <w:numId w:val="55"/>
        </w:numPr>
        <w:spacing w:before="0"/>
        <w:ind w:left="357" w:hanging="357"/>
      </w:pPr>
      <w:r w:rsidRPr="00A538DD">
        <w:t>Kriterierna för värdering av balansräkningsposter och för resultatavrä</w:t>
      </w:r>
      <w:r w:rsidRPr="00A538DD">
        <w:t>k</w:t>
      </w:r>
      <w:r w:rsidRPr="00A538DD">
        <w:t>ning ska tillämpas konsekvent.</w:t>
      </w:r>
    </w:p>
    <w:p w14:paraId="21CD9F99" w14:textId="77777777" w:rsidR="0048679D" w:rsidRPr="00A538DD" w:rsidRDefault="0048679D">
      <w:pPr>
        <w:pStyle w:val="R3"/>
      </w:pPr>
      <w:r w:rsidRPr="00A538DD">
        <w:t>Redovisning av tillgångar och skulder</w:t>
      </w:r>
    </w:p>
    <w:p w14:paraId="68707D3B" w14:textId="77777777" w:rsidR="0048679D" w:rsidRPr="00A538DD" w:rsidRDefault="0048679D">
      <w:r w:rsidRPr="00A538DD">
        <w:t>Tillgångar och skulder redovisas i balansräkningen endast om det är sannolikt att ett eventuellt framtida ekonomiskt resultat med anknytning till tillgången eller skulden kommer att utgöra ett flöde till eller från Riksbanken och att i princip alla risker och rättigheter med anknytning till tillgången eller skulden har överlåtits till Riksbanken.</w:t>
      </w:r>
    </w:p>
    <w:p w14:paraId="3E8139AB" w14:textId="77777777" w:rsidR="0048679D" w:rsidRPr="00A538DD" w:rsidRDefault="0048679D">
      <w:pPr>
        <w:pStyle w:val="R3"/>
      </w:pPr>
      <w:r w:rsidRPr="00A538DD">
        <w:t>Affärsdagsredovisning</w:t>
      </w:r>
    </w:p>
    <w:p w14:paraId="7E8E2AE9" w14:textId="77777777" w:rsidR="0048679D" w:rsidRPr="00A538DD" w:rsidRDefault="0048679D">
      <w:r w:rsidRPr="00A538DD">
        <w:t>Valutatransaktioner och värdepapperstransaktioner bokförs på affärsdagen på konton utanför balansräkningen. På likviddagen omförs beloppen från dessa konton till balansräkningskonton. Realiserade vinster och förluster från nett</w:t>
      </w:r>
      <w:r w:rsidRPr="00A538DD">
        <w:t>o</w:t>
      </w:r>
      <w:r w:rsidRPr="00A538DD">
        <w:t>försäljningar bokförs på affärsdagen.</w:t>
      </w:r>
    </w:p>
    <w:p w14:paraId="2F112C06" w14:textId="77777777" w:rsidR="0048679D" w:rsidRPr="00A538DD" w:rsidRDefault="0048679D">
      <w:pPr>
        <w:pStyle w:val="R3"/>
      </w:pPr>
      <w:r w:rsidRPr="00A538DD">
        <w:t>Värderingsregler för balansräkningen</w:t>
      </w:r>
    </w:p>
    <w:p w14:paraId="40D2B3ED" w14:textId="77777777" w:rsidR="0048679D" w:rsidRPr="00A538DD" w:rsidRDefault="0048679D">
      <w:r w:rsidRPr="00A538DD">
        <w:t>Marknadsnoterade tillgångar värderas till de marknadskurser och marknad</w:t>
      </w:r>
      <w:r w:rsidRPr="00A538DD">
        <w:t>s</w:t>
      </w:r>
      <w:r w:rsidRPr="00A538DD">
        <w:t>priser som råder på balansdagen.</w:t>
      </w:r>
    </w:p>
    <w:p w14:paraId="6E4D6B74" w14:textId="77777777" w:rsidR="0048679D" w:rsidRPr="00A538DD" w:rsidRDefault="0048679D">
      <w:pPr>
        <w:pStyle w:val="R3"/>
      </w:pPr>
      <w:r w:rsidRPr="00A538DD">
        <w:t>Reverserade transaktioner</w:t>
      </w:r>
    </w:p>
    <w:p w14:paraId="2B20319C" w14:textId="77777777" w:rsidR="0048679D" w:rsidRPr="00A538DD" w:rsidRDefault="0048679D">
      <w:r w:rsidRPr="00A538DD">
        <w:t>Repoavtal redovisas som lånetransaktioner i stället för att påverka värdepap</w:t>
      </w:r>
      <w:r w:rsidRPr="00A538DD">
        <w:t>p</w:t>
      </w:r>
      <w:r w:rsidRPr="00A538DD">
        <w:t xml:space="preserve">ers- eller guldinnehavet. Med repoavtal avses ett avtal om försäljning av tillgångar såsom värdepapper och guld där säljaren samtidigt förbinder sig att återköpa motsvarande tillgångar till ett överenskommet pris vid en framtida tidpunkt. </w:t>
      </w:r>
    </w:p>
    <w:p w14:paraId="0D1BF9E1" w14:textId="77777777" w:rsidR="0048679D" w:rsidRPr="00A538DD" w:rsidRDefault="0048679D">
      <w:pPr>
        <w:pStyle w:val="Normaltindrag"/>
      </w:pPr>
      <w:r w:rsidRPr="00A538DD">
        <w:t>De tillgångar som Riksbanken lämnar som säkerhet vid inlåningsrepor r</w:t>
      </w:r>
      <w:r w:rsidRPr="00A538DD">
        <w:t>e</w:t>
      </w:r>
      <w:r w:rsidRPr="00A538DD">
        <w:t>dovisas fortsatt i balansräkningen och värderas enligt de regler som gäller för Riksbankens övriga värdepappers- och guldinnehav. Belopp motsvarande erhållen köpeskilling redovisas som skuld och de överförda tillgångarna r</w:t>
      </w:r>
      <w:r w:rsidRPr="00A538DD">
        <w:t>e</w:t>
      </w:r>
      <w:r w:rsidRPr="00A538DD">
        <w:t>dovisas inom linjen.</w:t>
      </w:r>
    </w:p>
    <w:p w14:paraId="054DD5CE" w14:textId="77777777" w:rsidR="0048679D" w:rsidRPr="00A538DD" w:rsidRDefault="0048679D">
      <w:pPr>
        <w:pStyle w:val="Normaltindrag"/>
      </w:pPr>
      <w:r w:rsidRPr="00A538DD">
        <w:t>Tillgångar som Riksbanken erhåller vid utlåningsrepor redovisas ej i b</w:t>
      </w:r>
      <w:r w:rsidRPr="00A538DD">
        <w:t>a</w:t>
      </w:r>
      <w:r w:rsidRPr="00A538DD">
        <w:t>lansräkningen eftersom de är att betrakta som säkerhet för lån. Belopp mo</w:t>
      </w:r>
      <w:r w:rsidRPr="00A538DD">
        <w:t>t</w:t>
      </w:r>
      <w:r w:rsidRPr="00A538DD">
        <w:t>svarande erlagd köpeskilling redovisas som en fordran. Skillnaden mellan repans båda likvidbelopp (avista och termin) periodiseras över repans löptid.</w:t>
      </w:r>
    </w:p>
    <w:p w14:paraId="160FE1A2" w14:textId="77777777" w:rsidR="0048679D" w:rsidRPr="00A538DD" w:rsidRDefault="0048679D">
      <w:pPr>
        <w:pStyle w:val="Normaltindrag"/>
      </w:pPr>
      <w:r w:rsidRPr="00A538DD">
        <w:t>Transaktioner som genomförs inom ramen för avtal om automatiserade r</w:t>
      </w:r>
      <w:r w:rsidRPr="00A538DD">
        <w:t>e</w:t>
      </w:r>
      <w:r w:rsidRPr="00A538DD">
        <w:t>por redovisas i balansräkningen endast om säkerhet ställts i form av kontanter under transaktionens hela löptid.</w:t>
      </w:r>
    </w:p>
    <w:p w14:paraId="7A4FB441" w14:textId="77777777" w:rsidR="0048679D" w:rsidRPr="00A538DD" w:rsidRDefault="0048679D">
      <w:pPr>
        <w:pStyle w:val="R3"/>
      </w:pPr>
      <w:r w:rsidRPr="00A538DD">
        <w:t>Sedlar och mynt</w:t>
      </w:r>
    </w:p>
    <w:p w14:paraId="5EC3087D" w14:textId="77777777" w:rsidR="0048679D" w:rsidRPr="00A538DD" w:rsidRDefault="0048679D">
      <w:r w:rsidRPr="00A538DD">
        <w:t>Balansräkningsposten ”utelöpande sedlar och mynt” beräknas genom att värdet motsvarande de sedlar och mynt Riksbanken mottagit från tillverkarna reduceras dels med värdet motsvarande de sedlar och mynt Riksbanken m</w:t>
      </w:r>
      <w:r w:rsidRPr="00A538DD">
        <w:t>a</w:t>
      </w:r>
      <w:r w:rsidRPr="00A538DD">
        <w:t>kulerat, dels med värdet motsvarande de sedlar och mynt som ingår i Rik</w:t>
      </w:r>
      <w:r w:rsidRPr="00A538DD">
        <w:t>s</w:t>
      </w:r>
      <w:r w:rsidRPr="00A538DD">
        <w:t>bankens lager.</w:t>
      </w:r>
    </w:p>
    <w:p w14:paraId="7B298C62" w14:textId="77777777" w:rsidR="0048679D" w:rsidRPr="00A538DD" w:rsidRDefault="0048679D">
      <w:pPr>
        <w:pStyle w:val="R3"/>
      </w:pPr>
      <w:r w:rsidRPr="00A538DD">
        <w:t>Resultatavräkning</w:t>
      </w:r>
    </w:p>
    <w:p w14:paraId="03FB77CD" w14:textId="77777777" w:rsidR="0048679D" w:rsidRPr="00A538DD" w:rsidRDefault="0048679D">
      <w:r w:rsidRPr="00A538DD">
        <w:t>Realiserade vinster och realiserade förluster förs till resultaträkningen.</w:t>
      </w:r>
    </w:p>
    <w:p w14:paraId="612FB209" w14:textId="77777777" w:rsidR="0048679D" w:rsidRPr="00A538DD" w:rsidRDefault="0048679D">
      <w:pPr>
        <w:pStyle w:val="Normaltindrag"/>
      </w:pPr>
      <w:r w:rsidRPr="00A538DD">
        <w:t>Orealiserade vinster förs till värderegleringskonto i balansräkningen.</w:t>
      </w:r>
    </w:p>
    <w:p w14:paraId="7DCDF6CE" w14:textId="77777777" w:rsidR="0048679D" w:rsidRPr="00A538DD" w:rsidRDefault="0048679D">
      <w:pPr>
        <w:pStyle w:val="Normaltindrag"/>
      </w:pPr>
      <w:r w:rsidRPr="00A538DD">
        <w:t>Orealiserade förluster förs till resultaträkningen om de överstiger orealis</w:t>
      </w:r>
      <w:r w:rsidRPr="00A538DD">
        <w:t>e</w:t>
      </w:r>
      <w:r w:rsidRPr="00A538DD">
        <w:t>rade vinster som eventuellt tidigare finns bokförda på det korresponderande värderegleringskontot. Orealiserade förluster som förs till resultaträkningen får inte de påföljande åren återföras mot nya orealiserade vinster. Orealiser</w:t>
      </w:r>
      <w:r w:rsidRPr="00A538DD">
        <w:t>a</w:t>
      </w:r>
      <w:r w:rsidRPr="00A538DD">
        <w:t>de förluster i ett visst värdepapper, en viss valuta eller guld nettas inte mot orealis</w:t>
      </w:r>
      <w:r w:rsidRPr="00A538DD">
        <w:t>e</w:t>
      </w:r>
      <w:r w:rsidRPr="00A538DD">
        <w:t xml:space="preserve">rade vinster i andra värdepapper, valutor eller guld. </w:t>
      </w:r>
    </w:p>
    <w:p w14:paraId="6182407C" w14:textId="77777777" w:rsidR="0048679D" w:rsidRPr="00A538DD" w:rsidRDefault="0048679D">
      <w:pPr>
        <w:pStyle w:val="Normaltindrag"/>
      </w:pPr>
      <w:r w:rsidRPr="00A538DD">
        <w:t>Överkurser och underkurser på förvärvade värdepapper beräknas och r</w:t>
      </w:r>
      <w:r w:rsidRPr="00A538DD">
        <w:t>e</w:t>
      </w:r>
      <w:r w:rsidRPr="00A538DD">
        <w:t>dovisas som en del av ränteintäkterna och skrivs av under värdepapperens återst</w:t>
      </w:r>
      <w:r w:rsidRPr="00A538DD">
        <w:t>å</w:t>
      </w:r>
      <w:r w:rsidRPr="00A538DD">
        <w:t xml:space="preserve">ende löptid. </w:t>
      </w:r>
    </w:p>
    <w:p w14:paraId="5CF0B46E" w14:textId="77777777" w:rsidR="0048679D" w:rsidRPr="00A538DD" w:rsidRDefault="0048679D">
      <w:pPr>
        <w:pStyle w:val="R3"/>
      </w:pPr>
      <w:r w:rsidRPr="00A538DD">
        <w:t>Transaktionskostnader</w:t>
      </w:r>
    </w:p>
    <w:p w14:paraId="1946C292" w14:textId="77777777" w:rsidR="0048679D" w:rsidRPr="00A538DD" w:rsidRDefault="0048679D">
      <w:r w:rsidRPr="00A538DD">
        <w:t>För guld, instrument i utländsk valuta och värdepapper används geno</w:t>
      </w:r>
      <w:r w:rsidRPr="00A538DD">
        <w:t>m</w:t>
      </w:r>
      <w:r w:rsidRPr="00A538DD">
        <w:t xml:space="preserve">snittsmetoden dagligen för att fastställa anskaffningskostnaden för sålda poster, vid beräkningen av valutakurs- och priseffekter. Vid nettoförvärv av valuta och guld läggs den genomsnittliga anskaffningskostnaden för dagens förvärv avseende varje enskild valuta och guld till den föregående dagens innehav så att ett nytt vägt genomsnitt av valutakursen alternativt guldpriset erhålls. Vid nettoförsäljning beräknas det realiserade resultatet baserat på den genomsnittliga anskaffningskostnaden den föregående </w:t>
      </w:r>
      <w:r w:rsidRPr="00A538DD">
        <w:t xml:space="preserve">dagen för innehavet i fråga. </w:t>
      </w:r>
    </w:p>
    <w:p w14:paraId="4AA31003" w14:textId="77777777" w:rsidR="0048679D" w:rsidRPr="00A538DD" w:rsidRDefault="0048679D">
      <w:pPr>
        <w:pStyle w:val="R3"/>
      </w:pPr>
      <w:r w:rsidRPr="00A538DD">
        <w:t>Derivatinstrument</w:t>
      </w:r>
    </w:p>
    <w:p w14:paraId="6CAA2D09" w14:textId="77777777" w:rsidR="0048679D" w:rsidRPr="00A538DD" w:rsidRDefault="0048679D">
      <w:r w:rsidRPr="00A538DD">
        <w:t>Derivatinstrument med positivt nettomarknadsvärde redovisas som tillgång och negativt som skuld.</w:t>
      </w:r>
    </w:p>
    <w:p w14:paraId="578EAC54" w14:textId="77777777" w:rsidR="0048679D" w:rsidRPr="00A538DD" w:rsidRDefault="0048679D">
      <w:pPr>
        <w:pStyle w:val="R3"/>
      </w:pPr>
      <w:r w:rsidRPr="00A538DD">
        <w:t>Materiella och immateriella anläggningstillgångar</w:t>
      </w:r>
    </w:p>
    <w:p w14:paraId="1775E850" w14:textId="77777777" w:rsidR="0048679D" w:rsidRPr="00A538DD" w:rsidRDefault="0048679D">
      <w:r w:rsidRPr="00A538DD">
        <w:t>Riksbankens materiella och immateriella anläggningstillgångar är bokförda till anskaffningsvärdet och skrivs av enligt plan. Nedskrivningar görs där värdeminskning bedöms varaktig. Uppskrivning får endast ske om tillgången har ett tillförlitligt och bestående värde som väsentligt överstiger bokfört värde. Avskrivningstiden på byggnader är 50 år och på övriga fastighetsa</w:t>
      </w:r>
      <w:r w:rsidRPr="00A538DD">
        <w:t>n</w:t>
      </w:r>
      <w:r w:rsidRPr="00A538DD">
        <w:t>läggningar 5–10 år. Avskrivningstiden för maskiner och inventarier inklusive datorer är 3–7 år. Direkta personalkostnader hänförliga till egenutvecklade IT-investeringar inräknas i anskaffningsvärdet för tillgången.</w:t>
      </w:r>
    </w:p>
    <w:p w14:paraId="215DF7B7" w14:textId="77777777" w:rsidR="0048679D" w:rsidRPr="00A538DD" w:rsidRDefault="0048679D">
      <w:pPr>
        <w:pStyle w:val="Normaltindrag"/>
      </w:pPr>
    </w:p>
    <w:p w14:paraId="2CF4F93B" w14:textId="77777777" w:rsidR="0048679D" w:rsidRPr="00A538DD" w:rsidRDefault="0048679D">
      <w:pPr>
        <w:pStyle w:val="Rubrik2"/>
        <w:spacing w:before="0"/>
      </w:pPr>
      <w:bookmarkStart w:id="33" w:name="_Toc97613758"/>
      <w:r w:rsidRPr="00A538DD">
        <w:br w:type="page"/>
        <w:t>Balansräkning</w:t>
      </w:r>
      <w:bookmarkEnd w:id="33"/>
    </w:p>
    <w:p w14:paraId="4D0A066D" w14:textId="77777777" w:rsidR="0048679D" w:rsidRPr="00A538DD" w:rsidRDefault="0048679D">
      <w:pPr>
        <w:rPr>
          <w:b/>
        </w:rPr>
      </w:pPr>
      <w:r w:rsidRPr="00A538DD">
        <w:rPr>
          <w:b/>
        </w:rPr>
        <w:t>Miljoner kronor</w:t>
      </w:r>
    </w:p>
    <w:tbl>
      <w:tblPr>
        <w:tblW w:w="0" w:type="auto"/>
        <w:tblInd w:w="-48" w:type="dxa"/>
        <w:tblLayout w:type="fixed"/>
        <w:tblCellMar>
          <w:left w:w="71" w:type="dxa"/>
          <w:right w:w="71" w:type="dxa"/>
        </w:tblCellMar>
        <w:tblLook w:val="0000" w:firstRow="0" w:lastRow="0" w:firstColumn="0" w:lastColumn="0" w:noHBand="0" w:noVBand="0"/>
      </w:tblPr>
      <w:tblGrid>
        <w:gridCol w:w="2600"/>
        <w:gridCol w:w="850"/>
        <w:gridCol w:w="1134"/>
        <w:gridCol w:w="1134"/>
      </w:tblGrid>
      <w:tr w:rsidR="00000000" w:rsidRPr="00A538DD" w14:paraId="3BABB893" w14:textId="77777777">
        <w:tblPrEx>
          <w:tblCellMar>
            <w:top w:w="0" w:type="dxa"/>
            <w:bottom w:w="0" w:type="dxa"/>
          </w:tblCellMar>
        </w:tblPrEx>
        <w:trPr>
          <w:cantSplit/>
        </w:trPr>
        <w:tc>
          <w:tcPr>
            <w:tcW w:w="2600" w:type="dxa"/>
            <w:tcBorders>
              <w:bottom w:val="single" w:sz="4" w:space="0" w:color="auto"/>
            </w:tcBorders>
          </w:tcPr>
          <w:p w14:paraId="14A57411" w14:textId="77777777" w:rsidR="0048679D" w:rsidRPr="00A538DD" w:rsidRDefault="0048679D">
            <w:pPr>
              <w:jc w:val="left"/>
              <w:rPr>
                <w:b/>
              </w:rPr>
            </w:pPr>
            <w:r w:rsidRPr="00A538DD">
              <w:rPr>
                <w:b/>
              </w:rPr>
              <w:t>Tillgångar</w:t>
            </w:r>
          </w:p>
        </w:tc>
        <w:tc>
          <w:tcPr>
            <w:tcW w:w="850" w:type="dxa"/>
            <w:tcBorders>
              <w:bottom w:val="single" w:sz="4" w:space="0" w:color="auto"/>
            </w:tcBorders>
          </w:tcPr>
          <w:p w14:paraId="2A627C4E" w14:textId="77777777" w:rsidR="0048679D" w:rsidRPr="00A538DD" w:rsidRDefault="0048679D">
            <w:pPr>
              <w:rPr>
                <w:b/>
              </w:rPr>
            </w:pPr>
          </w:p>
        </w:tc>
        <w:tc>
          <w:tcPr>
            <w:tcW w:w="1134" w:type="dxa"/>
            <w:tcBorders>
              <w:bottom w:val="single" w:sz="4" w:space="0" w:color="auto"/>
            </w:tcBorders>
          </w:tcPr>
          <w:p w14:paraId="1F4784CB" w14:textId="77777777" w:rsidR="0048679D" w:rsidRPr="00A538DD" w:rsidRDefault="0048679D">
            <w:pPr>
              <w:jc w:val="left"/>
              <w:rPr>
                <w:b/>
              </w:rPr>
            </w:pPr>
          </w:p>
        </w:tc>
        <w:tc>
          <w:tcPr>
            <w:tcW w:w="1134" w:type="dxa"/>
            <w:tcBorders>
              <w:bottom w:val="single" w:sz="4" w:space="0" w:color="auto"/>
            </w:tcBorders>
          </w:tcPr>
          <w:p w14:paraId="15BE2C07" w14:textId="77777777" w:rsidR="0048679D" w:rsidRPr="00A538DD" w:rsidRDefault="0048679D">
            <w:pPr>
              <w:rPr>
                <w:b/>
              </w:rPr>
            </w:pPr>
          </w:p>
        </w:tc>
      </w:tr>
      <w:tr w:rsidR="00000000" w:rsidRPr="00A538DD" w14:paraId="4772ABF0" w14:textId="77777777">
        <w:tblPrEx>
          <w:tblCellMar>
            <w:top w:w="0" w:type="dxa"/>
            <w:bottom w:w="0" w:type="dxa"/>
          </w:tblCellMar>
        </w:tblPrEx>
        <w:trPr>
          <w:cantSplit/>
        </w:trPr>
        <w:tc>
          <w:tcPr>
            <w:tcW w:w="2600" w:type="dxa"/>
          </w:tcPr>
          <w:p w14:paraId="45D4A370" w14:textId="77777777" w:rsidR="0048679D" w:rsidRPr="00A538DD" w:rsidRDefault="0048679D">
            <w:pPr>
              <w:jc w:val="left"/>
            </w:pPr>
          </w:p>
        </w:tc>
        <w:tc>
          <w:tcPr>
            <w:tcW w:w="850" w:type="dxa"/>
          </w:tcPr>
          <w:p w14:paraId="098ED6D5" w14:textId="77777777" w:rsidR="0048679D" w:rsidRPr="00A538DD" w:rsidRDefault="0048679D"/>
        </w:tc>
        <w:tc>
          <w:tcPr>
            <w:tcW w:w="1134" w:type="dxa"/>
            <w:tcBorders>
              <w:bottom w:val="single" w:sz="4" w:space="0" w:color="auto"/>
            </w:tcBorders>
          </w:tcPr>
          <w:p w14:paraId="47D4665F" w14:textId="77777777" w:rsidR="0048679D" w:rsidRPr="00A538DD" w:rsidRDefault="0048679D">
            <w:pPr>
              <w:jc w:val="right"/>
            </w:pPr>
            <w:r w:rsidRPr="00A538DD">
              <w:t>2004-12-31</w:t>
            </w:r>
          </w:p>
        </w:tc>
        <w:tc>
          <w:tcPr>
            <w:tcW w:w="1134" w:type="dxa"/>
            <w:tcBorders>
              <w:bottom w:val="single" w:sz="4" w:space="0" w:color="auto"/>
            </w:tcBorders>
          </w:tcPr>
          <w:p w14:paraId="3A681ECF" w14:textId="77777777" w:rsidR="0048679D" w:rsidRPr="00A538DD" w:rsidRDefault="0048679D">
            <w:pPr>
              <w:jc w:val="right"/>
            </w:pPr>
            <w:r w:rsidRPr="00A538DD">
              <w:t>2003-12-31</w:t>
            </w:r>
          </w:p>
        </w:tc>
      </w:tr>
      <w:tr w:rsidR="00000000" w:rsidRPr="00A538DD" w14:paraId="044A299C" w14:textId="77777777">
        <w:tblPrEx>
          <w:tblCellMar>
            <w:top w:w="0" w:type="dxa"/>
            <w:bottom w:w="0" w:type="dxa"/>
          </w:tblCellMar>
        </w:tblPrEx>
        <w:trPr>
          <w:cantSplit/>
          <w:trHeight w:val="314"/>
        </w:trPr>
        <w:tc>
          <w:tcPr>
            <w:tcW w:w="2600" w:type="dxa"/>
          </w:tcPr>
          <w:p w14:paraId="153AEDA2" w14:textId="77777777" w:rsidR="0048679D" w:rsidRPr="00A538DD" w:rsidRDefault="0048679D">
            <w:pPr>
              <w:jc w:val="left"/>
            </w:pPr>
          </w:p>
        </w:tc>
        <w:tc>
          <w:tcPr>
            <w:tcW w:w="850" w:type="dxa"/>
          </w:tcPr>
          <w:p w14:paraId="10BB125B" w14:textId="77777777" w:rsidR="0048679D" w:rsidRPr="00A538DD" w:rsidRDefault="0048679D"/>
        </w:tc>
        <w:tc>
          <w:tcPr>
            <w:tcW w:w="1134" w:type="dxa"/>
          </w:tcPr>
          <w:p w14:paraId="73BBF0DE" w14:textId="77777777" w:rsidR="0048679D" w:rsidRPr="00A538DD" w:rsidRDefault="0048679D">
            <w:pPr>
              <w:jc w:val="right"/>
            </w:pPr>
          </w:p>
        </w:tc>
        <w:tc>
          <w:tcPr>
            <w:tcW w:w="1134" w:type="dxa"/>
          </w:tcPr>
          <w:p w14:paraId="0C145D40" w14:textId="77777777" w:rsidR="0048679D" w:rsidRPr="00A538DD" w:rsidRDefault="0048679D">
            <w:pPr>
              <w:jc w:val="right"/>
            </w:pPr>
          </w:p>
        </w:tc>
      </w:tr>
      <w:tr w:rsidR="00000000" w:rsidRPr="00A538DD" w14:paraId="737D20E1" w14:textId="77777777">
        <w:tblPrEx>
          <w:tblCellMar>
            <w:top w:w="0" w:type="dxa"/>
            <w:bottom w:w="0" w:type="dxa"/>
          </w:tblCellMar>
        </w:tblPrEx>
        <w:trPr>
          <w:cantSplit/>
        </w:trPr>
        <w:tc>
          <w:tcPr>
            <w:tcW w:w="2600" w:type="dxa"/>
          </w:tcPr>
          <w:p w14:paraId="2C2AF27B" w14:textId="77777777" w:rsidR="0048679D" w:rsidRPr="00A538DD" w:rsidRDefault="0048679D">
            <w:pPr>
              <w:jc w:val="left"/>
              <w:rPr>
                <w:b/>
              </w:rPr>
            </w:pPr>
            <w:r w:rsidRPr="00A538DD">
              <w:rPr>
                <w:b/>
              </w:rPr>
              <w:t>Guld</w:t>
            </w:r>
          </w:p>
        </w:tc>
        <w:tc>
          <w:tcPr>
            <w:tcW w:w="850" w:type="dxa"/>
          </w:tcPr>
          <w:p w14:paraId="06A523FE" w14:textId="77777777" w:rsidR="0048679D" w:rsidRPr="00A538DD" w:rsidRDefault="0048679D">
            <w:r w:rsidRPr="00A538DD">
              <w:t xml:space="preserve">Not 1 </w:t>
            </w:r>
          </w:p>
        </w:tc>
        <w:tc>
          <w:tcPr>
            <w:tcW w:w="1134" w:type="dxa"/>
          </w:tcPr>
          <w:p w14:paraId="08626972" w14:textId="77777777" w:rsidR="0048679D" w:rsidRPr="00A538DD" w:rsidRDefault="0048679D">
            <w:pPr>
              <w:jc w:val="right"/>
            </w:pPr>
            <w:r w:rsidRPr="00A538DD">
              <w:t>17 393</w:t>
            </w:r>
          </w:p>
        </w:tc>
        <w:tc>
          <w:tcPr>
            <w:tcW w:w="1134" w:type="dxa"/>
          </w:tcPr>
          <w:p w14:paraId="4273E74C" w14:textId="77777777" w:rsidR="0048679D" w:rsidRPr="00A538DD" w:rsidRDefault="0048679D">
            <w:pPr>
              <w:jc w:val="right"/>
            </w:pPr>
            <w:r w:rsidRPr="00A538DD">
              <w:t>18 030</w:t>
            </w:r>
          </w:p>
        </w:tc>
      </w:tr>
      <w:tr w:rsidR="00000000" w:rsidRPr="00A538DD" w14:paraId="560CC61F" w14:textId="77777777">
        <w:tblPrEx>
          <w:tblCellMar>
            <w:top w:w="0" w:type="dxa"/>
            <w:bottom w:w="0" w:type="dxa"/>
          </w:tblCellMar>
        </w:tblPrEx>
        <w:trPr>
          <w:cantSplit/>
        </w:trPr>
        <w:tc>
          <w:tcPr>
            <w:tcW w:w="2600" w:type="dxa"/>
          </w:tcPr>
          <w:p w14:paraId="22634283" w14:textId="77777777" w:rsidR="0048679D" w:rsidRPr="00A538DD" w:rsidRDefault="0048679D">
            <w:pPr>
              <w:jc w:val="left"/>
              <w:rPr>
                <w:b/>
              </w:rPr>
            </w:pPr>
          </w:p>
        </w:tc>
        <w:tc>
          <w:tcPr>
            <w:tcW w:w="850" w:type="dxa"/>
          </w:tcPr>
          <w:p w14:paraId="54FB6F49" w14:textId="77777777" w:rsidR="0048679D" w:rsidRPr="00A538DD" w:rsidRDefault="0048679D"/>
        </w:tc>
        <w:tc>
          <w:tcPr>
            <w:tcW w:w="1134" w:type="dxa"/>
          </w:tcPr>
          <w:p w14:paraId="4CE9193D" w14:textId="77777777" w:rsidR="0048679D" w:rsidRPr="00A538DD" w:rsidRDefault="0048679D">
            <w:pPr>
              <w:jc w:val="right"/>
            </w:pPr>
          </w:p>
        </w:tc>
        <w:tc>
          <w:tcPr>
            <w:tcW w:w="1134" w:type="dxa"/>
          </w:tcPr>
          <w:p w14:paraId="257A0B35" w14:textId="77777777" w:rsidR="0048679D" w:rsidRPr="00A538DD" w:rsidRDefault="0048679D">
            <w:pPr>
              <w:jc w:val="right"/>
            </w:pPr>
          </w:p>
        </w:tc>
      </w:tr>
      <w:tr w:rsidR="00000000" w:rsidRPr="00A538DD" w14:paraId="62C0D32E" w14:textId="77777777">
        <w:tblPrEx>
          <w:tblCellMar>
            <w:top w:w="0" w:type="dxa"/>
            <w:bottom w:w="0" w:type="dxa"/>
          </w:tblCellMar>
        </w:tblPrEx>
        <w:trPr>
          <w:cantSplit/>
        </w:trPr>
        <w:tc>
          <w:tcPr>
            <w:tcW w:w="2600" w:type="dxa"/>
          </w:tcPr>
          <w:p w14:paraId="4319733F" w14:textId="77777777" w:rsidR="0048679D" w:rsidRPr="00A538DD" w:rsidRDefault="0048679D">
            <w:pPr>
              <w:jc w:val="left"/>
              <w:rPr>
                <w:b/>
              </w:rPr>
            </w:pPr>
            <w:r w:rsidRPr="00A538DD">
              <w:rPr>
                <w:b/>
              </w:rPr>
              <w:t>Fordringar i utländsk valuta på hemmahörande utanför Sverige</w:t>
            </w:r>
          </w:p>
        </w:tc>
        <w:tc>
          <w:tcPr>
            <w:tcW w:w="850" w:type="dxa"/>
          </w:tcPr>
          <w:p w14:paraId="42670583" w14:textId="77777777" w:rsidR="0048679D" w:rsidRPr="00A538DD" w:rsidRDefault="0048679D"/>
        </w:tc>
        <w:tc>
          <w:tcPr>
            <w:tcW w:w="1134" w:type="dxa"/>
          </w:tcPr>
          <w:p w14:paraId="054B5354" w14:textId="77777777" w:rsidR="0048679D" w:rsidRPr="00A538DD" w:rsidRDefault="0048679D">
            <w:pPr>
              <w:jc w:val="right"/>
            </w:pPr>
          </w:p>
        </w:tc>
        <w:tc>
          <w:tcPr>
            <w:tcW w:w="1134" w:type="dxa"/>
          </w:tcPr>
          <w:p w14:paraId="35C85DBC" w14:textId="77777777" w:rsidR="0048679D" w:rsidRPr="00A538DD" w:rsidRDefault="0048679D">
            <w:pPr>
              <w:jc w:val="right"/>
            </w:pPr>
          </w:p>
        </w:tc>
      </w:tr>
      <w:tr w:rsidR="00000000" w:rsidRPr="00A538DD" w14:paraId="5455896E" w14:textId="77777777">
        <w:tblPrEx>
          <w:tblCellMar>
            <w:top w:w="0" w:type="dxa"/>
            <w:bottom w:w="0" w:type="dxa"/>
          </w:tblCellMar>
        </w:tblPrEx>
        <w:trPr>
          <w:cantSplit/>
        </w:trPr>
        <w:tc>
          <w:tcPr>
            <w:tcW w:w="2600" w:type="dxa"/>
          </w:tcPr>
          <w:p w14:paraId="1A727C68" w14:textId="77777777" w:rsidR="0048679D" w:rsidRPr="00A538DD" w:rsidRDefault="0048679D">
            <w:pPr>
              <w:jc w:val="left"/>
            </w:pPr>
            <w:r w:rsidRPr="00A538DD">
              <w:t>Fordringar på IMF</w:t>
            </w:r>
          </w:p>
        </w:tc>
        <w:tc>
          <w:tcPr>
            <w:tcW w:w="850" w:type="dxa"/>
          </w:tcPr>
          <w:p w14:paraId="351B5C73" w14:textId="77777777" w:rsidR="0048679D" w:rsidRPr="00A538DD" w:rsidRDefault="0048679D">
            <w:r w:rsidRPr="00A538DD">
              <w:t>Not 2</w:t>
            </w:r>
          </w:p>
        </w:tc>
        <w:tc>
          <w:tcPr>
            <w:tcW w:w="1134" w:type="dxa"/>
          </w:tcPr>
          <w:p w14:paraId="75B68A3B" w14:textId="77777777" w:rsidR="0048679D" w:rsidRPr="00A538DD" w:rsidRDefault="0048679D">
            <w:pPr>
              <w:jc w:val="right"/>
            </w:pPr>
            <w:r w:rsidRPr="00A538DD">
              <w:t>10 148</w:t>
            </w:r>
          </w:p>
        </w:tc>
        <w:tc>
          <w:tcPr>
            <w:tcW w:w="1134" w:type="dxa"/>
          </w:tcPr>
          <w:p w14:paraId="76E1ED32" w14:textId="77777777" w:rsidR="0048679D" w:rsidRPr="00A538DD" w:rsidRDefault="0048679D">
            <w:pPr>
              <w:jc w:val="right"/>
            </w:pPr>
            <w:r w:rsidRPr="00A538DD">
              <w:t>12 241</w:t>
            </w:r>
          </w:p>
        </w:tc>
      </w:tr>
      <w:tr w:rsidR="00000000" w:rsidRPr="00A538DD" w14:paraId="77FA59CC" w14:textId="77777777">
        <w:tblPrEx>
          <w:tblCellMar>
            <w:top w:w="0" w:type="dxa"/>
            <w:bottom w:w="0" w:type="dxa"/>
          </w:tblCellMar>
        </w:tblPrEx>
        <w:trPr>
          <w:cantSplit/>
        </w:trPr>
        <w:tc>
          <w:tcPr>
            <w:tcW w:w="2600" w:type="dxa"/>
          </w:tcPr>
          <w:p w14:paraId="70861AF2" w14:textId="77777777" w:rsidR="0048679D" w:rsidRPr="00A538DD" w:rsidRDefault="0048679D">
            <w:pPr>
              <w:jc w:val="left"/>
            </w:pPr>
            <w:r w:rsidRPr="00A538DD">
              <w:t>Banktillgodohavanden och värdepa</w:t>
            </w:r>
            <w:r w:rsidRPr="00A538DD">
              <w:t>p</w:t>
            </w:r>
            <w:r w:rsidRPr="00A538DD">
              <w:t>per</w:t>
            </w:r>
          </w:p>
        </w:tc>
        <w:tc>
          <w:tcPr>
            <w:tcW w:w="850" w:type="dxa"/>
          </w:tcPr>
          <w:p w14:paraId="63C4BBE2" w14:textId="77777777" w:rsidR="0048679D" w:rsidRPr="00A538DD" w:rsidRDefault="0048679D">
            <w:pPr>
              <w:pStyle w:val="Deltagare"/>
              <w:keepLines w:val="0"/>
              <w:spacing w:before="62" w:line="250" w:lineRule="atLeast"/>
              <w:rPr>
                <w:noProof w:val="0"/>
              </w:rPr>
            </w:pPr>
            <w:r w:rsidRPr="00A538DD">
              <w:rPr>
                <w:noProof w:val="0"/>
              </w:rPr>
              <w:t>Not 3</w:t>
            </w:r>
          </w:p>
        </w:tc>
        <w:tc>
          <w:tcPr>
            <w:tcW w:w="1134" w:type="dxa"/>
            <w:tcBorders>
              <w:bottom w:val="single" w:sz="4" w:space="0" w:color="auto"/>
            </w:tcBorders>
          </w:tcPr>
          <w:p w14:paraId="0D68C49E" w14:textId="77777777" w:rsidR="0048679D" w:rsidRPr="00A538DD" w:rsidRDefault="0048679D">
            <w:pPr>
              <w:jc w:val="right"/>
            </w:pPr>
            <w:r w:rsidRPr="00A538DD">
              <w:t>135 108</w:t>
            </w:r>
          </w:p>
        </w:tc>
        <w:tc>
          <w:tcPr>
            <w:tcW w:w="1134" w:type="dxa"/>
            <w:tcBorders>
              <w:bottom w:val="single" w:sz="4" w:space="0" w:color="auto"/>
            </w:tcBorders>
          </w:tcPr>
          <w:p w14:paraId="074B8A03" w14:textId="77777777" w:rsidR="0048679D" w:rsidRPr="00A538DD" w:rsidRDefault="0048679D">
            <w:pPr>
              <w:jc w:val="right"/>
            </w:pPr>
            <w:r w:rsidRPr="00A538DD">
              <w:t>129 031</w:t>
            </w:r>
          </w:p>
        </w:tc>
      </w:tr>
      <w:tr w:rsidR="00000000" w:rsidRPr="00A538DD" w14:paraId="6CC9BBB9" w14:textId="77777777">
        <w:tblPrEx>
          <w:tblCellMar>
            <w:top w:w="0" w:type="dxa"/>
            <w:bottom w:w="0" w:type="dxa"/>
          </w:tblCellMar>
        </w:tblPrEx>
        <w:trPr>
          <w:cantSplit/>
        </w:trPr>
        <w:tc>
          <w:tcPr>
            <w:tcW w:w="2600" w:type="dxa"/>
          </w:tcPr>
          <w:p w14:paraId="5A53D69A" w14:textId="77777777" w:rsidR="0048679D" w:rsidRPr="00A538DD" w:rsidRDefault="0048679D">
            <w:pPr>
              <w:jc w:val="left"/>
            </w:pPr>
          </w:p>
        </w:tc>
        <w:tc>
          <w:tcPr>
            <w:tcW w:w="850" w:type="dxa"/>
          </w:tcPr>
          <w:p w14:paraId="5D5CB693" w14:textId="77777777" w:rsidR="0048679D" w:rsidRPr="00A538DD" w:rsidRDefault="0048679D"/>
        </w:tc>
        <w:tc>
          <w:tcPr>
            <w:tcW w:w="1134" w:type="dxa"/>
          </w:tcPr>
          <w:p w14:paraId="48D4FD11" w14:textId="77777777" w:rsidR="0048679D" w:rsidRPr="00A538DD" w:rsidRDefault="0048679D">
            <w:pPr>
              <w:jc w:val="right"/>
            </w:pPr>
            <w:r w:rsidRPr="00A538DD">
              <w:t>145 256</w:t>
            </w:r>
          </w:p>
        </w:tc>
        <w:tc>
          <w:tcPr>
            <w:tcW w:w="1134" w:type="dxa"/>
          </w:tcPr>
          <w:p w14:paraId="2DFD62F2" w14:textId="77777777" w:rsidR="0048679D" w:rsidRPr="00A538DD" w:rsidRDefault="0048679D">
            <w:pPr>
              <w:jc w:val="right"/>
            </w:pPr>
            <w:r w:rsidRPr="00A538DD">
              <w:t>141 272</w:t>
            </w:r>
          </w:p>
        </w:tc>
      </w:tr>
      <w:tr w:rsidR="00000000" w:rsidRPr="00A538DD" w14:paraId="1DB2F8ED" w14:textId="77777777">
        <w:tblPrEx>
          <w:tblCellMar>
            <w:top w:w="0" w:type="dxa"/>
            <w:bottom w:w="0" w:type="dxa"/>
          </w:tblCellMar>
        </w:tblPrEx>
        <w:trPr>
          <w:cantSplit/>
        </w:trPr>
        <w:tc>
          <w:tcPr>
            <w:tcW w:w="2600" w:type="dxa"/>
          </w:tcPr>
          <w:p w14:paraId="123391EF" w14:textId="77777777" w:rsidR="0048679D" w:rsidRPr="00A538DD" w:rsidRDefault="0048679D">
            <w:pPr>
              <w:jc w:val="left"/>
              <w:rPr>
                <w:b/>
              </w:rPr>
            </w:pPr>
            <w:r w:rsidRPr="00A538DD">
              <w:rPr>
                <w:b/>
              </w:rPr>
              <w:t>Utlåning i svenska kronor till pe</w:t>
            </w:r>
            <w:r w:rsidRPr="00A538DD">
              <w:rPr>
                <w:b/>
              </w:rPr>
              <w:t>n</w:t>
            </w:r>
            <w:r w:rsidRPr="00A538DD">
              <w:rPr>
                <w:b/>
              </w:rPr>
              <w:t>ningpolitiska motparter</w:t>
            </w:r>
          </w:p>
        </w:tc>
        <w:tc>
          <w:tcPr>
            <w:tcW w:w="850" w:type="dxa"/>
          </w:tcPr>
          <w:p w14:paraId="5F723CB0" w14:textId="77777777" w:rsidR="0048679D" w:rsidRPr="00A538DD" w:rsidRDefault="0048679D"/>
        </w:tc>
        <w:tc>
          <w:tcPr>
            <w:tcW w:w="1134" w:type="dxa"/>
          </w:tcPr>
          <w:p w14:paraId="3C8F14FD" w14:textId="77777777" w:rsidR="0048679D" w:rsidRPr="00A538DD" w:rsidRDefault="0048679D">
            <w:pPr>
              <w:jc w:val="right"/>
            </w:pPr>
          </w:p>
        </w:tc>
        <w:tc>
          <w:tcPr>
            <w:tcW w:w="1134" w:type="dxa"/>
          </w:tcPr>
          <w:p w14:paraId="5824FAB6" w14:textId="77777777" w:rsidR="0048679D" w:rsidRPr="00A538DD" w:rsidRDefault="0048679D">
            <w:pPr>
              <w:jc w:val="right"/>
            </w:pPr>
          </w:p>
        </w:tc>
      </w:tr>
      <w:tr w:rsidR="00000000" w:rsidRPr="00A538DD" w14:paraId="39BB1269" w14:textId="77777777">
        <w:tblPrEx>
          <w:tblCellMar>
            <w:top w:w="0" w:type="dxa"/>
            <w:bottom w:w="0" w:type="dxa"/>
          </w:tblCellMar>
        </w:tblPrEx>
        <w:trPr>
          <w:cantSplit/>
        </w:trPr>
        <w:tc>
          <w:tcPr>
            <w:tcW w:w="2600" w:type="dxa"/>
          </w:tcPr>
          <w:p w14:paraId="760469A5" w14:textId="77777777" w:rsidR="0048679D" w:rsidRPr="00A538DD" w:rsidRDefault="0048679D">
            <w:pPr>
              <w:jc w:val="left"/>
            </w:pPr>
            <w:r w:rsidRPr="00A538DD">
              <w:t>Huvudsakliga refinansiering</w:t>
            </w:r>
            <w:r w:rsidRPr="00A538DD">
              <w:t>s</w:t>
            </w:r>
            <w:r w:rsidRPr="00A538DD">
              <w:t>transakti</w:t>
            </w:r>
            <w:r w:rsidRPr="00A538DD">
              <w:t>o</w:t>
            </w:r>
            <w:r w:rsidRPr="00A538DD">
              <w:t>ner</w:t>
            </w:r>
          </w:p>
        </w:tc>
        <w:tc>
          <w:tcPr>
            <w:tcW w:w="850" w:type="dxa"/>
          </w:tcPr>
          <w:p w14:paraId="2255DF12" w14:textId="77777777" w:rsidR="0048679D" w:rsidRPr="00A538DD" w:rsidRDefault="0048679D"/>
          <w:p w14:paraId="535B8064" w14:textId="77777777" w:rsidR="0048679D" w:rsidRPr="00A538DD" w:rsidRDefault="0048679D">
            <w:r w:rsidRPr="00A538DD">
              <w:t>Not 4</w:t>
            </w:r>
          </w:p>
        </w:tc>
        <w:tc>
          <w:tcPr>
            <w:tcW w:w="1134" w:type="dxa"/>
          </w:tcPr>
          <w:p w14:paraId="785967C6" w14:textId="77777777" w:rsidR="0048679D" w:rsidRPr="00A538DD" w:rsidRDefault="0048679D">
            <w:pPr>
              <w:jc w:val="right"/>
            </w:pPr>
          </w:p>
          <w:p w14:paraId="18EF02E7" w14:textId="77777777" w:rsidR="0048679D" w:rsidRPr="00A538DD" w:rsidRDefault="0048679D">
            <w:pPr>
              <w:jc w:val="right"/>
            </w:pPr>
            <w:r w:rsidRPr="00A538DD">
              <w:t xml:space="preserve">17 000         </w:t>
            </w:r>
          </w:p>
        </w:tc>
        <w:tc>
          <w:tcPr>
            <w:tcW w:w="1134" w:type="dxa"/>
          </w:tcPr>
          <w:p w14:paraId="244F2805" w14:textId="77777777" w:rsidR="0048679D" w:rsidRPr="00A538DD" w:rsidRDefault="0048679D">
            <w:pPr>
              <w:jc w:val="right"/>
            </w:pPr>
            <w:r w:rsidRPr="00A538DD">
              <w:t xml:space="preserve">    </w:t>
            </w:r>
          </w:p>
          <w:p w14:paraId="0BBF01F7" w14:textId="77777777" w:rsidR="0048679D" w:rsidRPr="00A538DD" w:rsidRDefault="0048679D">
            <w:pPr>
              <w:jc w:val="right"/>
            </w:pPr>
            <w:r w:rsidRPr="00A538DD">
              <w:t xml:space="preserve"> 23 800</w:t>
            </w:r>
          </w:p>
        </w:tc>
      </w:tr>
      <w:tr w:rsidR="00000000" w:rsidRPr="00A538DD" w14:paraId="19D45065" w14:textId="77777777">
        <w:tblPrEx>
          <w:tblCellMar>
            <w:top w:w="0" w:type="dxa"/>
            <w:bottom w:w="0" w:type="dxa"/>
          </w:tblCellMar>
        </w:tblPrEx>
        <w:trPr>
          <w:cantSplit/>
        </w:trPr>
        <w:tc>
          <w:tcPr>
            <w:tcW w:w="2600" w:type="dxa"/>
          </w:tcPr>
          <w:p w14:paraId="58BE0A07" w14:textId="77777777" w:rsidR="0048679D" w:rsidRPr="00A538DD" w:rsidRDefault="0048679D">
            <w:pPr>
              <w:jc w:val="left"/>
            </w:pPr>
            <w:r w:rsidRPr="00A538DD">
              <w:t>Finjusterande transaktioner</w:t>
            </w:r>
          </w:p>
        </w:tc>
        <w:tc>
          <w:tcPr>
            <w:tcW w:w="850" w:type="dxa"/>
          </w:tcPr>
          <w:p w14:paraId="0D939E1D" w14:textId="77777777" w:rsidR="0048679D" w:rsidRPr="00A538DD" w:rsidRDefault="0048679D">
            <w:r w:rsidRPr="00A538DD">
              <w:t>Not 5</w:t>
            </w:r>
          </w:p>
        </w:tc>
        <w:tc>
          <w:tcPr>
            <w:tcW w:w="1134" w:type="dxa"/>
          </w:tcPr>
          <w:p w14:paraId="732583C4" w14:textId="77777777" w:rsidR="0048679D" w:rsidRPr="00A538DD" w:rsidRDefault="0048679D">
            <w:pPr>
              <w:jc w:val="right"/>
            </w:pPr>
            <w:r w:rsidRPr="00A538DD">
              <w:t>–</w:t>
            </w:r>
          </w:p>
        </w:tc>
        <w:tc>
          <w:tcPr>
            <w:tcW w:w="1134" w:type="dxa"/>
          </w:tcPr>
          <w:p w14:paraId="013CF01E" w14:textId="77777777" w:rsidR="0048679D" w:rsidRPr="00A538DD" w:rsidRDefault="0048679D">
            <w:pPr>
              <w:jc w:val="right"/>
            </w:pPr>
            <w:r w:rsidRPr="00A538DD">
              <w:t>–</w:t>
            </w:r>
          </w:p>
        </w:tc>
      </w:tr>
      <w:tr w:rsidR="00000000" w:rsidRPr="00A538DD" w14:paraId="5896219B" w14:textId="77777777">
        <w:tblPrEx>
          <w:tblCellMar>
            <w:top w:w="0" w:type="dxa"/>
            <w:bottom w:w="0" w:type="dxa"/>
          </w:tblCellMar>
        </w:tblPrEx>
        <w:trPr>
          <w:cantSplit/>
        </w:trPr>
        <w:tc>
          <w:tcPr>
            <w:tcW w:w="2600" w:type="dxa"/>
          </w:tcPr>
          <w:p w14:paraId="011CED97" w14:textId="77777777" w:rsidR="0048679D" w:rsidRPr="00A538DD" w:rsidRDefault="0048679D">
            <w:pPr>
              <w:jc w:val="left"/>
            </w:pPr>
            <w:r w:rsidRPr="00A538DD">
              <w:t>Utlåningsfacil</w:t>
            </w:r>
            <w:r w:rsidRPr="00A538DD">
              <w:t>i</w:t>
            </w:r>
            <w:r w:rsidRPr="00A538DD">
              <w:t>tet</w:t>
            </w:r>
          </w:p>
        </w:tc>
        <w:tc>
          <w:tcPr>
            <w:tcW w:w="850" w:type="dxa"/>
          </w:tcPr>
          <w:p w14:paraId="4DD36FFE" w14:textId="77777777" w:rsidR="0048679D" w:rsidRPr="00A538DD" w:rsidRDefault="0048679D">
            <w:r w:rsidRPr="00A538DD">
              <w:t>Not 6</w:t>
            </w:r>
          </w:p>
        </w:tc>
        <w:tc>
          <w:tcPr>
            <w:tcW w:w="1134" w:type="dxa"/>
            <w:tcBorders>
              <w:bottom w:val="single" w:sz="4" w:space="0" w:color="auto"/>
            </w:tcBorders>
          </w:tcPr>
          <w:p w14:paraId="437C32F6" w14:textId="77777777" w:rsidR="0048679D" w:rsidRPr="00A538DD" w:rsidRDefault="0048679D">
            <w:pPr>
              <w:jc w:val="right"/>
            </w:pPr>
            <w:r w:rsidRPr="00A538DD">
              <w:t>2</w:t>
            </w:r>
          </w:p>
        </w:tc>
        <w:tc>
          <w:tcPr>
            <w:tcW w:w="1134" w:type="dxa"/>
            <w:tcBorders>
              <w:bottom w:val="single" w:sz="4" w:space="0" w:color="auto"/>
            </w:tcBorders>
          </w:tcPr>
          <w:p w14:paraId="0EBBE03C" w14:textId="77777777" w:rsidR="0048679D" w:rsidRPr="00A538DD" w:rsidRDefault="0048679D">
            <w:pPr>
              <w:jc w:val="right"/>
            </w:pPr>
            <w:r w:rsidRPr="00A538DD">
              <w:t>0</w:t>
            </w:r>
          </w:p>
        </w:tc>
      </w:tr>
      <w:tr w:rsidR="00000000" w:rsidRPr="00A538DD" w14:paraId="3FA2546A" w14:textId="77777777">
        <w:tblPrEx>
          <w:tblCellMar>
            <w:top w:w="0" w:type="dxa"/>
            <w:bottom w:w="0" w:type="dxa"/>
          </w:tblCellMar>
        </w:tblPrEx>
        <w:trPr>
          <w:cantSplit/>
        </w:trPr>
        <w:tc>
          <w:tcPr>
            <w:tcW w:w="2600" w:type="dxa"/>
          </w:tcPr>
          <w:p w14:paraId="12941FE9" w14:textId="77777777" w:rsidR="0048679D" w:rsidRPr="00A538DD" w:rsidRDefault="0048679D">
            <w:pPr>
              <w:pStyle w:val="Deltagare"/>
              <w:keepLines w:val="0"/>
              <w:spacing w:before="62" w:line="250" w:lineRule="atLeast"/>
              <w:jc w:val="left"/>
              <w:rPr>
                <w:noProof w:val="0"/>
              </w:rPr>
            </w:pPr>
          </w:p>
        </w:tc>
        <w:tc>
          <w:tcPr>
            <w:tcW w:w="850" w:type="dxa"/>
          </w:tcPr>
          <w:p w14:paraId="5798F700" w14:textId="77777777" w:rsidR="0048679D" w:rsidRPr="00A538DD" w:rsidRDefault="0048679D"/>
        </w:tc>
        <w:tc>
          <w:tcPr>
            <w:tcW w:w="1134" w:type="dxa"/>
          </w:tcPr>
          <w:p w14:paraId="22488E2C" w14:textId="77777777" w:rsidR="0048679D" w:rsidRPr="00A538DD" w:rsidRDefault="0048679D">
            <w:pPr>
              <w:jc w:val="right"/>
            </w:pPr>
            <w:r w:rsidRPr="00A538DD">
              <w:t>17 002</w:t>
            </w:r>
          </w:p>
        </w:tc>
        <w:tc>
          <w:tcPr>
            <w:tcW w:w="1134" w:type="dxa"/>
          </w:tcPr>
          <w:p w14:paraId="5482F949" w14:textId="77777777" w:rsidR="0048679D" w:rsidRPr="00A538DD" w:rsidRDefault="0048679D">
            <w:pPr>
              <w:jc w:val="right"/>
            </w:pPr>
            <w:r w:rsidRPr="00A538DD">
              <w:t>23 800</w:t>
            </w:r>
          </w:p>
        </w:tc>
      </w:tr>
      <w:tr w:rsidR="00000000" w:rsidRPr="00A538DD" w14:paraId="51DF9DE3" w14:textId="77777777">
        <w:tblPrEx>
          <w:tblCellMar>
            <w:top w:w="0" w:type="dxa"/>
            <w:bottom w:w="0" w:type="dxa"/>
          </w:tblCellMar>
        </w:tblPrEx>
        <w:trPr>
          <w:cantSplit/>
        </w:trPr>
        <w:tc>
          <w:tcPr>
            <w:tcW w:w="2600" w:type="dxa"/>
          </w:tcPr>
          <w:p w14:paraId="518D39C1" w14:textId="77777777" w:rsidR="0048679D" w:rsidRPr="00A538DD" w:rsidRDefault="0048679D">
            <w:pPr>
              <w:jc w:val="left"/>
              <w:rPr>
                <w:b/>
              </w:rPr>
            </w:pPr>
            <w:r w:rsidRPr="00A538DD">
              <w:rPr>
                <w:b/>
              </w:rPr>
              <w:t>Övriga tillgångar</w:t>
            </w:r>
          </w:p>
        </w:tc>
        <w:tc>
          <w:tcPr>
            <w:tcW w:w="850" w:type="dxa"/>
          </w:tcPr>
          <w:p w14:paraId="31ED7363" w14:textId="77777777" w:rsidR="0048679D" w:rsidRPr="00A538DD" w:rsidRDefault="0048679D"/>
        </w:tc>
        <w:tc>
          <w:tcPr>
            <w:tcW w:w="1134" w:type="dxa"/>
          </w:tcPr>
          <w:p w14:paraId="7D70615F" w14:textId="77777777" w:rsidR="0048679D" w:rsidRPr="00A538DD" w:rsidRDefault="0048679D">
            <w:pPr>
              <w:jc w:val="right"/>
            </w:pPr>
          </w:p>
        </w:tc>
        <w:tc>
          <w:tcPr>
            <w:tcW w:w="1134" w:type="dxa"/>
          </w:tcPr>
          <w:p w14:paraId="5B54737E" w14:textId="77777777" w:rsidR="0048679D" w:rsidRPr="00A538DD" w:rsidRDefault="0048679D">
            <w:pPr>
              <w:jc w:val="right"/>
            </w:pPr>
          </w:p>
        </w:tc>
      </w:tr>
      <w:tr w:rsidR="00000000" w:rsidRPr="00A538DD" w14:paraId="62504E4C" w14:textId="77777777">
        <w:tblPrEx>
          <w:tblCellMar>
            <w:top w:w="0" w:type="dxa"/>
            <w:bottom w:w="0" w:type="dxa"/>
          </w:tblCellMar>
        </w:tblPrEx>
        <w:trPr>
          <w:cantSplit/>
          <w:trHeight w:val="318"/>
        </w:trPr>
        <w:tc>
          <w:tcPr>
            <w:tcW w:w="2600" w:type="dxa"/>
          </w:tcPr>
          <w:p w14:paraId="0AB8E3A3" w14:textId="77777777" w:rsidR="0048679D" w:rsidRPr="00A538DD" w:rsidRDefault="0048679D">
            <w:pPr>
              <w:jc w:val="left"/>
            </w:pPr>
            <w:r w:rsidRPr="00A538DD">
              <w:t>Materiella och immateriella anläg</w:t>
            </w:r>
            <w:r w:rsidRPr="00A538DD">
              <w:t>g</w:t>
            </w:r>
            <w:r w:rsidRPr="00A538DD">
              <w:t xml:space="preserve">ningstillgångar </w:t>
            </w:r>
          </w:p>
        </w:tc>
        <w:tc>
          <w:tcPr>
            <w:tcW w:w="850" w:type="dxa"/>
          </w:tcPr>
          <w:p w14:paraId="72019358" w14:textId="77777777" w:rsidR="0048679D" w:rsidRPr="00A538DD" w:rsidRDefault="0048679D">
            <w:r w:rsidRPr="00A538DD">
              <w:br/>
              <w:t>Not 7</w:t>
            </w:r>
          </w:p>
        </w:tc>
        <w:tc>
          <w:tcPr>
            <w:tcW w:w="1134" w:type="dxa"/>
          </w:tcPr>
          <w:p w14:paraId="417E7A79" w14:textId="77777777" w:rsidR="0048679D" w:rsidRPr="00A538DD" w:rsidRDefault="0048679D">
            <w:pPr>
              <w:jc w:val="right"/>
            </w:pPr>
            <w:r w:rsidRPr="00A538DD">
              <w:br/>
              <w:t>538</w:t>
            </w:r>
          </w:p>
        </w:tc>
        <w:tc>
          <w:tcPr>
            <w:tcW w:w="1134" w:type="dxa"/>
          </w:tcPr>
          <w:p w14:paraId="2C2D5631" w14:textId="77777777" w:rsidR="0048679D" w:rsidRPr="00A538DD" w:rsidRDefault="0048679D">
            <w:pPr>
              <w:jc w:val="right"/>
            </w:pPr>
            <w:r w:rsidRPr="00A538DD">
              <w:br/>
              <w:t>509</w:t>
            </w:r>
          </w:p>
        </w:tc>
      </w:tr>
      <w:tr w:rsidR="00000000" w:rsidRPr="00A538DD" w14:paraId="1F857278" w14:textId="77777777">
        <w:tblPrEx>
          <w:tblCellMar>
            <w:top w:w="0" w:type="dxa"/>
            <w:bottom w:w="0" w:type="dxa"/>
          </w:tblCellMar>
        </w:tblPrEx>
        <w:trPr>
          <w:cantSplit/>
        </w:trPr>
        <w:tc>
          <w:tcPr>
            <w:tcW w:w="2600" w:type="dxa"/>
          </w:tcPr>
          <w:p w14:paraId="3DD891CD" w14:textId="77777777" w:rsidR="0048679D" w:rsidRPr="00A538DD" w:rsidRDefault="0048679D">
            <w:pPr>
              <w:jc w:val="left"/>
            </w:pPr>
            <w:r w:rsidRPr="00A538DD">
              <w:t>Finansiella tillgångar</w:t>
            </w:r>
          </w:p>
        </w:tc>
        <w:tc>
          <w:tcPr>
            <w:tcW w:w="850" w:type="dxa"/>
          </w:tcPr>
          <w:p w14:paraId="385E374C" w14:textId="77777777" w:rsidR="0048679D" w:rsidRPr="00A538DD" w:rsidRDefault="0048679D">
            <w:r w:rsidRPr="00A538DD">
              <w:t>Not 8</w:t>
            </w:r>
          </w:p>
        </w:tc>
        <w:tc>
          <w:tcPr>
            <w:tcW w:w="1134" w:type="dxa"/>
          </w:tcPr>
          <w:p w14:paraId="117C1F93" w14:textId="77777777" w:rsidR="0048679D" w:rsidRPr="00A538DD" w:rsidRDefault="0048679D">
            <w:pPr>
              <w:jc w:val="right"/>
            </w:pPr>
            <w:r w:rsidRPr="00A538DD">
              <w:t>410</w:t>
            </w:r>
          </w:p>
        </w:tc>
        <w:tc>
          <w:tcPr>
            <w:tcW w:w="1134" w:type="dxa"/>
          </w:tcPr>
          <w:p w14:paraId="61D41062" w14:textId="77777777" w:rsidR="0048679D" w:rsidRPr="00A538DD" w:rsidRDefault="0048679D">
            <w:pPr>
              <w:jc w:val="right"/>
            </w:pPr>
            <w:r w:rsidRPr="00A538DD">
              <w:t>324</w:t>
            </w:r>
          </w:p>
        </w:tc>
      </w:tr>
      <w:tr w:rsidR="00000000" w:rsidRPr="00A538DD" w14:paraId="58287D2B" w14:textId="77777777">
        <w:tblPrEx>
          <w:tblCellMar>
            <w:top w:w="0" w:type="dxa"/>
            <w:bottom w:w="0" w:type="dxa"/>
          </w:tblCellMar>
        </w:tblPrEx>
        <w:trPr>
          <w:cantSplit/>
        </w:trPr>
        <w:tc>
          <w:tcPr>
            <w:tcW w:w="2600" w:type="dxa"/>
          </w:tcPr>
          <w:p w14:paraId="5D852A87" w14:textId="77777777" w:rsidR="0048679D" w:rsidRPr="00A538DD" w:rsidRDefault="0048679D">
            <w:pPr>
              <w:jc w:val="left"/>
            </w:pPr>
            <w:r w:rsidRPr="00A538DD">
              <w:t>Förutbetalda kostnader och upplupna intä</w:t>
            </w:r>
            <w:r w:rsidRPr="00A538DD">
              <w:t>k</w:t>
            </w:r>
            <w:r w:rsidRPr="00A538DD">
              <w:t>ter</w:t>
            </w:r>
          </w:p>
        </w:tc>
        <w:tc>
          <w:tcPr>
            <w:tcW w:w="850" w:type="dxa"/>
          </w:tcPr>
          <w:p w14:paraId="58BD5B14" w14:textId="77777777" w:rsidR="0048679D" w:rsidRPr="00A538DD" w:rsidRDefault="0048679D"/>
          <w:p w14:paraId="735BE687" w14:textId="77777777" w:rsidR="0048679D" w:rsidRPr="00A538DD" w:rsidRDefault="0048679D">
            <w:r w:rsidRPr="00A538DD">
              <w:t>Not 9</w:t>
            </w:r>
          </w:p>
        </w:tc>
        <w:tc>
          <w:tcPr>
            <w:tcW w:w="1134" w:type="dxa"/>
          </w:tcPr>
          <w:p w14:paraId="27A7C833" w14:textId="77777777" w:rsidR="0048679D" w:rsidRPr="00A538DD" w:rsidRDefault="0048679D">
            <w:pPr>
              <w:jc w:val="right"/>
            </w:pPr>
          </w:p>
          <w:p w14:paraId="6AB80971" w14:textId="77777777" w:rsidR="0048679D" w:rsidRPr="00A538DD" w:rsidRDefault="0048679D">
            <w:pPr>
              <w:jc w:val="right"/>
            </w:pPr>
            <w:r w:rsidRPr="00A538DD">
              <w:t>1 963</w:t>
            </w:r>
          </w:p>
        </w:tc>
        <w:tc>
          <w:tcPr>
            <w:tcW w:w="1134" w:type="dxa"/>
          </w:tcPr>
          <w:p w14:paraId="314F27BE" w14:textId="77777777" w:rsidR="0048679D" w:rsidRPr="00A538DD" w:rsidRDefault="0048679D">
            <w:pPr>
              <w:jc w:val="right"/>
            </w:pPr>
          </w:p>
          <w:p w14:paraId="44B468E2" w14:textId="77777777" w:rsidR="0048679D" w:rsidRPr="00A538DD" w:rsidRDefault="0048679D">
            <w:pPr>
              <w:jc w:val="right"/>
            </w:pPr>
            <w:r w:rsidRPr="00A538DD">
              <w:t>2 005</w:t>
            </w:r>
          </w:p>
        </w:tc>
      </w:tr>
      <w:tr w:rsidR="00000000" w:rsidRPr="00A538DD" w14:paraId="68D5B7BA" w14:textId="77777777">
        <w:tblPrEx>
          <w:tblCellMar>
            <w:top w:w="0" w:type="dxa"/>
            <w:bottom w:w="0" w:type="dxa"/>
          </w:tblCellMar>
        </w:tblPrEx>
        <w:trPr>
          <w:cantSplit/>
        </w:trPr>
        <w:tc>
          <w:tcPr>
            <w:tcW w:w="2600" w:type="dxa"/>
          </w:tcPr>
          <w:p w14:paraId="2456B702" w14:textId="77777777" w:rsidR="0048679D" w:rsidRPr="00A538DD" w:rsidRDefault="0048679D">
            <w:pPr>
              <w:jc w:val="left"/>
            </w:pPr>
            <w:r w:rsidRPr="00A538DD">
              <w:t xml:space="preserve">Övriga tillgångar </w:t>
            </w:r>
          </w:p>
        </w:tc>
        <w:tc>
          <w:tcPr>
            <w:tcW w:w="850" w:type="dxa"/>
          </w:tcPr>
          <w:p w14:paraId="2DB7A025" w14:textId="77777777" w:rsidR="0048679D" w:rsidRPr="00A538DD" w:rsidRDefault="0048679D">
            <w:r w:rsidRPr="00A538DD">
              <w:t>Not 10</w:t>
            </w:r>
          </w:p>
        </w:tc>
        <w:tc>
          <w:tcPr>
            <w:tcW w:w="1134" w:type="dxa"/>
            <w:tcBorders>
              <w:bottom w:val="single" w:sz="4" w:space="0" w:color="auto"/>
            </w:tcBorders>
          </w:tcPr>
          <w:p w14:paraId="78876BCD" w14:textId="77777777" w:rsidR="0048679D" w:rsidRPr="00A538DD" w:rsidRDefault="0048679D">
            <w:pPr>
              <w:jc w:val="right"/>
            </w:pPr>
            <w:r w:rsidRPr="00A538DD">
              <w:t>294</w:t>
            </w:r>
          </w:p>
        </w:tc>
        <w:tc>
          <w:tcPr>
            <w:tcW w:w="1134" w:type="dxa"/>
            <w:tcBorders>
              <w:bottom w:val="single" w:sz="4" w:space="0" w:color="auto"/>
            </w:tcBorders>
          </w:tcPr>
          <w:p w14:paraId="7E3F98CC" w14:textId="77777777" w:rsidR="0048679D" w:rsidRPr="00A538DD" w:rsidRDefault="0048679D">
            <w:pPr>
              <w:jc w:val="right"/>
            </w:pPr>
            <w:r w:rsidRPr="00A538DD">
              <w:t>291</w:t>
            </w:r>
          </w:p>
        </w:tc>
      </w:tr>
      <w:tr w:rsidR="00000000" w:rsidRPr="00A538DD" w14:paraId="21CB07A4" w14:textId="77777777">
        <w:tblPrEx>
          <w:tblCellMar>
            <w:top w:w="0" w:type="dxa"/>
            <w:bottom w:w="0" w:type="dxa"/>
          </w:tblCellMar>
        </w:tblPrEx>
        <w:trPr>
          <w:cantSplit/>
        </w:trPr>
        <w:tc>
          <w:tcPr>
            <w:tcW w:w="2600" w:type="dxa"/>
          </w:tcPr>
          <w:p w14:paraId="69F650E1" w14:textId="77777777" w:rsidR="0048679D" w:rsidRPr="00A538DD" w:rsidRDefault="0048679D">
            <w:pPr>
              <w:jc w:val="left"/>
            </w:pPr>
          </w:p>
        </w:tc>
        <w:tc>
          <w:tcPr>
            <w:tcW w:w="850" w:type="dxa"/>
          </w:tcPr>
          <w:p w14:paraId="2989C0AD" w14:textId="77777777" w:rsidR="0048679D" w:rsidRPr="00A538DD" w:rsidRDefault="0048679D"/>
        </w:tc>
        <w:tc>
          <w:tcPr>
            <w:tcW w:w="1134" w:type="dxa"/>
          </w:tcPr>
          <w:p w14:paraId="24B166C5" w14:textId="77777777" w:rsidR="0048679D" w:rsidRPr="00A538DD" w:rsidRDefault="0048679D">
            <w:pPr>
              <w:jc w:val="right"/>
            </w:pPr>
            <w:r w:rsidRPr="00A538DD">
              <w:t>3 205</w:t>
            </w:r>
          </w:p>
        </w:tc>
        <w:tc>
          <w:tcPr>
            <w:tcW w:w="1134" w:type="dxa"/>
          </w:tcPr>
          <w:p w14:paraId="44C056B4" w14:textId="77777777" w:rsidR="0048679D" w:rsidRPr="00A538DD" w:rsidRDefault="0048679D">
            <w:pPr>
              <w:jc w:val="right"/>
            </w:pPr>
            <w:r w:rsidRPr="00A538DD">
              <w:t>3 129</w:t>
            </w:r>
          </w:p>
        </w:tc>
      </w:tr>
      <w:tr w:rsidR="00000000" w:rsidRPr="00A538DD" w14:paraId="44FAC8AD" w14:textId="77777777">
        <w:tblPrEx>
          <w:tblCellMar>
            <w:top w:w="0" w:type="dxa"/>
            <w:bottom w:w="0" w:type="dxa"/>
          </w:tblCellMar>
        </w:tblPrEx>
        <w:trPr>
          <w:cantSplit/>
        </w:trPr>
        <w:tc>
          <w:tcPr>
            <w:tcW w:w="2600" w:type="dxa"/>
          </w:tcPr>
          <w:p w14:paraId="04F0E6AA" w14:textId="77777777" w:rsidR="0048679D" w:rsidRPr="00A538DD" w:rsidRDefault="0048679D">
            <w:pPr>
              <w:jc w:val="left"/>
            </w:pPr>
          </w:p>
        </w:tc>
        <w:tc>
          <w:tcPr>
            <w:tcW w:w="850" w:type="dxa"/>
          </w:tcPr>
          <w:p w14:paraId="28CDB132" w14:textId="77777777" w:rsidR="0048679D" w:rsidRPr="00A538DD" w:rsidRDefault="0048679D"/>
        </w:tc>
        <w:tc>
          <w:tcPr>
            <w:tcW w:w="1134" w:type="dxa"/>
          </w:tcPr>
          <w:p w14:paraId="76138FCC" w14:textId="77777777" w:rsidR="0048679D" w:rsidRPr="00A538DD" w:rsidRDefault="0048679D">
            <w:pPr>
              <w:jc w:val="right"/>
            </w:pPr>
          </w:p>
        </w:tc>
        <w:tc>
          <w:tcPr>
            <w:tcW w:w="1134" w:type="dxa"/>
          </w:tcPr>
          <w:p w14:paraId="67806DA2" w14:textId="77777777" w:rsidR="0048679D" w:rsidRPr="00A538DD" w:rsidRDefault="0048679D">
            <w:pPr>
              <w:jc w:val="right"/>
            </w:pPr>
          </w:p>
        </w:tc>
      </w:tr>
      <w:tr w:rsidR="00000000" w:rsidRPr="00A538DD" w14:paraId="110A1F3C" w14:textId="77777777">
        <w:tblPrEx>
          <w:tblCellMar>
            <w:top w:w="0" w:type="dxa"/>
            <w:bottom w:w="0" w:type="dxa"/>
          </w:tblCellMar>
        </w:tblPrEx>
        <w:trPr>
          <w:cantSplit/>
        </w:trPr>
        <w:tc>
          <w:tcPr>
            <w:tcW w:w="2600" w:type="dxa"/>
            <w:tcBorders>
              <w:bottom w:val="single" w:sz="4" w:space="0" w:color="auto"/>
            </w:tcBorders>
          </w:tcPr>
          <w:p w14:paraId="63F1731B" w14:textId="77777777" w:rsidR="0048679D" w:rsidRPr="00A538DD" w:rsidRDefault="0048679D">
            <w:pPr>
              <w:jc w:val="left"/>
              <w:rPr>
                <w:b/>
              </w:rPr>
            </w:pPr>
            <w:r w:rsidRPr="00A538DD">
              <w:rPr>
                <w:b/>
              </w:rPr>
              <w:t>Summa tillgångar</w:t>
            </w:r>
          </w:p>
        </w:tc>
        <w:tc>
          <w:tcPr>
            <w:tcW w:w="850" w:type="dxa"/>
            <w:tcBorders>
              <w:bottom w:val="single" w:sz="4" w:space="0" w:color="auto"/>
            </w:tcBorders>
          </w:tcPr>
          <w:p w14:paraId="40D9BFFB" w14:textId="77777777" w:rsidR="0048679D" w:rsidRPr="00A538DD" w:rsidRDefault="0048679D"/>
        </w:tc>
        <w:tc>
          <w:tcPr>
            <w:tcW w:w="1134" w:type="dxa"/>
            <w:tcBorders>
              <w:top w:val="single" w:sz="4" w:space="0" w:color="auto"/>
              <w:bottom w:val="single" w:sz="4" w:space="0" w:color="auto"/>
            </w:tcBorders>
          </w:tcPr>
          <w:p w14:paraId="7CA6CC9B" w14:textId="77777777" w:rsidR="0048679D" w:rsidRPr="00A538DD" w:rsidRDefault="0048679D">
            <w:pPr>
              <w:jc w:val="right"/>
              <w:rPr>
                <w:b/>
              </w:rPr>
            </w:pPr>
            <w:r w:rsidRPr="00A538DD">
              <w:rPr>
                <w:b/>
              </w:rPr>
              <w:t>182 856</w:t>
            </w:r>
          </w:p>
        </w:tc>
        <w:tc>
          <w:tcPr>
            <w:tcW w:w="1134" w:type="dxa"/>
            <w:tcBorders>
              <w:top w:val="single" w:sz="4" w:space="0" w:color="auto"/>
              <w:bottom w:val="single" w:sz="4" w:space="0" w:color="auto"/>
            </w:tcBorders>
          </w:tcPr>
          <w:p w14:paraId="26046101" w14:textId="77777777" w:rsidR="0048679D" w:rsidRPr="00A538DD" w:rsidRDefault="0048679D">
            <w:pPr>
              <w:jc w:val="right"/>
              <w:rPr>
                <w:b/>
              </w:rPr>
            </w:pPr>
            <w:r w:rsidRPr="00A538DD">
              <w:rPr>
                <w:b/>
              </w:rPr>
              <w:t>186 231</w:t>
            </w:r>
          </w:p>
        </w:tc>
      </w:tr>
    </w:tbl>
    <w:p w14:paraId="4C5CF94B" w14:textId="77777777" w:rsidR="0048679D" w:rsidRPr="00A538DD" w:rsidRDefault="0048679D"/>
    <w:p w14:paraId="25D48A70" w14:textId="77777777" w:rsidR="0048679D" w:rsidRPr="00A538DD" w:rsidRDefault="0048679D"/>
    <w:p w14:paraId="65CFBC82" w14:textId="77777777" w:rsidR="0048679D" w:rsidRPr="00A538DD" w:rsidRDefault="0048679D"/>
    <w:p w14:paraId="6D7FAE8D" w14:textId="77777777" w:rsidR="0048679D" w:rsidRPr="00A538DD" w:rsidRDefault="0048679D"/>
    <w:p w14:paraId="56584391" w14:textId="77777777" w:rsidR="0048679D" w:rsidRPr="00A538DD" w:rsidRDefault="0048679D">
      <w:pPr>
        <w:pStyle w:val="Normaltindrag"/>
      </w:pPr>
    </w:p>
    <w:p w14:paraId="132504B2" w14:textId="77777777" w:rsidR="0048679D" w:rsidRPr="00A538DD" w:rsidRDefault="0048679D"/>
    <w:tbl>
      <w:tblPr>
        <w:tblW w:w="0" w:type="auto"/>
        <w:tblInd w:w="284" w:type="dxa"/>
        <w:tblLayout w:type="fixed"/>
        <w:tblCellMar>
          <w:left w:w="71" w:type="dxa"/>
          <w:right w:w="71" w:type="dxa"/>
        </w:tblCellMar>
        <w:tblLook w:val="0000" w:firstRow="0" w:lastRow="0" w:firstColumn="0" w:lastColumn="0" w:noHBand="0" w:noVBand="0"/>
      </w:tblPr>
      <w:tblGrid>
        <w:gridCol w:w="2608"/>
        <w:gridCol w:w="851"/>
        <w:gridCol w:w="1134"/>
        <w:gridCol w:w="1134"/>
      </w:tblGrid>
      <w:tr w:rsidR="00000000" w:rsidRPr="00A538DD" w14:paraId="516EBEC5" w14:textId="77777777">
        <w:tblPrEx>
          <w:tblCellMar>
            <w:top w:w="0" w:type="dxa"/>
            <w:bottom w:w="0" w:type="dxa"/>
          </w:tblCellMar>
        </w:tblPrEx>
        <w:trPr>
          <w:cantSplit/>
        </w:trPr>
        <w:tc>
          <w:tcPr>
            <w:tcW w:w="2608" w:type="dxa"/>
            <w:tcBorders>
              <w:bottom w:val="single" w:sz="4" w:space="0" w:color="auto"/>
            </w:tcBorders>
          </w:tcPr>
          <w:p w14:paraId="0E31CD2D" w14:textId="77777777" w:rsidR="0048679D" w:rsidRPr="00A538DD" w:rsidRDefault="0048679D">
            <w:pPr>
              <w:spacing w:before="0"/>
              <w:jc w:val="left"/>
              <w:rPr>
                <w:b/>
              </w:rPr>
            </w:pPr>
            <w:r w:rsidRPr="00A538DD">
              <w:rPr>
                <w:b/>
              </w:rPr>
              <w:t>Skulder och eget kapital</w:t>
            </w:r>
          </w:p>
        </w:tc>
        <w:tc>
          <w:tcPr>
            <w:tcW w:w="851" w:type="dxa"/>
            <w:tcBorders>
              <w:bottom w:val="single" w:sz="4" w:space="0" w:color="auto"/>
            </w:tcBorders>
          </w:tcPr>
          <w:p w14:paraId="2798E6C7" w14:textId="77777777" w:rsidR="0048679D" w:rsidRPr="00A538DD" w:rsidRDefault="0048679D">
            <w:pPr>
              <w:spacing w:before="0"/>
              <w:jc w:val="left"/>
              <w:rPr>
                <w:b/>
              </w:rPr>
            </w:pPr>
          </w:p>
        </w:tc>
        <w:tc>
          <w:tcPr>
            <w:tcW w:w="1134" w:type="dxa"/>
          </w:tcPr>
          <w:p w14:paraId="2FDA394F" w14:textId="77777777" w:rsidR="0048679D" w:rsidRPr="00A538DD" w:rsidRDefault="0048679D">
            <w:pPr>
              <w:spacing w:before="0"/>
              <w:jc w:val="right"/>
              <w:rPr>
                <w:b/>
              </w:rPr>
            </w:pPr>
          </w:p>
        </w:tc>
        <w:tc>
          <w:tcPr>
            <w:tcW w:w="1134" w:type="dxa"/>
          </w:tcPr>
          <w:p w14:paraId="61D55D72" w14:textId="77777777" w:rsidR="0048679D" w:rsidRPr="00A538DD" w:rsidRDefault="0048679D">
            <w:pPr>
              <w:spacing w:before="0"/>
              <w:jc w:val="right"/>
              <w:rPr>
                <w:b/>
              </w:rPr>
            </w:pPr>
          </w:p>
        </w:tc>
      </w:tr>
      <w:tr w:rsidR="00000000" w:rsidRPr="00A538DD" w14:paraId="681B0230" w14:textId="77777777">
        <w:tblPrEx>
          <w:tblCellMar>
            <w:top w:w="0" w:type="dxa"/>
            <w:bottom w:w="0" w:type="dxa"/>
          </w:tblCellMar>
        </w:tblPrEx>
        <w:trPr>
          <w:cantSplit/>
        </w:trPr>
        <w:tc>
          <w:tcPr>
            <w:tcW w:w="2608" w:type="dxa"/>
          </w:tcPr>
          <w:p w14:paraId="20997C09" w14:textId="77777777" w:rsidR="0048679D" w:rsidRPr="00A538DD" w:rsidRDefault="0048679D">
            <w:pPr>
              <w:jc w:val="left"/>
            </w:pPr>
          </w:p>
        </w:tc>
        <w:tc>
          <w:tcPr>
            <w:tcW w:w="851" w:type="dxa"/>
          </w:tcPr>
          <w:p w14:paraId="3B383166" w14:textId="77777777" w:rsidR="0048679D" w:rsidRPr="00A538DD" w:rsidRDefault="0048679D">
            <w:pPr>
              <w:jc w:val="left"/>
            </w:pPr>
          </w:p>
        </w:tc>
        <w:tc>
          <w:tcPr>
            <w:tcW w:w="1134" w:type="dxa"/>
            <w:tcBorders>
              <w:top w:val="single" w:sz="4" w:space="0" w:color="auto"/>
              <w:bottom w:val="single" w:sz="4" w:space="0" w:color="auto"/>
            </w:tcBorders>
          </w:tcPr>
          <w:p w14:paraId="75CBDE82" w14:textId="77777777" w:rsidR="0048679D" w:rsidRPr="00A538DD" w:rsidRDefault="0048679D">
            <w:pPr>
              <w:jc w:val="right"/>
            </w:pPr>
            <w:r w:rsidRPr="00A538DD">
              <w:t>2004-12-31</w:t>
            </w:r>
          </w:p>
        </w:tc>
        <w:tc>
          <w:tcPr>
            <w:tcW w:w="1134" w:type="dxa"/>
            <w:tcBorders>
              <w:top w:val="single" w:sz="4" w:space="0" w:color="auto"/>
              <w:bottom w:val="single" w:sz="4" w:space="0" w:color="auto"/>
            </w:tcBorders>
          </w:tcPr>
          <w:p w14:paraId="292413DE" w14:textId="77777777" w:rsidR="0048679D" w:rsidRPr="00A538DD" w:rsidRDefault="0048679D">
            <w:pPr>
              <w:pStyle w:val="Deltagare"/>
              <w:keepLines w:val="0"/>
              <w:spacing w:before="62" w:line="250" w:lineRule="atLeast"/>
              <w:jc w:val="right"/>
              <w:rPr>
                <w:noProof w:val="0"/>
              </w:rPr>
            </w:pPr>
            <w:r w:rsidRPr="00A538DD">
              <w:rPr>
                <w:noProof w:val="0"/>
              </w:rPr>
              <w:t>2003-12-31</w:t>
            </w:r>
          </w:p>
        </w:tc>
      </w:tr>
      <w:tr w:rsidR="00000000" w:rsidRPr="00A538DD" w14:paraId="0B10BFBD" w14:textId="77777777">
        <w:tblPrEx>
          <w:tblCellMar>
            <w:top w:w="0" w:type="dxa"/>
            <w:bottom w:w="0" w:type="dxa"/>
          </w:tblCellMar>
        </w:tblPrEx>
        <w:trPr>
          <w:cantSplit/>
        </w:trPr>
        <w:tc>
          <w:tcPr>
            <w:tcW w:w="2608" w:type="dxa"/>
          </w:tcPr>
          <w:p w14:paraId="6F2FE3C5" w14:textId="77777777" w:rsidR="0048679D" w:rsidRPr="00A538DD" w:rsidRDefault="0048679D">
            <w:pPr>
              <w:spacing w:before="0"/>
              <w:jc w:val="left"/>
              <w:rPr>
                <w:b/>
              </w:rPr>
            </w:pPr>
            <w:r w:rsidRPr="00A538DD">
              <w:rPr>
                <w:b/>
              </w:rPr>
              <w:t>Utelöpande sedlar och mynt</w:t>
            </w:r>
          </w:p>
        </w:tc>
        <w:tc>
          <w:tcPr>
            <w:tcW w:w="851" w:type="dxa"/>
          </w:tcPr>
          <w:p w14:paraId="1B41F1D5" w14:textId="77777777" w:rsidR="0048679D" w:rsidRPr="00A538DD" w:rsidRDefault="0048679D">
            <w:pPr>
              <w:spacing w:before="0"/>
              <w:jc w:val="left"/>
              <w:rPr>
                <w:b/>
              </w:rPr>
            </w:pPr>
          </w:p>
        </w:tc>
        <w:tc>
          <w:tcPr>
            <w:tcW w:w="1134" w:type="dxa"/>
          </w:tcPr>
          <w:p w14:paraId="4BE73632" w14:textId="77777777" w:rsidR="0048679D" w:rsidRPr="00A538DD" w:rsidRDefault="0048679D">
            <w:pPr>
              <w:spacing w:before="0"/>
              <w:jc w:val="right"/>
              <w:rPr>
                <w:b/>
              </w:rPr>
            </w:pPr>
          </w:p>
        </w:tc>
        <w:tc>
          <w:tcPr>
            <w:tcW w:w="1134" w:type="dxa"/>
          </w:tcPr>
          <w:p w14:paraId="0016F063" w14:textId="77777777" w:rsidR="0048679D" w:rsidRPr="00A538DD" w:rsidRDefault="0048679D">
            <w:pPr>
              <w:spacing w:before="0"/>
              <w:jc w:val="right"/>
              <w:rPr>
                <w:b/>
              </w:rPr>
            </w:pPr>
          </w:p>
        </w:tc>
      </w:tr>
      <w:tr w:rsidR="00000000" w:rsidRPr="00A538DD" w14:paraId="3EE5113E" w14:textId="77777777">
        <w:tblPrEx>
          <w:tblCellMar>
            <w:top w:w="0" w:type="dxa"/>
            <w:bottom w:w="0" w:type="dxa"/>
          </w:tblCellMar>
        </w:tblPrEx>
        <w:trPr>
          <w:cantSplit/>
        </w:trPr>
        <w:tc>
          <w:tcPr>
            <w:tcW w:w="2608" w:type="dxa"/>
          </w:tcPr>
          <w:p w14:paraId="1C986ADD" w14:textId="77777777" w:rsidR="0048679D" w:rsidRPr="00A538DD" w:rsidRDefault="0048679D">
            <w:pPr>
              <w:spacing w:before="0"/>
              <w:jc w:val="left"/>
            </w:pPr>
            <w:r w:rsidRPr="00A538DD">
              <w:t>Sedlar</w:t>
            </w:r>
          </w:p>
        </w:tc>
        <w:tc>
          <w:tcPr>
            <w:tcW w:w="851" w:type="dxa"/>
          </w:tcPr>
          <w:p w14:paraId="1E486012" w14:textId="77777777" w:rsidR="0048679D" w:rsidRPr="00A538DD" w:rsidRDefault="0048679D">
            <w:pPr>
              <w:pStyle w:val="Deltagare"/>
              <w:keepLines w:val="0"/>
              <w:spacing w:before="0" w:line="250" w:lineRule="atLeast"/>
              <w:jc w:val="left"/>
              <w:rPr>
                <w:noProof w:val="0"/>
              </w:rPr>
            </w:pPr>
            <w:r w:rsidRPr="00A538DD">
              <w:rPr>
                <w:noProof w:val="0"/>
              </w:rPr>
              <w:t>Not 11</w:t>
            </w:r>
          </w:p>
        </w:tc>
        <w:tc>
          <w:tcPr>
            <w:tcW w:w="1134" w:type="dxa"/>
          </w:tcPr>
          <w:p w14:paraId="599A5440" w14:textId="77777777" w:rsidR="0048679D" w:rsidRPr="00A538DD" w:rsidRDefault="0048679D">
            <w:pPr>
              <w:spacing w:before="0"/>
              <w:jc w:val="right"/>
            </w:pPr>
            <w:r w:rsidRPr="00A538DD">
              <w:t>103 452</w:t>
            </w:r>
          </w:p>
        </w:tc>
        <w:tc>
          <w:tcPr>
            <w:tcW w:w="1134" w:type="dxa"/>
          </w:tcPr>
          <w:p w14:paraId="109F008E" w14:textId="77777777" w:rsidR="0048679D" w:rsidRPr="00A538DD" w:rsidRDefault="0048679D">
            <w:pPr>
              <w:spacing w:before="0"/>
              <w:jc w:val="right"/>
            </w:pPr>
            <w:r w:rsidRPr="00A538DD">
              <w:t>103 675</w:t>
            </w:r>
          </w:p>
        </w:tc>
      </w:tr>
      <w:tr w:rsidR="00000000" w:rsidRPr="00A538DD" w14:paraId="191BE904" w14:textId="77777777">
        <w:tblPrEx>
          <w:tblCellMar>
            <w:top w:w="0" w:type="dxa"/>
            <w:bottom w:w="0" w:type="dxa"/>
          </w:tblCellMar>
        </w:tblPrEx>
        <w:trPr>
          <w:cantSplit/>
        </w:trPr>
        <w:tc>
          <w:tcPr>
            <w:tcW w:w="2608" w:type="dxa"/>
          </w:tcPr>
          <w:p w14:paraId="74D34033" w14:textId="77777777" w:rsidR="0048679D" w:rsidRPr="00A538DD" w:rsidRDefault="0048679D">
            <w:pPr>
              <w:spacing w:before="0"/>
              <w:jc w:val="left"/>
            </w:pPr>
            <w:r w:rsidRPr="00A538DD">
              <w:t xml:space="preserve">Mynt </w:t>
            </w:r>
          </w:p>
        </w:tc>
        <w:tc>
          <w:tcPr>
            <w:tcW w:w="851" w:type="dxa"/>
          </w:tcPr>
          <w:p w14:paraId="6752EC12" w14:textId="77777777" w:rsidR="0048679D" w:rsidRPr="00A538DD" w:rsidRDefault="0048679D">
            <w:pPr>
              <w:spacing w:before="0"/>
              <w:jc w:val="left"/>
            </w:pPr>
            <w:r w:rsidRPr="00A538DD">
              <w:t>Not 12</w:t>
            </w:r>
          </w:p>
        </w:tc>
        <w:tc>
          <w:tcPr>
            <w:tcW w:w="1134" w:type="dxa"/>
            <w:tcBorders>
              <w:bottom w:val="single" w:sz="4" w:space="0" w:color="auto"/>
            </w:tcBorders>
          </w:tcPr>
          <w:p w14:paraId="73375F01" w14:textId="77777777" w:rsidR="0048679D" w:rsidRPr="00A538DD" w:rsidRDefault="0048679D">
            <w:pPr>
              <w:spacing w:before="0"/>
              <w:jc w:val="right"/>
            </w:pPr>
            <w:r w:rsidRPr="00A538DD">
              <w:t>5 442</w:t>
            </w:r>
          </w:p>
        </w:tc>
        <w:tc>
          <w:tcPr>
            <w:tcW w:w="1134" w:type="dxa"/>
            <w:tcBorders>
              <w:bottom w:val="single" w:sz="4" w:space="0" w:color="auto"/>
            </w:tcBorders>
          </w:tcPr>
          <w:p w14:paraId="2E449BDB" w14:textId="77777777" w:rsidR="0048679D" w:rsidRPr="00A538DD" w:rsidRDefault="0048679D">
            <w:pPr>
              <w:spacing w:before="0"/>
              <w:jc w:val="right"/>
            </w:pPr>
            <w:r w:rsidRPr="00A538DD">
              <w:t>5 265</w:t>
            </w:r>
          </w:p>
        </w:tc>
      </w:tr>
      <w:tr w:rsidR="00000000" w:rsidRPr="00A538DD" w14:paraId="22CD0B24" w14:textId="77777777">
        <w:tblPrEx>
          <w:tblCellMar>
            <w:top w:w="0" w:type="dxa"/>
            <w:bottom w:w="0" w:type="dxa"/>
          </w:tblCellMar>
        </w:tblPrEx>
        <w:trPr>
          <w:cantSplit/>
        </w:trPr>
        <w:tc>
          <w:tcPr>
            <w:tcW w:w="2608" w:type="dxa"/>
          </w:tcPr>
          <w:p w14:paraId="5EC70ABB" w14:textId="77777777" w:rsidR="0048679D" w:rsidRPr="00A538DD" w:rsidRDefault="0048679D">
            <w:pPr>
              <w:spacing w:before="0"/>
              <w:jc w:val="left"/>
            </w:pPr>
          </w:p>
        </w:tc>
        <w:tc>
          <w:tcPr>
            <w:tcW w:w="851" w:type="dxa"/>
          </w:tcPr>
          <w:p w14:paraId="14F37E54" w14:textId="77777777" w:rsidR="0048679D" w:rsidRPr="00A538DD" w:rsidRDefault="0048679D">
            <w:pPr>
              <w:spacing w:before="0"/>
              <w:jc w:val="left"/>
            </w:pPr>
          </w:p>
        </w:tc>
        <w:tc>
          <w:tcPr>
            <w:tcW w:w="1134" w:type="dxa"/>
          </w:tcPr>
          <w:p w14:paraId="5C42208D" w14:textId="77777777" w:rsidR="0048679D" w:rsidRPr="00A538DD" w:rsidRDefault="0048679D">
            <w:pPr>
              <w:spacing w:before="0"/>
              <w:jc w:val="right"/>
            </w:pPr>
            <w:r w:rsidRPr="00A538DD">
              <w:t>108 894</w:t>
            </w:r>
          </w:p>
        </w:tc>
        <w:tc>
          <w:tcPr>
            <w:tcW w:w="1134" w:type="dxa"/>
          </w:tcPr>
          <w:p w14:paraId="6FE7985D" w14:textId="77777777" w:rsidR="0048679D" w:rsidRPr="00A538DD" w:rsidRDefault="0048679D">
            <w:pPr>
              <w:spacing w:before="0"/>
              <w:jc w:val="right"/>
            </w:pPr>
            <w:r w:rsidRPr="00A538DD">
              <w:t>108 940</w:t>
            </w:r>
          </w:p>
        </w:tc>
      </w:tr>
      <w:tr w:rsidR="00000000" w:rsidRPr="00A538DD" w14:paraId="5514D5FC" w14:textId="77777777">
        <w:tblPrEx>
          <w:tblCellMar>
            <w:top w:w="0" w:type="dxa"/>
            <w:bottom w:w="0" w:type="dxa"/>
          </w:tblCellMar>
        </w:tblPrEx>
        <w:trPr>
          <w:cantSplit/>
        </w:trPr>
        <w:tc>
          <w:tcPr>
            <w:tcW w:w="2608" w:type="dxa"/>
          </w:tcPr>
          <w:p w14:paraId="2F313886" w14:textId="77777777" w:rsidR="0048679D" w:rsidRPr="00A538DD" w:rsidRDefault="0048679D">
            <w:pPr>
              <w:spacing w:before="0"/>
              <w:jc w:val="left"/>
              <w:rPr>
                <w:b/>
              </w:rPr>
            </w:pPr>
            <w:r w:rsidRPr="00A538DD">
              <w:rPr>
                <w:b/>
              </w:rPr>
              <w:t>Skulder i svenska kronor till penningpolitiska motparter</w:t>
            </w:r>
          </w:p>
        </w:tc>
        <w:tc>
          <w:tcPr>
            <w:tcW w:w="851" w:type="dxa"/>
          </w:tcPr>
          <w:p w14:paraId="0E523B5C" w14:textId="77777777" w:rsidR="0048679D" w:rsidRPr="00A538DD" w:rsidRDefault="0048679D">
            <w:pPr>
              <w:spacing w:before="0"/>
              <w:jc w:val="left"/>
              <w:rPr>
                <w:b/>
              </w:rPr>
            </w:pPr>
          </w:p>
        </w:tc>
        <w:tc>
          <w:tcPr>
            <w:tcW w:w="1134" w:type="dxa"/>
          </w:tcPr>
          <w:p w14:paraId="03BBE143" w14:textId="77777777" w:rsidR="0048679D" w:rsidRPr="00A538DD" w:rsidRDefault="0048679D">
            <w:pPr>
              <w:spacing w:before="0"/>
              <w:jc w:val="right"/>
              <w:rPr>
                <w:b/>
              </w:rPr>
            </w:pPr>
          </w:p>
        </w:tc>
        <w:tc>
          <w:tcPr>
            <w:tcW w:w="1134" w:type="dxa"/>
          </w:tcPr>
          <w:p w14:paraId="59BD7A97" w14:textId="77777777" w:rsidR="0048679D" w:rsidRPr="00A538DD" w:rsidRDefault="0048679D">
            <w:pPr>
              <w:spacing w:before="0"/>
              <w:jc w:val="right"/>
              <w:rPr>
                <w:b/>
              </w:rPr>
            </w:pPr>
          </w:p>
        </w:tc>
      </w:tr>
      <w:tr w:rsidR="00000000" w:rsidRPr="00A538DD" w14:paraId="4C749631" w14:textId="77777777">
        <w:tblPrEx>
          <w:tblCellMar>
            <w:top w:w="0" w:type="dxa"/>
            <w:bottom w:w="0" w:type="dxa"/>
          </w:tblCellMar>
        </w:tblPrEx>
        <w:trPr>
          <w:cantSplit/>
        </w:trPr>
        <w:tc>
          <w:tcPr>
            <w:tcW w:w="2608" w:type="dxa"/>
          </w:tcPr>
          <w:p w14:paraId="1B620A4D" w14:textId="77777777" w:rsidR="0048679D" w:rsidRPr="00A538DD" w:rsidRDefault="0048679D">
            <w:pPr>
              <w:spacing w:before="0"/>
              <w:jc w:val="left"/>
            </w:pPr>
            <w:r w:rsidRPr="00A538DD">
              <w:t>Inlåningsfacilitet</w:t>
            </w:r>
          </w:p>
        </w:tc>
        <w:tc>
          <w:tcPr>
            <w:tcW w:w="851" w:type="dxa"/>
          </w:tcPr>
          <w:p w14:paraId="1B31F914" w14:textId="77777777" w:rsidR="0048679D" w:rsidRPr="00A538DD" w:rsidRDefault="0048679D">
            <w:pPr>
              <w:spacing w:before="0"/>
              <w:jc w:val="left"/>
            </w:pPr>
            <w:r w:rsidRPr="00A538DD">
              <w:t>Not 13</w:t>
            </w:r>
          </w:p>
        </w:tc>
        <w:tc>
          <w:tcPr>
            <w:tcW w:w="1134" w:type="dxa"/>
          </w:tcPr>
          <w:p w14:paraId="672D2438" w14:textId="77777777" w:rsidR="0048679D" w:rsidRPr="00A538DD" w:rsidRDefault="0048679D">
            <w:pPr>
              <w:spacing w:before="0"/>
              <w:jc w:val="right"/>
            </w:pPr>
            <w:r w:rsidRPr="00A538DD">
              <w:t>86</w:t>
            </w:r>
          </w:p>
        </w:tc>
        <w:tc>
          <w:tcPr>
            <w:tcW w:w="1134" w:type="dxa"/>
          </w:tcPr>
          <w:p w14:paraId="49D35BC6" w14:textId="77777777" w:rsidR="0048679D" w:rsidRPr="00A538DD" w:rsidRDefault="0048679D">
            <w:pPr>
              <w:spacing w:before="0"/>
              <w:jc w:val="right"/>
            </w:pPr>
            <w:r w:rsidRPr="00A538DD">
              <w:t>49</w:t>
            </w:r>
          </w:p>
        </w:tc>
      </w:tr>
      <w:tr w:rsidR="00000000" w:rsidRPr="00A538DD" w14:paraId="450A327B" w14:textId="77777777">
        <w:tblPrEx>
          <w:tblCellMar>
            <w:top w:w="0" w:type="dxa"/>
            <w:bottom w:w="0" w:type="dxa"/>
          </w:tblCellMar>
        </w:tblPrEx>
        <w:trPr>
          <w:cantSplit/>
        </w:trPr>
        <w:tc>
          <w:tcPr>
            <w:tcW w:w="2608" w:type="dxa"/>
          </w:tcPr>
          <w:p w14:paraId="2FB2B8C8" w14:textId="77777777" w:rsidR="0048679D" w:rsidRPr="00A538DD" w:rsidRDefault="0048679D">
            <w:pPr>
              <w:spacing w:before="0"/>
              <w:jc w:val="left"/>
            </w:pPr>
            <w:r w:rsidRPr="00A538DD">
              <w:t>Finjusterande transaktioner</w:t>
            </w:r>
          </w:p>
        </w:tc>
        <w:tc>
          <w:tcPr>
            <w:tcW w:w="851" w:type="dxa"/>
          </w:tcPr>
          <w:p w14:paraId="7667A878" w14:textId="77777777" w:rsidR="0048679D" w:rsidRPr="00A538DD" w:rsidRDefault="0048679D">
            <w:pPr>
              <w:spacing w:before="0"/>
              <w:jc w:val="left"/>
            </w:pPr>
            <w:r w:rsidRPr="00A538DD">
              <w:t>Not 14</w:t>
            </w:r>
          </w:p>
        </w:tc>
        <w:tc>
          <w:tcPr>
            <w:tcW w:w="1134" w:type="dxa"/>
            <w:tcBorders>
              <w:bottom w:val="single" w:sz="4" w:space="0" w:color="auto"/>
            </w:tcBorders>
          </w:tcPr>
          <w:p w14:paraId="01B6FF4E" w14:textId="77777777" w:rsidR="0048679D" w:rsidRPr="00A538DD" w:rsidRDefault="0048679D">
            <w:pPr>
              <w:spacing w:before="0"/>
              <w:jc w:val="right"/>
            </w:pPr>
            <w:r w:rsidRPr="00A538DD">
              <w:t>527</w:t>
            </w:r>
          </w:p>
        </w:tc>
        <w:tc>
          <w:tcPr>
            <w:tcW w:w="1134" w:type="dxa"/>
            <w:tcBorders>
              <w:bottom w:val="single" w:sz="4" w:space="0" w:color="auto"/>
            </w:tcBorders>
          </w:tcPr>
          <w:p w14:paraId="646D029D" w14:textId="77777777" w:rsidR="0048679D" w:rsidRPr="00A538DD" w:rsidRDefault="0048679D">
            <w:pPr>
              <w:spacing w:before="0"/>
              <w:jc w:val="right"/>
            </w:pPr>
            <w:r w:rsidRPr="00A538DD">
              <w:t>491</w:t>
            </w:r>
          </w:p>
        </w:tc>
      </w:tr>
      <w:tr w:rsidR="00000000" w:rsidRPr="00A538DD" w14:paraId="6069F030" w14:textId="77777777">
        <w:tblPrEx>
          <w:tblCellMar>
            <w:top w:w="0" w:type="dxa"/>
            <w:bottom w:w="0" w:type="dxa"/>
          </w:tblCellMar>
        </w:tblPrEx>
        <w:trPr>
          <w:cantSplit/>
        </w:trPr>
        <w:tc>
          <w:tcPr>
            <w:tcW w:w="2608" w:type="dxa"/>
          </w:tcPr>
          <w:p w14:paraId="333F6350" w14:textId="77777777" w:rsidR="0048679D" w:rsidRPr="00A538DD" w:rsidRDefault="0048679D">
            <w:pPr>
              <w:spacing w:before="0"/>
              <w:jc w:val="left"/>
            </w:pPr>
          </w:p>
        </w:tc>
        <w:tc>
          <w:tcPr>
            <w:tcW w:w="851" w:type="dxa"/>
          </w:tcPr>
          <w:p w14:paraId="21D1CA9B" w14:textId="77777777" w:rsidR="0048679D" w:rsidRPr="00A538DD" w:rsidRDefault="0048679D">
            <w:pPr>
              <w:spacing w:before="0"/>
              <w:jc w:val="left"/>
            </w:pPr>
          </w:p>
        </w:tc>
        <w:tc>
          <w:tcPr>
            <w:tcW w:w="1134" w:type="dxa"/>
          </w:tcPr>
          <w:p w14:paraId="08566E49" w14:textId="77777777" w:rsidR="0048679D" w:rsidRPr="00A538DD" w:rsidRDefault="0048679D">
            <w:pPr>
              <w:spacing w:before="0"/>
              <w:jc w:val="right"/>
            </w:pPr>
            <w:r w:rsidRPr="00A538DD">
              <w:t>613</w:t>
            </w:r>
          </w:p>
        </w:tc>
        <w:tc>
          <w:tcPr>
            <w:tcW w:w="1134" w:type="dxa"/>
          </w:tcPr>
          <w:p w14:paraId="76D18F0D" w14:textId="77777777" w:rsidR="0048679D" w:rsidRPr="00A538DD" w:rsidRDefault="0048679D">
            <w:pPr>
              <w:spacing w:before="0"/>
              <w:jc w:val="right"/>
            </w:pPr>
            <w:r w:rsidRPr="00A538DD">
              <w:t>540</w:t>
            </w:r>
          </w:p>
        </w:tc>
      </w:tr>
      <w:tr w:rsidR="00000000" w:rsidRPr="00A538DD" w14:paraId="578531E2" w14:textId="77777777">
        <w:tblPrEx>
          <w:tblCellMar>
            <w:top w:w="0" w:type="dxa"/>
            <w:bottom w:w="0" w:type="dxa"/>
          </w:tblCellMar>
        </w:tblPrEx>
        <w:trPr>
          <w:cantSplit/>
        </w:trPr>
        <w:tc>
          <w:tcPr>
            <w:tcW w:w="2608" w:type="dxa"/>
          </w:tcPr>
          <w:p w14:paraId="5B30550D" w14:textId="77777777" w:rsidR="0048679D" w:rsidRPr="00A538DD" w:rsidRDefault="0048679D">
            <w:pPr>
              <w:spacing w:before="0"/>
              <w:jc w:val="left"/>
            </w:pPr>
            <w:r w:rsidRPr="00A538DD">
              <w:rPr>
                <w:b/>
              </w:rPr>
              <w:t>Skulder i svenska kronor till hemmahörande utanför Sv</w:t>
            </w:r>
            <w:r w:rsidRPr="00A538DD">
              <w:rPr>
                <w:b/>
              </w:rPr>
              <w:t>e</w:t>
            </w:r>
            <w:r w:rsidRPr="00A538DD">
              <w:rPr>
                <w:b/>
              </w:rPr>
              <w:t>rige</w:t>
            </w:r>
          </w:p>
        </w:tc>
        <w:tc>
          <w:tcPr>
            <w:tcW w:w="851" w:type="dxa"/>
          </w:tcPr>
          <w:p w14:paraId="683BB7F9" w14:textId="77777777" w:rsidR="0048679D" w:rsidRPr="00A538DD" w:rsidRDefault="0048679D">
            <w:pPr>
              <w:spacing w:before="0"/>
              <w:jc w:val="left"/>
            </w:pPr>
          </w:p>
          <w:p w14:paraId="560DCD02" w14:textId="77777777" w:rsidR="0048679D" w:rsidRPr="00A538DD" w:rsidRDefault="0048679D">
            <w:pPr>
              <w:spacing w:before="0"/>
              <w:jc w:val="left"/>
            </w:pPr>
            <w:r w:rsidRPr="00A538DD">
              <w:br/>
              <w:t>Not 15</w:t>
            </w:r>
          </w:p>
        </w:tc>
        <w:tc>
          <w:tcPr>
            <w:tcW w:w="1134" w:type="dxa"/>
          </w:tcPr>
          <w:p w14:paraId="6A7EA1BC" w14:textId="77777777" w:rsidR="0048679D" w:rsidRPr="00A538DD" w:rsidRDefault="0048679D">
            <w:pPr>
              <w:spacing w:before="0"/>
              <w:jc w:val="right"/>
            </w:pPr>
          </w:p>
          <w:p w14:paraId="170FAB9A" w14:textId="77777777" w:rsidR="0048679D" w:rsidRPr="00A538DD" w:rsidRDefault="0048679D">
            <w:pPr>
              <w:pStyle w:val="Normaltindrag"/>
            </w:pPr>
          </w:p>
          <w:p w14:paraId="4F36E18D" w14:textId="77777777" w:rsidR="0048679D" w:rsidRPr="00A538DD" w:rsidRDefault="0048679D">
            <w:pPr>
              <w:spacing w:before="0"/>
              <w:jc w:val="right"/>
            </w:pPr>
            <w:r w:rsidRPr="00A538DD">
              <w:t>306</w:t>
            </w:r>
          </w:p>
        </w:tc>
        <w:tc>
          <w:tcPr>
            <w:tcW w:w="1134" w:type="dxa"/>
          </w:tcPr>
          <w:p w14:paraId="0777B751" w14:textId="77777777" w:rsidR="0048679D" w:rsidRPr="00A538DD" w:rsidRDefault="0048679D">
            <w:pPr>
              <w:spacing w:before="0"/>
              <w:jc w:val="right"/>
            </w:pPr>
          </w:p>
          <w:p w14:paraId="16C050C8" w14:textId="77777777" w:rsidR="0048679D" w:rsidRPr="00A538DD" w:rsidRDefault="0048679D">
            <w:pPr>
              <w:pStyle w:val="Normaltindrag"/>
            </w:pPr>
          </w:p>
          <w:p w14:paraId="6AE7BE87" w14:textId="77777777" w:rsidR="0048679D" w:rsidRPr="00A538DD" w:rsidRDefault="0048679D">
            <w:pPr>
              <w:spacing w:before="0"/>
              <w:jc w:val="right"/>
            </w:pPr>
            <w:r w:rsidRPr="00A538DD">
              <w:t>125</w:t>
            </w:r>
          </w:p>
        </w:tc>
      </w:tr>
      <w:tr w:rsidR="00000000" w:rsidRPr="00A538DD" w14:paraId="2AD3BB40" w14:textId="77777777">
        <w:tblPrEx>
          <w:tblCellMar>
            <w:top w:w="0" w:type="dxa"/>
            <w:bottom w:w="0" w:type="dxa"/>
          </w:tblCellMar>
        </w:tblPrEx>
        <w:trPr>
          <w:cantSplit/>
        </w:trPr>
        <w:tc>
          <w:tcPr>
            <w:tcW w:w="2608" w:type="dxa"/>
          </w:tcPr>
          <w:p w14:paraId="2BD79A39" w14:textId="77777777" w:rsidR="0048679D" w:rsidRPr="00A538DD" w:rsidRDefault="0048679D">
            <w:pPr>
              <w:spacing w:before="0"/>
              <w:jc w:val="left"/>
            </w:pPr>
          </w:p>
        </w:tc>
        <w:tc>
          <w:tcPr>
            <w:tcW w:w="851" w:type="dxa"/>
          </w:tcPr>
          <w:p w14:paraId="09443E7F" w14:textId="77777777" w:rsidR="0048679D" w:rsidRPr="00A538DD" w:rsidRDefault="0048679D">
            <w:pPr>
              <w:spacing w:before="0"/>
              <w:jc w:val="left"/>
            </w:pPr>
          </w:p>
        </w:tc>
        <w:tc>
          <w:tcPr>
            <w:tcW w:w="1134" w:type="dxa"/>
          </w:tcPr>
          <w:p w14:paraId="1A1E540C" w14:textId="77777777" w:rsidR="0048679D" w:rsidRPr="00A538DD" w:rsidRDefault="0048679D">
            <w:pPr>
              <w:spacing w:before="0"/>
              <w:jc w:val="right"/>
            </w:pPr>
          </w:p>
        </w:tc>
        <w:tc>
          <w:tcPr>
            <w:tcW w:w="1134" w:type="dxa"/>
          </w:tcPr>
          <w:p w14:paraId="188B15E5" w14:textId="77777777" w:rsidR="0048679D" w:rsidRPr="00A538DD" w:rsidRDefault="0048679D">
            <w:pPr>
              <w:spacing w:before="0"/>
              <w:jc w:val="right"/>
            </w:pPr>
          </w:p>
        </w:tc>
      </w:tr>
      <w:tr w:rsidR="00000000" w:rsidRPr="00A538DD" w14:paraId="07FFB0BF" w14:textId="77777777">
        <w:tblPrEx>
          <w:tblCellMar>
            <w:top w:w="0" w:type="dxa"/>
            <w:bottom w:w="0" w:type="dxa"/>
          </w:tblCellMar>
        </w:tblPrEx>
        <w:trPr>
          <w:cantSplit/>
        </w:trPr>
        <w:tc>
          <w:tcPr>
            <w:tcW w:w="2608" w:type="dxa"/>
          </w:tcPr>
          <w:p w14:paraId="17C33D8D" w14:textId="77777777" w:rsidR="0048679D" w:rsidRPr="00A538DD" w:rsidRDefault="0048679D">
            <w:pPr>
              <w:pStyle w:val="SakregBetRub"/>
              <w:keepNext w:val="0"/>
              <w:widowControl/>
              <w:spacing w:before="0" w:line="250" w:lineRule="atLeast"/>
            </w:pPr>
            <w:r w:rsidRPr="00A538DD">
              <w:t>Skulder i utländsk valuta till hemmahörande utanför Sv</w:t>
            </w:r>
            <w:r w:rsidRPr="00A538DD">
              <w:t>e</w:t>
            </w:r>
            <w:r w:rsidRPr="00A538DD">
              <w:t>rige</w:t>
            </w:r>
          </w:p>
        </w:tc>
        <w:tc>
          <w:tcPr>
            <w:tcW w:w="851" w:type="dxa"/>
          </w:tcPr>
          <w:p w14:paraId="381CFFA6" w14:textId="77777777" w:rsidR="0048679D" w:rsidRPr="00A538DD" w:rsidRDefault="0048679D">
            <w:pPr>
              <w:spacing w:before="0"/>
              <w:jc w:val="left"/>
            </w:pPr>
          </w:p>
          <w:p w14:paraId="4B884A56" w14:textId="77777777" w:rsidR="0048679D" w:rsidRPr="00A538DD" w:rsidRDefault="0048679D">
            <w:pPr>
              <w:spacing w:before="0"/>
              <w:jc w:val="left"/>
            </w:pPr>
            <w:r w:rsidRPr="00A538DD">
              <w:br/>
              <w:t>Not 16</w:t>
            </w:r>
          </w:p>
        </w:tc>
        <w:tc>
          <w:tcPr>
            <w:tcW w:w="1134" w:type="dxa"/>
          </w:tcPr>
          <w:p w14:paraId="4698A693" w14:textId="77777777" w:rsidR="0048679D" w:rsidRPr="00A538DD" w:rsidRDefault="0048679D">
            <w:pPr>
              <w:spacing w:before="0"/>
              <w:jc w:val="right"/>
            </w:pPr>
          </w:p>
          <w:p w14:paraId="693B2D5E" w14:textId="77777777" w:rsidR="0048679D" w:rsidRPr="00A538DD" w:rsidRDefault="0048679D">
            <w:pPr>
              <w:pStyle w:val="Normaltindrag"/>
            </w:pPr>
          </w:p>
          <w:p w14:paraId="1E48526E" w14:textId="77777777" w:rsidR="0048679D" w:rsidRPr="00A538DD" w:rsidRDefault="0048679D">
            <w:pPr>
              <w:spacing w:before="0"/>
              <w:jc w:val="right"/>
            </w:pPr>
            <w:r w:rsidRPr="00A538DD">
              <w:t>4 912</w:t>
            </w:r>
          </w:p>
        </w:tc>
        <w:tc>
          <w:tcPr>
            <w:tcW w:w="1134" w:type="dxa"/>
          </w:tcPr>
          <w:p w14:paraId="578F1349" w14:textId="77777777" w:rsidR="0048679D" w:rsidRPr="00A538DD" w:rsidRDefault="0048679D">
            <w:pPr>
              <w:spacing w:before="0"/>
              <w:jc w:val="right"/>
            </w:pPr>
          </w:p>
          <w:p w14:paraId="26E3C2BE" w14:textId="77777777" w:rsidR="0048679D" w:rsidRPr="00A538DD" w:rsidRDefault="0048679D">
            <w:pPr>
              <w:pStyle w:val="Normaltindrag"/>
            </w:pPr>
          </w:p>
          <w:p w14:paraId="0AB2CA18" w14:textId="77777777" w:rsidR="0048679D" w:rsidRPr="00A538DD" w:rsidRDefault="0048679D">
            <w:pPr>
              <w:spacing w:before="0"/>
              <w:jc w:val="right"/>
            </w:pPr>
            <w:r w:rsidRPr="00A538DD">
              <w:t>998</w:t>
            </w:r>
          </w:p>
        </w:tc>
      </w:tr>
      <w:tr w:rsidR="00000000" w:rsidRPr="00A538DD" w14:paraId="2CD71DE0" w14:textId="77777777">
        <w:tblPrEx>
          <w:tblCellMar>
            <w:top w:w="0" w:type="dxa"/>
            <w:bottom w:w="0" w:type="dxa"/>
          </w:tblCellMar>
        </w:tblPrEx>
        <w:trPr>
          <w:cantSplit/>
        </w:trPr>
        <w:tc>
          <w:tcPr>
            <w:tcW w:w="2608" w:type="dxa"/>
          </w:tcPr>
          <w:p w14:paraId="772C4170" w14:textId="77777777" w:rsidR="0048679D" w:rsidRPr="00A538DD" w:rsidRDefault="0048679D">
            <w:pPr>
              <w:spacing w:before="0"/>
              <w:jc w:val="left"/>
            </w:pPr>
          </w:p>
        </w:tc>
        <w:tc>
          <w:tcPr>
            <w:tcW w:w="851" w:type="dxa"/>
          </w:tcPr>
          <w:p w14:paraId="77D74C69" w14:textId="77777777" w:rsidR="0048679D" w:rsidRPr="00A538DD" w:rsidRDefault="0048679D">
            <w:pPr>
              <w:spacing w:before="0"/>
              <w:jc w:val="left"/>
            </w:pPr>
          </w:p>
        </w:tc>
        <w:tc>
          <w:tcPr>
            <w:tcW w:w="1134" w:type="dxa"/>
          </w:tcPr>
          <w:p w14:paraId="199B598C" w14:textId="77777777" w:rsidR="0048679D" w:rsidRPr="00A538DD" w:rsidRDefault="0048679D">
            <w:pPr>
              <w:spacing w:before="0"/>
              <w:jc w:val="right"/>
            </w:pPr>
          </w:p>
        </w:tc>
        <w:tc>
          <w:tcPr>
            <w:tcW w:w="1134" w:type="dxa"/>
          </w:tcPr>
          <w:p w14:paraId="77C71E02" w14:textId="77777777" w:rsidR="0048679D" w:rsidRPr="00A538DD" w:rsidRDefault="0048679D">
            <w:pPr>
              <w:spacing w:before="0"/>
              <w:jc w:val="right"/>
            </w:pPr>
          </w:p>
        </w:tc>
      </w:tr>
      <w:tr w:rsidR="00000000" w:rsidRPr="00A538DD" w14:paraId="14306893" w14:textId="77777777">
        <w:tblPrEx>
          <w:tblCellMar>
            <w:top w:w="0" w:type="dxa"/>
            <w:bottom w:w="0" w:type="dxa"/>
          </w:tblCellMar>
        </w:tblPrEx>
        <w:trPr>
          <w:cantSplit/>
        </w:trPr>
        <w:tc>
          <w:tcPr>
            <w:tcW w:w="2608" w:type="dxa"/>
          </w:tcPr>
          <w:p w14:paraId="53A1EA9F" w14:textId="77777777" w:rsidR="0048679D" w:rsidRPr="00A538DD" w:rsidRDefault="0048679D">
            <w:pPr>
              <w:pStyle w:val="SakregBetRub"/>
              <w:keepNext w:val="0"/>
              <w:widowControl/>
              <w:spacing w:before="0" w:line="250" w:lineRule="atLeast"/>
            </w:pPr>
            <w:r w:rsidRPr="00A538DD">
              <w:t>Motpost till särskilda dra</w:t>
            </w:r>
            <w:r w:rsidRPr="00A538DD">
              <w:t>g</w:t>
            </w:r>
            <w:r w:rsidRPr="00A538DD">
              <w:t>ningsrätter som tilldelats av IMF</w:t>
            </w:r>
          </w:p>
        </w:tc>
        <w:tc>
          <w:tcPr>
            <w:tcW w:w="851" w:type="dxa"/>
          </w:tcPr>
          <w:p w14:paraId="05B2C436" w14:textId="77777777" w:rsidR="0048679D" w:rsidRPr="00A538DD" w:rsidRDefault="0048679D">
            <w:pPr>
              <w:spacing w:before="0"/>
              <w:jc w:val="left"/>
            </w:pPr>
          </w:p>
          <w:p w14:paraId="361DF50E" w14:textId="77777777" w:rsidR="0048679D" w:rsidRPr="00A538DD" w:rsidRDefault="0048679D">
            <w:pPr>
              <w:spacing w:before="0"/>
              <w:jc w:val="left"/>
            </w:pPr>
            <w:r w:rsidRPr="00A538DD">
              <w:br/>
              <w:t>Not 17</w:t>
            </w:r>
          </w:p>
        </w:tc>
        <w:tc>
          <w:tcPr>
            <w:tcW w:w="1134" w:type="dxa"/>
          </w:tcPr>
          <w:p w14:paraId="364EDEB9" w14:textId="77777777" w:rsidR="0048679D" w:rsidRPr="00A538DD" w:rsidRDefault="0048679D">
            <w:pPr>
              <w:spacing w:before="0"/>
              <w:jc w:val="right"/>
            </w:pPr>
          </w:p>
          <w:p w14:paraId="0AC3215F" w14:textId="77777777" w:rsidR="0048679D" w:rsidRPr="00A538DD" w:rsidRDefault="0048679D">
            <w:pPr>
              <w:spacing w:before="0"/>
              <w:jc w:val="right"/>
            </w:pPr>
          </w:p>
          <w:p w14:paraId="7AE3FBE5" w14:textId="77777777" w:rsidR="0048679D" w:rsidRPr="00A538DD" w:rsidRDefault="0048679D">
            <w:pPr>
              <w:spacing w:before="0"/>
              <w:jc w:val="right"/>
            </w:pPr>
            <w:r w:rsidRPr="00A538DD">
              <w:t>2 537</w:t>
            </w:r>
          </w:p>
        </w:tc>
        <w:tc>
          <w:tcPr>
            <w:tcW w:w="1134" w:type="dxa"/>
          </w:tcPr>
          <w:p w14:paraId="17437DD9" w14:textId="77777777" w:rsidR="0048679D" w:rsidRPr="00A538DD" w:rsidRDefault="0048679D">
            <w:pPr>
              <w:spacing w:before="0"/>
              <w:jc w:val="right"/>
            </w:pPr>
          </w:p>
          <w:p w14:paraId="133FB8D7" w14:textId="77777777" w:rsidR="0048679D" w:rsidRPr="00A538DD" w:rsidRDefault="0048679D">
            <w:pPr>
              <w:pStyle w:val="Normaltindrag"/>
            </w:pPr>
          </w:p>
          <w:p w14:paraId="0EA2BCC4" w14:textId="77777777" w:rsidR="0048679D" w:rsidRPr="00A538DD" w:rsidRDefault="0048679D">
            <w:pPr>
              <w:spacing w:before="0"/>
              <w:jc w:val="right"/>
            </w:pPr>
            <w:r w:rsidRPr="00A538DD">
              <w:t>2 647</w:t>
            </w:r>
          </w:p>
        </w:tc>
      </w:tr>
      <w:tr w:rsidR="00000000" w:rsidRPr="00A538DD" w14:paraId="70A9E3BD" w14:textId="77777777">
        <w:tblPrEx>
          <w:tblCellMar>
            <w:top w:w="0" w:type="dxa"/>
            <w:bottom w:w="0" w:type="dxa"/>
          </w:tblCellMar>
        </w:tblPrEx>
        <w:trPr>
          <w:cantSplit/>
        </w:trPr>
        <w:tc>
          <w:tcPr>
            <w:tcW w:w="2608" w:type="dxa"/>
          </w:tcPr>
          <w:p w14:paraId="202879D0" w14:textId="77777777" w:rsidR="0048679D" w:rsidRPr="00A538DD" w:rsidRDefault="0048679D">
            <w:pPr>
              <w:spacing w:before="0"/>
              <w:jc w:val="left"/>
            </w:pPr>
          </w:p>
        </w:tc>
        <w:tc>
          <w:tcPr>
            <w:tcW w:w="851" w:type="dxa"/>
          </w:tcPr>
          <w:p w14:paraId="4BD5F30F" w14:textId="77777777" w:rsidR="0048679D" w:rsidRPr="00A538DD" w:rsidRDefault="0048679D">
            <w:pPr>
              <w:spacing w:before="0"/>
              <w:jc w:val="left"/>
            </w:pPr>
          </w:p>
        </w:tc>
        <w:tc>
          <w:tcPr>
            <w:tcW w:w="1134" w:type="dxa"/>
          </w:tcPr>
          <w:p w14:paraId="69DA5FC3" w14:textId="77777777" w:rsidR="0048679D" w:rsidRPr="00A538DD" w:rsidRDefault="0048679D">
            <w:pPr>
              <w:spacing w:before="0"/>
              <w:jc w:val="right"/>
            </w:pPr>
          </w:p>
        </w:tc>
        <w:tc>
          <w:tcPr>
            <w:tcW w:w="1134" w:type="dxa"/>
          </w:tcPr>
          <w:p w14:paraId="7998A975" w14:textId="77777777" w:rsidR="0048679D" w:rsidRPr="00A538DD" w:rsidRDefault="0048679D">
            <w:pPr>
              <w:spacing w:before="0"/>
              <w:jc w:val="right"/>
            </w:pPr>
          </w:p>
        </w:tc>
      </w:tr>
      <w:tr w:rsidR="00000000" w:rsidRPr="00A538DD" w14:paraId="6EB12DF4" w14:textId="77777777">
        <w:tblPrEx>
          <w:tblCellMar>
            <w:top w:w="0" w:type="dxa"/>
            <w:bottom w:w="0" w:type="dxa"/>
          </w:tblCellMar>
        </w:tblPrEx>
        <w:trPr>
          <w:cantSplit/>
        </w:trPr>
        <w:tc>
          <w:tcPr>
            <w:tcW w:w="2608" w:type="dxa"/>
          </w:tcPr>
          <w:p w14:paraId="4092BBC7" w14:textId="77777777" w:rsidR="0048679D" w:rsidRPr="00A538DD" w:rsidRDefault="0048679D">
            <w:pPr>
              <w:pStyle w:val="SakregBetRub"/>
              <w:widowControl/>
              <w:spacing w:before="0" w:line="250" w:lineRule="atLeast"/>
            </w:pPr>
            <w:r w:rsidRPr="00A538DD">
              <w:t>Övriga skulder</w:t>
            </w:r>
          </w:p>
        </w:tc>
        <w:tc>
          <w:tcPr>
            <w:tcW w:w="851" w:type="dxa"/>
          </w:tcPr>
          <w:p w14:paraId="583A8D58" w14:textId="77777777" w:rsidR="0048679D" w:rsidRPr="00A538DD" w:rsidRDefault="0048679D">
            <w:pPr>
              <w:spacing w:before="0"/>
              <w:jc w:val="left"/>
            </w:pPr>
          </w:p>
        </w:tc>
        <w:tc>
          <w:tcPr>
            <w:tcW w:w="1134" w:type="dxa"/>
          </w:tcPr>
          <w:p w14:paraId="594D50D1" w14:textId="77777777" w:rsidR="0048679D" w:rsidRPr="00A538DD" w:rsidRDefault="0048679D">
            <w:pPr>
              <w:spacing w:before="0"/>
              <w:jc w:val="right"/>
            </w:pPr>
          </w:p>
        </w:tc>
        <w:tc>
          <w:tcPr>
            <w:tcW w:w="1134" w:type="dxa"/>
          </w:tcPr>
          <w:p w14:paraId="062258B1" w14:textId="77777777" w:rsidR="0048679D" w:rsidRPr="00A538DD" w:rsidRDefault="0048679D">
            <w:pPr>
              <w:spacing w:before="0"/>
              <w:jc w:val="right"/>
            </w:pPr>
          </w:p>
        </w:tc>
      </w:tr>
      <w:tr w:rsidR="00000000" w:rsidRPr="00A538DD" w14:paraId="6B242A35" w14:textId="77777777">
        <w:tblPrEx>
          <w:tblCellMar>
            <w:top w:w="0" w:type="dxa"/>
            <w:bottom w:w="0" w:type="dxa"/>
          </w:tblCellMar>
        </w:tblPrEx>
        <w:trPr>
          <w:cantSplit/>
        </w:trPr>
        <w:tc>
          <w:tcPr>
            <w:tcW w:w="2608" w:type="dxa"/>
          </w:tcPr>
          <w:p w14:paraId="1E3CD790" w14:textId="77777777" w:rsidR="0048679D" w:rsidRPr="00A538DD" w:rsidRDefault="0048679D">
            <w:pPr>
              <w:spacing w:before="0"/>
              <w:jc w:val="left"/>
            </w:pPr>
            <w:r w:rsidRPr="00A538DD">
              <w:t>Derivatinstrument</w:t>
            </w:r>
          </w:p>
        </w:tc>
        <w:tc>
          <w:tcPr>
            <w:tcW w:w="851" w:type="dxa"/>
          </w:tcPr>
          <w:p w14:paraId="1F2674C6" w14:textId="77777777" w:rsidR="0048679D" w:rsidRPr="00A538DD" w:rsidRDefault="0048679D">
            <w:pPr>
              <w:spacing w:before="0"/>
              <w:jc w:val="left"/>
            </w:pPr>
            <w:r w:rsidRPr="00A538DD">
              <w:t>Not 18</w:t>
            </w:r>
          </w:p>
        </w:tc>
        <w:tc>
          <w:tcPr>
            <w:tcW w:w="1134" w:type="dxa"/>
          </w:tcPr>
          <w:p w14:paraId="215A9205" w14:textId="77777777" w:rsidR="0048679D" w:rsidRPr="00A538DD" w:rsidRDefault="0048679D">
            <w:pPr>
              <w:spacing w:before="0"/>
              <w:jc w:val="right"/>
            </w:pPr>
            <w:r w:rsidRPr="00A538DD">
              <w:t>85</w:t>
            </w:r>
          </w:p>
        </w:tc>
        <w:tc>
          <w:tcPr>
            <w:tcW w:w="1134" w:type="dxa"/>
          </w:tcPr>
          <w:p w14:paraId="2AA0853C" w14:textId="77777777" w:rsidR="0048679D" w:rsidRPr="00A538DD" w:rsidRDefault="0048679D">
            <w:pPr>
              <w:spacing w:before="0"/>
              <w:jc w:val="right"/>
            </w:pPr>
            <w:r w:rsidRPr="00A538DD">
              <w:t>16</w:t>
            </w:r>
          </w:p>
        </w:tc>
      </w:tr>
      <w:tr w:rsidR="00000000" w:rsidRPr="00A538DD" w14:paraId="29A14212" w14:textId="77777777">
        <w:tblPrEx>
          <w:tblCellMar>
            <w:top w:w="0" w:type="dxa"/>
            <w:bottom w:w="0" w:type="dxa"/>
          </w:tblCellMar>
        </w:tblPrEx>
        <w:trPr>
          <w:cantSplit/>
        </w:trPr>
        <w:tc>
          <w:tcPr>
            <w:tcW w:w="2608" w:type="dxa"/>
          </w:tcPr>
          <w:p w14:paraId="6574242B" w14:textId="77777777" w:rsidR="0048679D" w:rsidRPr="00A538DD" w:rsidRDefault="0048679D">
            <w:pPr>
              <w:spacing w:before="0"/>
              <w:jc w:val="left"/>
            </w:pPr>
            <w:r w:rsidRPr="00A538DD">
              <w:t>Upplupna kostnader och föru</w:t>
            </w:r>
            <w:r w:rsidRPr="00A538DD">
              <w:t>t</w:t>
            </w:r>
            <w:r w:rsidRPr="00A538DD">
              <w:t xml:space="preserve">betalda intäkter </w:t>
            </w:r>
          </w:p>
        </w:tc>
        <w:tc>
          <w:tcPr>
            <w:tcW w:w="851" w:type="dxa"/>
          </w:tcPr>
          <w:p w14:paraId="339C7BA2" w14:textId="77777777" w:rsidR="0048679D" w:rsidRPr="00A538DD" w:rsidRDefault="0048679D">
            <w:pPr>
              <w:spacing w:before="0"/>
              <w:jc w:val="left"/>
            </w:pPr>
            <w:r w:rsidRPr="00A538DD">
              <w:br/>
              <w:t>Not 19</w:t>
            </w:r>
          </w:p>
        </w:tc>
        <w:tc>
          <w:tcPr>
            <w:tcW w:w="1134" w:type="dxa"/>
          </w:tcPr>
          <w:p w14:paraId="153FD2EA" w14:textId="77777777" w:rsidR="0048679D" w:rsidRPr="00A538DD" w:rsidRDefault="0048679D">
            <w:pPr>
              <w:spacing w:before="0"/>
              <w:jc w:val="right"/>
            </w:pPr>
          </w:p>
          <w:p w14:paraId="4C8B2569" w14:textId="77777777" w:rsidR="0048679D" w:rsidRPr="00A538DD" w:rsidRDefault="0048679D">
            <w:pPr>
              <w:spacing w:before="0"/>
              <w:jc w:val="right"/>
            </w:pPr>
            <w:r w:rsidRPr="00A538DD">
              <w:t>100</w:t>
            </w:r>
          </w:p>
        </w:tc>
        <w:tc>
          <w:tcPr>
            <w:tcW w:w="1134" w:type="dxa"/>
          </w:tcPr>
          <w:p w14:paraId="11271526" w14:textId="77777777" w:rsidR="0048679D" w:rsidRPr="00A538DD" w:rsidRDefault="0048679D">
            <w:pPr>
              <w:spacing w:before="0"/>
              <w:jc w:val="right"/>
            </w:pPr>
          </w:p>
          <w:p w14:paraId="23630AC7" w14:textId="77777777" w:rsidR="0048679D" w:rsidRPr="00A538DD" w:rsidRDefault="0048679D">
            <w:pPr>
              <w:spacing w:before="0"/>
              <w:jc w:val="right"/>
            </w:pPr>
            <w:r w:rsidRPr="00A538DD">
              <w:t>81</w:t>
            </w:r>
          </w:p>
        </w:tc>
      </w:tr>
      <w:tr w:rsidR="00000000" w:rsidRPr="00A538DD" w14:paraId="11DE2E8C" w14:textId="77777777">
        <w:tblPrEx>
          <w:tblCellMar>
            <w:top w:w="0" w:type="dxa"/>
            <w:bottom w:w="0" w:type="dxa"/>
          </w:tblCellMar>
        </w:tblPrEx>
        <w:trPr>
          <w:cantSplit/>
        </w:trPr>
        <w:tc>
          <w:tcPr>
            <w:tcW w:w="2608" w:type="dxa"/>
          </w:tcPr>
          <w:p w14:paraId="2A7074D9" w14:textId="77777777" w:rsidR="0048679D" w:rsidRPr="00A538DD" w:rsidRDefault="0048679D">
            <w:pPr>
              <w:spacing w:before="0"/>
              <w:jc w:val="left"/>
            </w:pPr>
            <w:r w:rsidRPr="00A538DD">
              <w:t>Övriga skulder</w:t>
            </w:r>
          </w:p>
        </w:tc>
        <w:tc>
          <w:tcPr>
            <w:tcW w:w="851" w:type="dxa"/>
          </w:tcPr>
          <w:p w14:paraId="373F672C" w14:textId="77777777" w:rsidR="0048679D" w:rsidRPr="00A538DD" w:rsidRDefault="0048679D">
            <w:pPr>
              <w:spacing w:before="0"/>
              <w:jc w:val="left"/>
            </w:pPr>
            <w:r w:rsidRPr="00A538DD">
              <w:t>Not 20</w:t>
            </w:r>
          </w:p>
        </w:tc>
        <w:tc>
          <w:tcPr>
            <w:tcW w:w="1134" w:type="dxa"/>
            <w:tcBorders>
              <w:bottom w:val="single" w:sz="4" w:space="0" w:color="auto"/>
            </w:tcBorders>
          </w:tcPr>
          <w:p w14:paraId="1665E19F" w14:textId="77777777" w:rsidR="0048679D" w:rsidRPr="00A538DD" w:rsidRDefault="0048679D">
            <w:pPr>
              <w:spacing w:before="0"/>
              <w:jc w:val="right"/>
            </w:pPr>
            <w:r w:rsidRPr="00A538DD">
              <w:t>69</w:t>
            </w:r>
          </w:p>
        </w:tc>
        <w:tc>
          <w:tcPr>
            <w:tcW w:w="1134" w:type="dxa"/>
            <w:tcBorders>
              <w:bottom w:val="single" w:sz="4" w:space="0" w:color="auto"/>
            </w:tcBorders>
          </w:tcPr>
          <w:p w14:paraId="5D8D540C" w14:textId="77777777" w:rsidR="0048679D" w:rsidRPr="00A538DD" w:rsidRDefault="0048679D">
            <w:pPr>
              <w:spacing w:before="0"/>
              <w:jc w:val="right"/>
            </w:pPr>
            <w:r w:rsidRPr="00A538DD">
              <w:t>71</w:t>
            </w:r>
          </w:p>
        </w:tc>
      </w:tr>
      <w:tr w:rsidR="00000000" w:rsidRPr="00A538DD" w14:paraId="17DBA2CC" w14:textId="77777777">
        <w:tblPrEx>
          <w:tblCellMar>
            <w:top w:w="0" w:type="dxa"/>
            <w:bottom w:w="0" w:type="dxa"/>
          </w:tblCellMar>
        </w:tblPrEx>
        <w:trPr>
          <w:cantSplit/>
        </w:trPr>
        <w:tc>
          <w:tcPr>
            <w:tcW w:w="2608" w:type="dxa"/>
          </w:tcPr>
          <w:p w14:paraId="13AC70B4" w14:textId="77777777" w:rsidR="0048679D" w:rsidRPr="00A538DD" w:rsidRDefault="0048679D">
            <w:pPr>
              <w:spacing w:before="0"/>
              <w:jc w:val="left"/>
            </w:pPr>
          </w:p>
        </w:tc>
        <w:tc>
          <w:tcPr>
            <w:tcW w:w="851" w:type="dxa"/>
          </w:tcPr>
          <w:p w14:paraId="596C5393" w14:textId="77777777" w:rsidR="0048679D" w:rsidRPr="00A538DD" w:rsidRDefault="0048679D">
            <w:pPr>
              <w:spacing w:before="0"/>
              <w:jc w:val="left"/>
            </w:pPr>
          </w:p>
        </w:tc>
        <w:tc>
          <w:tcPr>
            <w:tcW w:w="1134" w:type="dxa"/>
          </w:tcPr>
          <w:p w14:paraId="2BCF125C" w14:textId="77777777" w:rsidR="0048679D" w:rsidRPr="00A538DD" w:rsidRDefault="0048679D">
            <w:pPr>
              <w:spacing w:before="0"/>
              <w:jc w:val="right"/>
            </w:pPr>
            <w:r w:rsidRPr="00A538DD">
              <w:t>254</w:t>
            </w:r>
          </w:p>
        </w:tc>
        <w:tc>
          <w:tcPr>
            <w:tcW w:w="1134" w:type="dxa"/>
          </w:tcPr>
          <w:p w14:paraId="420012BD" w14:textId="77777777" w:rsidR="0048679D" w:rsidRPr="00A538DD" w:rsidRDefault="0048679D">
            <w:pPr>
              <w:spacing w:before="0"/>
              <w:jc w:val="right"/>
            </w:pPr>
            <w:r w:rsidRPr="00A538DD">
              <w:t>168</w:t>
            </w:r>
          </w:p>
        </w:tc>
      </w:tr>
      <w:tr w:rsidR="00000000" w:rsidRPr="00A538DD" w14:paraId="77BB2D1C" w14:textId="77777777">
        <w:tblPrEx>
          <w:tblCellMar>
            <w:top w:w="0" w:type="dxa"/>
            <w:bottom w:w="0" w:type="dxa"/>
          </w:tblCellMar>
        </w:tblPrEx>
        <w:trPr>
          <w:cantSplit/>
        </w:trPr>
        <w:tc>
          <w:tcPr>
            <w:tcW w:w="2608" w:type="dxa"/>
          </w:tcPr>
          <w:p w14:paraId="6001202F" w14:textId="77777777" w:rsidR="0048679D" w:rsidRPr="00A538DD" w:rsidRDefault="0048679D">
            <w:pPr>
              <w:pStyle w:val="SakregBetRub"/>
              <w:widowControl/>
              <w:spacing w:before="0" w:line="250" w:lineRule="atLeast"/>
            </w:pPr>
            <w:r w:rsidRPr="00A538DD">
              <w:t>Avsättningar</w:t>
            </w:r>
          </w:p>
        </w:tc>
        <w:tc>
          <w:tcPr>
            <w:tcW w:w="851" w:type="dxa"/>
          </w:tcPr>
          <w:p w14:paraId="263C8E22" w14:textId="77777777" w:rsidR="0048679D" w:rsidRPr="00A538DD" w:rsidRDefault="0048679D">
            <w:pPr>
              <w:spacing w:before="0"/>
              <w:jc w:val="left"/>
            </w:pPr>
            <w:r w:rsidRPr="00A538DD">
              <w:t>Not 21</w:t>
            </w:r>
          </w:p>
        </w:tc>
        <w:tc>
          <w:tcPr>
            <w:tcW w:w="1134" w:type="dxa"/>
          </w:tcPr>
          <w:p w14:paraId="7C2566C5" w14:textId="77777777" w:rsidR="0048679D" w:rsidRPr="00A538DD" w:rsidRDefault="0048679D">
            <w:pPr>
              <w:spacing w:before="0"/>
              <w:jc w:val="right"/>
            </w:pPr>
            <w:r w:rsidRPr="00A538DD">
              <w:t>304</w:t>
            </w:r>
          </w:p>
        </w:tc>
        <w:tc>
          <w:tcPr>
            <w:tcW w:w="1134" w:type="dxa"/>
          </w:tcPr>
          <w:p w14:paraId="41E48B27" w14:textId="77777777" w:rsidR="0048679D" w:rsidRPr="00A538DD" w:rsidRDefault="0048679D">
            <w:pPr>
              <w:spacing w:before="0"/>
              <w:jc w:val="right"/>
            </w:pPr>
            <w:r w:rsidRPr="00A538DD">
              <w:t>396</w:t>
            </w:r>
          </w:p>
        </w:tc>
      </w:tr>
      <w:tr w:rsidR="00000000" w:rsidRPr="00A538DD" w14:paraId="50D4D520" w14:textId="77777777">
        <w:tblPrEx>
          <w:tblCellMar>
            <w:top w:w="0" w:type="dxa"/>
            <w:bottom w:w="0" w:type="dxa"/>
          </w:tblCellMar>
        </w:tblPrEx>
        <w:trPr>
          <w:cantSplit/>
        </w:trPr>
        <w:tc>
          <w:tcPr>
            <w:tcW w:w="2608" w:type="dxa"/>
          </w:tcPr>
          <w:p w14:paraId="62BE721F" w14:textId="77777777" w:rsidR="0048679D" w:rsidRPr="00A538DD" w:rsidRDefault="0048679D">
            <w:pPr>
              <w:spacing w:before="0"/>
              <w:jc w:val="left"/>
            </w:pPr>
          </w:p>
        </w:tc>
        <w:tc>
          <w:tcPr>
            <w:tcW w:w="851" w:type="dxa"/>
          </w:tcPr>
          <w:p w14:paraId="3F2CFF48" w14:textId="77777777" w:rsidR="0048679D" w:rsidRPr="00A538DD" w:rsidRDefault="0048679D">
            <w:pPr>
              <w:spacing w:before="0"/>
              <w:jc w:val="left"/>
            </w:pPr>
          </w:p>
        </w:tc>
        <w:tc>
          <w:tcPr>
            <w:tcW w:w="1134" w:type="dxa"/>
          </w:tcPr>
          <w:p w14:paraId="3C4A35D6" w14:textId="77777777" w:rsidR="0048679D" w:rsidRPr="00A538DD" w:rsidRDefault="0048679D">
            <w:pPr>
              <w:spacing w:before="0"/>
              <w:jc w:val="right"/>
            </w:pPr>
          </w:p>
        </w:tc>
        <w:tc>
          <w:tcPr>
            <w:tcW w:w="1134" w:type="dxa"/>
          </w:tcPr>
          <w:p w14:paraId="060033EE" w14:textId="77777777" w:rsidR="0048679D" w:rsidRPr="00A538DD" w:rsidRDefault="0048679D">
            <w:pPr>
              <w:spacing w:before="0"/>
              <w:jc w:val="right"/>
            </w:pPr>
          </w:p>
        </w:tc>
      </w:tr>
      <w:tr w:rsidR="00000000" w:rsidRPr="00A538DD" w14:paraId="696B01EE" w14:textId="77777777">
        <w:tblPrEx>
          <w:tblCellMar>
            <w:top w:w="0" w:type="dxa"/>
            <w:bottom w:w="0" w:type="dxa"/>
          </w:tblCellMar>
        </w:tblPrEx>
        <w:trPr>
          <w:cantSplit/>
        </w:trPr>
        <w:tc>
          <w:tcPr>
            <w:tcW w:w="2608" w:type="dxa"/>
          </w:tcPr>
          <w:p w14:paraId="10011826" w14:textId="77777777" w:rsidR="0048679D" w:rsidRPr="00A538DD" w:rsidRDefault="0048679D">
            <w:pPr>
              <w:spacing w:before="0"/>
              <w:jc w:val="left"/>
            </w:pPr>
            <w:r w:rsidRPr="00A538DD">
              <w:rPr>
                <w:b/>
              </w:rPr>
              <w:t>Värderegleringskonton</w:t>
            </w:r>
          </w:p>
        </w:tc>
        <w:tc>
          <w:tcPr>
            <w:tcW w:w="851" w:type="dxa"/>
          </w:tcPr>
          <w:p w14:paraId="15083662" w14:textId="77777777" w:rsidR="0048679D" w:rsidRPr="00A538DD" w:rsidRDefault="0048679D">
            <w:pPr>
              <w:spacing w:before="0"/>
              <w:jc w:val="left"/>
            </w:pPr>
            <w:r w:rsidRPr="00A538DD">
              <w:t>Not 22</w:t>
            </w:r>
          </w:p>
        </w:tc>
        <w:tc>
          <w:tcPr>
            <w:tcW w:w="1134" w:type="dxa"/>
          </w:tcPr>
          <w:p w14:paraId="771B1980" w14:textId="77777777" w:rsidR="0048679D" w:rsidRPr="00A538DD" w:rsidRDefault="0048679D">
            <w:pPr>
              <w:spacing w:before="0"/>
              <w:jc w:val="right"/>
            </w:pPr>
            <w:r w:rsidRPr="00A538DD">
              <w:t>1 523</w:t>
            </w:r>
          </w:p>
        </w:tc>
        <w:tc>
          <w:tcPr>
            <w:tcW w:w="1134" w:type="dxa"/>
          </w:tcPr>
          <w:p w14:paraId="65AE43C6" w14:textId="77777777" w:rsidR="0048679D" w:rsidRPr="00A538DD" w:rsidRDefault="0048679D">
            <w:pPr>
              <w:spacing w:before="0"/>
              <w:jc w:val="right"/>
            </w:pPr>
            <w:r w:rsidRPr="00A538DD">
              <w:t>–</w:t>
            </w:r>
          </w:p>
        </w:tc>
      </w:tr>
      <w:tr w:rsidR="00000000" w:rsidRPr="00A538DD" w14:paraId="4872A50E" w14:textId="77777777">
        <w:tblPrEx>
          <w:tblCellMar>
            <w:top w:w="0" w:type="dxa"/>
            <w:bottom w:w="0" w:type="dxa"/>
          </w:tblCellMar>
        </w:tblPrEx>
        <w:trPr>
          <w:cantSplit/>
        </w:trPr>
        <w:tc>
          <w:tcPr>
            <w:tcW w:w="2608" w:type="dxa"/>
          </w:tcPr>
          <w:p w14:paraId="49360318" w14:textId="77777777" w:rsidR="0048679D" w:rsidRPr="00A538DD" w:rsidRDefault="0048679D">
            <w:pPr>
              <w:spacing w:before="0"/>
              <w:jc w:val="left"/>
            </w:pPr>
          </w:p>
        </w:tc>
        <w:tc>
          <w:tcPr>
            <w:tcW w:w="851" w:type="dxa"/>
          </w:tcPr>
          <w:p w14:paraId="38217E52" w14:textId="77777777" w:rsidR="0048679D" w:rsidRPr="00A538DD" w:rsidRDefault="0048679D">
            <w:pPr>
              <w:spacing w:before="0"/>
              <w:jc w:val="left"/>
            </w:pPr>
          </w:p>
        </w:tc>
        <w:tc>
          <w:tcPr>
            <w:tcW w:w="1134" w:type="dxa"/>
          </w:tcPr>
          <w:p w14:paraId="77F7D804" w14:textId="77777777" w:rsidR="0048679D" w:rsidRPr="00A538DD" w:rsidRDefault="0048679D">
            <w:pPr>
              <w:spacing w:before="0"/>
              <w:jc w:val="right"/>
            </w:pPr>
          </w:p>
        </w:tc>
        <w:tc>
          <w:tcPr>
            <w:tcW w:w="1134" w:type="dxa"/>
          </w:tcPr>
          <w:p w14:paraId="7A27158C" w14:textId="77777777" w:rsidR="0048679D" w:rsidRPr="00A538DD" w:rsidRDefault="0048679D">
            <w:pPr>
              <w:spacing w:before="0"/>
              <w:jc w:val="right"/>
            </w:pPr>
          </w:p>
        </w:tc>
      </w:tr>
      <w:tr w:rsidR="00000000" w:rsidRPr="00A538DD" w14:paraId="100F37BE" w14:textId="77777777">
        <w:tblPrEx>
          <w:tblCellMar>
            <w:top w:w="0" w:type="dxa"/>
            <w:bottom w:w="0" w:type="dxa"/>
          </w:tblCellMar>
        </w:tblPrEx>
        <w:trPr>
          <w:cantSplit/>
        </w:trPr>
        <w:tc>
          <w:tcPr>
            <w:tcW w:w="2608" w:type="dxa"/>
          </w:tcPr>
          <w:p w14:paraId="7132D40A" w14:textId="77777777" w:rsidR="0048679D" w:rsidRPr="00A538DD" w:rsidRDefault="0048679D">
            <w:pPr>
              <w:pStyle w:val="SakregBetRub"/>
              <w:widowControl/>
              <w:spacing w:before="0" w:line="250" w:lineRule="atLeast"/>
            </w:pPr>
            <w:r w:rsidRPr="00A538DD">
              <w:t>Eget kapital</w:t>
            </w:r>
          </w:p>
        </w:tc>
        <w:tc>
          <w:tcPr>
            <w:tcW w:w="851" w:type="dxa"/>
          </w:tcPr>
          <w:p w14:paraId="45FD6830" w14:textId="77777777" w:rsidR="0048679D" w:rsidRPr="00A538DD" w:rsidRDefault="0048679D">
            <w:pPr>
              <w:spacing w:before="0"/>
              <w:jc w:val="left"/>
            </w:pPr>
          </w:p>
        </w:tc>
        <w:tc>
          <w:tcPr>
            <w:tcW w:w="1134" w:type="dxa"/>
          </w:tcPr>
          <w:p w14:paraId="2592CA49" w14:textId="77777777" w:rsidR="0048679D" w:rsidRPr="00A538DD" w:rsidRDefault="0048679D">
            <w:pPr>
              <w:spacing w:before="0"/>
              <w:jc w:val="right"/>
            </w:pPr>
          </w:p>
        </w:tc>
        <w:tc>
          <w:tcPr>
            <w:tcW w:w="1134" w:type="dxa"/>
          </w:tcPr>
          <w:p w14:paraId="0B672BFD" w14:textId="77777777" w:rsidR="0048679D" w:rsidRPr="00A538DD" w:rsidRDefault="0048679D">
            <w:pPr>
              <w:spacing w:before="0"/>
              <w:jc w:val="right"/>
            </w:pPr>
          </w:p>
        </w:tc>
      </w:tr>
      <w:tr w:rsidR="00000000" w:rsidRPr="00A538DD" w14:paraId="115B1C34" w14:textId="77777777">
        <w:tblPrEx>
          <w:tblCellMar>
            <w:top w:w="0" w:type="dxa"/>
            <w:bottom w:w="0" w:type="dxa"/>
          </w:tblCellMar>
        </w:tblPrEx>
        <w:trPr>
          <w:cantSplit/>
        </w:trPr>
        <w:tc>
          <w:tcPr>
            <w:tcW w:w="2608" w:type="dxa"/>
          </w:tcPr>
          <w:p w14:paraId="32DA3BA8" w14:textId="77777777" w:rsidR="0048679D" w:rsidRPr="00A538DD" w:rsidRDefault="0048679D">
            <w:pPr>
              <w:spacing w:before="0"/>
              <w:jc w:val="left"/>
            </w:pPr>
            <w:r w:rsidRPr="00A538DD">
              <w:t>Grundfond</w:t>
            </w:r>
          </w:p>
        </w:tc>
        <w:tc>
          <w:tcPr>
            <w:tcW w:w="851" w:type="dxa"/>
          </w:tcPr>
          <w:p w14:paraId="792F6861" w14:textId="77777777" w:rsidR="0048679D" w:rsidRPr="00A538DD" w:rsidRDefault="0048679D">
            <w:pPr>
              <w:spacing w:before="0"/>
              <w:jc w:val="left"/>
            </w:pPr>
            <w:r w:rsidRPr="00A538DD">
              <w:t>Not 23</w:t>
            </w:r>
          </w:p>
        </w:tc>
        <w:tc>
          <w:tcPr>
            <w:tcW w:w="1134" w:type="dxa"/>
          </w:tcPr>
          <w:p w14:paraId="2AC454F7" w14:textId="77777777" w:rsidR="0048679D" w:rsidRPr="00A538DD" w:rsidRDefault="0048679D">
            <w:pPr>
              <w:spacing w:before="0"/>
              <w:jc w:val="right"/>
            </w:pPr>
            <w:r w:rsidRPr="00A538DD">
              <w:t>1 000</w:t>
            </w:r>
          </w:p>
        </w:tc>
        <w:tc>
          <w:tcPr>
            <w:tcW w:w="1134" w:type="dxa"/>
          </w:tcPr>
          <w:p w14:paraId="48FC47CB" w14:textId="77777777" w:rsidR="0048679D" w:rsidRPr="00A538DD" w:rsidRDefault="0048679D">
            <w:pPr>
              <w:spacing w:before="0"/>
              <w:jc w:val="right"/>
            </w:pPr>
            <w:r w:rsidRPr="00A538DD">
              <w:t>1 000</w:t>
            </w:r>
          </w:p>
        </w:tc>
      </w:tr>
      <w:tr w:rsidR="00000000" w:rsidRPr="00A538DD" w14:paraId="00B6FA60" w14:textId="77777777">
        <w:tblPrEx>
          <w:tblCellMar>
            <w:top w:w="0" w:type="dxa"/>
            <w:bottom w:w="0" w:type="dxa"/>
          </w:tblCellMar>
        </w:tblPrEx>
        <w:trPr>
          <w:cantSplit/>
        </w:trPr>
        <w:tc>
          <w:tcPr>
            <w:tcW w:w="2608" w:type="dxa"/>
          </w:tcPr>
          <w:p w14:paraId="6F55A81E" w14:textId="77777777" w:rsidR="0048679D" w:rsidRPr="00A538DD" w:rsidRDefault="0048679D">
            <w:pPr>
              <w:spacing w:before="0"/>
              <w:jc w:val="left"/>
            </w:pPr>
            <w:r w:rsidRPr="00A538DD">
              <w:t>Reserver</w:t>
            </w:r>
          </w:p>
        </w:tc>
        <w:tc>
          <w:tcPr>
            <w:tcW w:w="851" w:type="dxa"/>
          </w:tcPr>
          <w:p w14:paraId="441F6DB3" w14:textId="77777777" w:rsidR="0048679D" w:rsidRPr="00A538DD" w:rsidRDefault="0048679D">
            <w:pPr>
              <w:spacing w:before="0"/>
              <w:jc w:val="left"/>
            </w:pPr>
            <w:r w:rsidRPr="00A538DD">
              <w:t>Not 24</w:t>
            </w:r>
          </w:p>
        </w:tc>
        <w:tc>
          <w:tcPr>
            <w:tcW w:w="1134" w:type="dxa"/>
            <w:tcBorders>
              <w:bottom w:val="single" w:sz="4" w:space="0" w:color="auto"/>
            </w:tcBorders>
          </w:tcPr>
          <w:p w14:paraId="04C04DF6" w14:textId="77777777" w:rsidR="0048679D" w:rsidRPr="00A538DD" w:rsidRDefault="0048679D">
            <w:pPr>
              <w:spacing w:before="0"/>
              <w:jc w:val="right"/>
            </w:pPr>
            <w:r w:rsidRPr="00A538DD">
              <w:t>65 317</w:t>
            </w:r>
          </w:p>
        </w:tc>
        <w:tc>
          <w:tcPr>
            <w:tcW w:w="1134" w:type="dxa"/>
            <w:tcBorders>
              <w:bottom w:val="single" w:sz="4" w:space="0" w:color="auto"/>
            </w:tcBorders>
          </w:tcPr>
          <w:p w14:paraId="607B995A" w14:textId="77777777" w:rsidR="0048679D" w:rsidRPr="00A538DD" w:rsidRDefault="0048679D">
            <w:pPr>
              <w:spacing w:before="0"/>
              <w:jc w:val="right"/>
            </w:pPr>
            <w:r w:rsidRPr="00A538DD">
              <w:t>80 697</w:t>
            </w:r>
          </w:p>
        </w:tc>
      </w:tr>
      <w:tr w:rsidR="00000000" w:rsidRPr="00A538DD" w14:paraId="5A1ADC91" w14:textId="77777777">
        <w:tblPrEx>
          <w:tblCellMar>
            <w:top w:w="0" w:type="dxa"/>
            <w:bottom w:w="0" w:type="dxa"/>
          </w:tblCellMar>
        </w:tblPrEx>
        <w:trPr>
          <w:cantSplit/>
        </w:trPr>
        <w:tc>
          <w:tcPr>
            <w:tcW w:w="2608" w:type="dxa"/>
          </w:tcPr>
          <w:p w14:paraId="06AFDED7" w14:textId="77777777" w:rsidR="0048679D" w:rsidRPr="00A538DD" w:rsidRDefault="0048679D">
            <w:pPr>
              <w:spacing w:before="0"/>
              <w:jc w:val="left"/>
            </w:pPr>
          </w:p>
        </w:tc>
        <w:tc>
          <w:tcPr>
            <w:tcW w:w="851" w:type="dxa"/>
          </w:tcPr>
          <w:p w14:paraId="240486CB" w14:textId="77777777" w:rsidR="0048679D" w:rsidRPr="00A538DD" w:rsidRDefault="0048679D">
            <w:pPr>
              <w:spacing w:before="0"/>
              <w:jc w:val="left"/>
            </w:pPr>
          </w:p>
        </w:tc>
        <w:tc>
          <w:tcPr>
            <w:tcW w:w="1134" w:type="dxa"/>
          </w:tcPr>
          <w:p w14:paraId="5CB3F0EC" w14:textId="77777777" w:rsidR="0048679D" w:rsidRPr="00A538DD" w:rsidRDefault="0048679D">
            <w:pPr>
              <w:spacing w:before="0"/>
              <w:jc w:val="right"/>
            </w:pPr>
            <w:r w:rsidRPr="00A538DD">
              <w:t>66 317</w:t>
            </w:r>
          </w:p>
        </w:tc>
        <w:tc>
          <w:tcPr>
            <w:tcW w:w="1134" w:type="dxa"/>
          </w:tcPr>
          <w:p w14:paraId="7E2E87C0" w14:textId="77777777" w:rsidR="0048679D" w:rsidRPr="00A538DD" w:rsidRDefault="0048679D">
            <w:pPr>
              <w:spacing w:before="0"/>
              <w:jc w:val="right"/>
            </w:pPr>
            <w:r w:rsidRPr="00A538DD">
              <w:t>81 697</w:t>
            </w:r>
          </w:p>
        </w:tc>
      </w:tr>
      <w:tr w:rsidR="00000000" w:rsidRPr="00A538DD" w14:paraId="56A6C821" w14:textId="77777777">
        <w:tblPrEx>
          <w:tblCellMar>
            <w:top w:w="0" w:type="dxa"/>
            <w:bottom w:w="0" w:type="dxa"/>
          </w:tblCellMar>
        </w:tblPrEx>
        <w:trPr>
          <w:cantSplit/>
        </w:trPr>
        <w:tc>
          <w:tcPr>
            <w:tcW w:w="2608" w:type="dxa"/>
          </w:tcPr>
          <w:p w14:paraId="538C7E6A" w14:textId="77777777" w:rsidR="0048679D" w:rsidRPr="00A538DD" w:rsidRDefault="0048679D">
            <w:pPr>
              <w:spacing w:before="0"/>
              <w:jc w:val="left"/>
            </w:pPr>
          </w:p>
        </w:tc>
        <w:tc>
          <w:tcPr>
            <w:tcW w:w="851" w:type="dxa"/>
          </w:tcPr>
          <w:p w14:paraId="4FDA9D3F" w14:textId="77777777" w:rsidR="0048679D" w:rsidRPr="00A538DD" w:rsidRDefault="0048679D">
            <w:pPr>
              <w:spacing w:before="0"/>
              <w:jc w:val="left"/>
            </w:pPr>
          </w:p>
        </w:tc>
        <w:tc>
          <w:tcPr>
            <w:tcW w:w="1134" w:type="dxa"/>
          </w:tcPr>
          <w:p w14:paraId="10CF5394" w14:textId="77777777" w:rsidR="0048679D" w:rsidRPr="00A538DD" w:rsidRDefault="0048679D">
            <w:pPr>
              <w:spacing w:before="0"/>
              <w:jc w:val="right"/>
            </w:pPr>
          </w:p>
        </w:tc>
        <w:tc>
          <w:tcPr>
            <w:tcW w:w="1134" w:type="dxa"/>
          </w:tcPr>
          <w:p w14:paraId="7CC6187F" w14:textId="77777777" w:rsidR="0048679D" w:rsidRPr="00A538DD" w:rsidRDefault="0048679D">
            <w:pPr>
              <w:spacing w:before="0"/>
              <w:jc w:val="right"/>
            </w:pPr>
          </w:p>
        </w:tc>
      </w:tr>
      <w:tr w:rsidR="00000000" w:rsidRPr="00A538DD" w14:paraId="4D4CCF0E" w14:textId="77777777">
        <w:tblPrEx>
          <w:tblCellMar>
            <w:top w:w="0" w:type="dxa"/>
            <w:bottom w:w="0" w:type="dxa"/>
          </w:tblCellMar>
        </w:tblPrEx>
        <w:trPr>
          <w:cantSplit/>
        </w:trPr>
        <w:tc>
          <w:tcPr>
            <w:tcW w:w="2608" w:type="dxa"/>
          </w:tcPr>
          <w:p w14:paraId="57588DE7" w14:textId="77777777" w:rsidR="0048679D" w:rsidRPr="00A538DD" w:rsidRDefault="0048679D">
            <w:pPr>
              <w:pStyle w:val="SakregBetRub"/>
              <w:widowControl/>
              <w:spacing w:before="0" w:line="250" w:lineRule="atLeast"/>
            </w:pPr>
            <w:r w:rsidRPr="00A538DD">
              <w:t>Årets resultat</w:t>
            </w:r>
          </w:p>
        </w:tc>
        <w:tc>
          <w:tcPr>
            <w:tcW w:w="851" w:type="dxa"/>
          </w:tcPr>
          <w:p w14:paraId="7B48B0AE" w14:textId="77777777" w:rsidR="0048679D" w:rsidRPr="00A538DD" w:rsidRDefault="0048679D">
            <w:pPr>
              <w:spacing w:before="0"/>
              <w:jc w:val="left"/>
            </w:pPr>
          </w:p>
        </w:tc>
        <w:tc>
          <w:tcPr>
            <w:tcW w:w="1134" w:type="dxa"/>
          </w:tcPr>
          <w:p w14:paraId="2EAEF447" w14:textId="77777777" w:rsidR="0048679D" w:rsidRPr="00A538DD" w:rsidRDefault="0048679D">
            <w:pPr>
              <w:spacing w:before="0"/>
              <w:jc w:val="right"/>
            </w:pPr>
            <w:r w:rsidRPr="00A538DD">
              <w:t>–2 804</w:t>
            </w:r>
          </w:p>
        </w:tc>
        <w:tc>
          <w:tcPr>
            <w:tcW w:w="1134" w:type="dxa"/>
          </w:tcPr>
          <w:p w14:paraId="08DE2562" w14:textId="77777777" w:rsidR="0048679D" w:rsidRPr="00A538DD" w:rsidRDefault="0048679D">
            <w:pPr>
              <w:spacing w:before="0"/>
              <w:jc w:val="right"/>
            </w:pPr>
            <w:r w:rsidRPr="00A538DD">
              <w:t>–9 280</w:t>
            </w:r>
          </w:p>
        </w:tc>
      </w:tr>
      <w:tr w:rsidR="00000000" w:rsidRPr="00A538DD" w14:paraId="200F8FCB" w14:textId="77777777">
        <w:tblPrEx>
          <w:tblCellMar>
            <w:top w:w="0" w:type="dxa"/>
            <w:bottom w:w="0" w:type="dxa"/>
          </w:tblCellMar>
        </w:tblPrEx>
        <w:trPr>
          <w:cantSplit/>
        </w:trPr>
        <w:tc>
          <w:tcPr>
            <w:tcW w:w="2608" w:type="dxa"/>
          </w:tcPr>
          <w:p w14:paraId="16B03D9B" w14:textId="77777777" w:rsidR="0048679D" w:rsidRPr="00A538DD" w:rsidRDefault="0048679D">
            <w:pPr>
              <w:jc w:val="left"/>
            </w:pPr>
          </w:p>
        </w:tc>
        <w:tc>
          <w:tcPr>
            <w:tcW w:w="851" w:type="dxa"/>
          </w:tcPr>
          <w:p w14:paraId="02381DE8" w14:textId="77777777" w:rsidR="0048679D" w:rsidRPr="00A538DD" w:rsidRDefault="0048679D">
            <w:pPr>
              <w:jc w:val="left"/>
            </w:pPr>
          </w:p>
        </w:tc>
        <w:tc>
          <w:tcPr>
            <w:tcW w:w="1134" w:type="dxa"/>
          </w:tcPr>
          <w:p w14:paraId="3DE00268" w14:textId="77777777" w:rsidR="0048679D" w:rsidRPr="00A538DD" w:rsidRDefault="0048679D">
            <w:pPr>
              <w:jc w:val="right"/>
            </w:pPr>
          </w:p>
        </w:tc>
        <w:tc>
          <w:tcPr>
            <w:tcW w:w="1134" w:type="dxa"/>
          </w:tcPr>
          <w:p w14:paraId="55C9214E" w14:textId="77777777" w:rsidR="0048679D" w:rsidRPr="00A538DD" w:rsidRDefault="0048679D">
            <w:pPr>
              <w:jc w:val="right"/>
            </w:pPr>
          </w:p>
        </w:tc>
      </w:tr>
      <w:tr w:rsidR="00000000" w:rsidRPr="00A538DD" w14:paraId="468733E8" w14:textId="77777777">
        <w:tblPrEx>
          <w:tblCellMar>
            <w:top w:w="0" w:type="dxa"/>
            <w:bottom w:w="0" w:type="dxa"/>
          </w:tblCellMar>
        </w:tblPrEx>
        <w:trPr>
          <w:cantSplit/>
        </w:trPr>
        <w:tc>
          <w:tcPr>
            <w:tcW w:w="2608" w:type="dxa"/>
            <w:tcBorders>
              <w:bottom w:val="single" w:sz="4" w:space="0" w:color="auto"/>
            </w:tcBorders>
          </w:tcPr>
          <w:p w14:paraId="100C2C26" w14:textId="77777777" w:rsidR="0048679D" w:rsidRPr="00A538DD" w:rsidRDefault="0048679D">
            <w:pPr>
              <w:pStyle w:val="SakregBetRub"/>
              <w:keepNext w:val="0"/>
              <w:widowControl/>
              <w:spacing w:before="62" w:line="250" w:lineRule="atLeast"/>
            </w:pPr>
            <w:r w:rsidRPr="00A538DD">
              <w:t>Summa skulder och eget kap</w:t>
            </w:r>
            <w:r w:rsidRPr="00A538DD">
              <w:t>i</w:t>
            </w:r>
            <w:r w:rsidRPr="00A538DD">
              <w:t>tal</w:t>
            </w:r>
          </w:p>
        </w:tc>
        <w:tc>
          <w:tcPr>
            <w:tcW w:w="851" w:type="dxa"/>
            <w:tcBorders>
              <w:bottom w:val="single" w:sz="4" w:space="0" w:color="auto"/>
            </w:tcBorders>
          </w:tcPr>
          <w:p w14:paraId="3E0679A2" w14:textId="77777777" w:rsidR="0048679D" w:rsidRPr="00A538DD" w:rsidRDefault="0048679D">
            <w:pPr>
              <w:jc w:val="left"/>
            </w:pPr>
          </w:p>
        </w:tc>
        <w:tc>
          <w:tcPr>
            <w:tcW w:w="1134" w:type="dxa"/>
            <w:tcBorders>
              <w:top w:val="single" w:sz="4" w:space="0" w:color="auto"/>
              <w:bottom w:val="single" w:sz="4" w:space="0" w:color="auto"/>
            </w:tcBorders>
          </w:tcPr>
          <w:p w14:paraId="19750ECD" w14:textId="77777777" w:rsidR="0048679D" w:rsidRPr="00A538DD" w:rsidRDefault="0048679D">
            <w:pPr>
              <w:jc w:val="right"/>
            </w:pPr>
            <w:r w:rsidRPr="00A538DD">
              <w:t>182 856</w:t>
            </w:r>
          </w:p>
        </w:tc>
        <w:tc>
          <w:tcPr>
            <w:tcW w:w="1134" w:type="dxa"/>
            <w:tcBorders>
              <w:top w:val="single" w:sz="4" w:space="0" w:color="auto"/>
              <w:bottom w:val="single" w:sz="4" w:space="0" w:color="auto"/>
            </w:tcBorders>
          </w:tcPr>
          <w:p w14:paraId="3AC584DF" w14:textId="77777777" w:rsidR="0048679D" w:rsidRPr="00A538DD" w:rsidRDefault="0048679D">
            <w:pPr>
              <w:jc w:val="right"/>
            </w:pPr>
            <w:r w:rsidRPr="00A538DD">
              <w:t>186 231</w:t>
            </w:r>
          </w:p>
        </w:tc>
      </w:tr>
    </w:tbl>
    <w:p w14:paraId="4BDF1D67" w14:textId="77777777" w:rsidR="0048679D" w:rsidRPr="00A538DD" w:rsidRDefault="0048679D">
      <w:pPr>
        <w:ind w:firstLine="284"/>
        <w:rPr>
          <w:sz w:val="18"/>
        </w:rPr>
      </w:pPr>
      <w:r w:rsidRPr="00A538DD">
        <w:rPr>
          <w:sz w:val="18"/>
        </w:rPr>
        <w:t>Inom linjen förda poster, se not 37.</w:t>
      </w:r>
    </w:p>
    <w:p w14:paraId="4977D541" w14:textId="77777777" w:rsidR="0048679D" w:rsidRPr="00A538DD" w:rsidRDefault="0048679D"/>
    <w:p w14:paraId="153CFA7A" w14:textId="77777777" w:rsidR="0048679D" w:rsidRPr="00A538DD" w:rsidRDefault="0048679D">
      <w:pPr>
        <w:pStyle w:val="Rubrik2"/>
      </w:pPr>
      <w:bookmarkStart w:id="34" w:name="_Toc97613759"/>
      <w:r w:rsidRPr="00A538DD">
        <w:t>Resultaträkning</w:t>
      </w:r>
      <w:bookmarkEnd w:id="34"/>
    </w:p>
    <w:p w14:paraId="5F61E852" w14:textId="77777777" w:rsidR="0048679D" w:rsidRPr="00A538DD" w:rsidRDefault="0048679D">
      <w:pPr>
        <w:spacing w:before="0"/>
      </w:pPr>
      <w:r w:rsidRPr="00A538DD">
        <w:t>Miljoner kronor</w:t>
      </w:r>
    </w:p>
    <w:tbl>
      <w:tblPr>
        <w:tblW w:w="0" w:type="auto"/>
        <w:tblInd w:w="-142" w:type="dxa"/>
        <w:tblLayout w:type="fixed"/>
        <w:tblCellMar>
          <w:left w:w="71" w:type="dxa"/>
          <w:right w:w="71" w:type="dxa"/>
        </w:tblCellMar>
        <w:tblLook w:val="0000" w:firstRow="0" w:lastRow="0" w:firstColumn="0" w:lastColumn="0" w:noHBand="0" w:noVBand="0"/>
      </w:tblPr>
      <w:tblGrid>
        <w:gridCol w:w="2722"/>
        <w:gridCol w:w="737"/>
        <w:gridCol w:w="964"/>
        <w:gridCol w:w="964"/>
      </w:tblGrid>
      <w:tr w:rsidR="00000000" w:rsidRPr="00A538DD" w14:paraId="481F8F7C" w14:textId="77777777">
        <w:tblPrEx>
          <w:tblCellMar>
            <w:top w:w="0" w:type="dxa"/>
            <w:bottom w:w="0" w:type="dxa"/>
          </w:tblCellMar>
        </w:tblPrEx>
        <w:trPr>
          <w:cantSplit/>
        </w:trPr>
        <w:tc>
          <w:tcPr>
            <w:tcW w:w="2722" w:type="dxa"/>
            <w:tcBorders>
              <w:top w:val="single" w:sz="4" w:space="0" w:color="auto"/>
            </w:tcBorders>
          </w:tcPr>
          <w:p w14:paraId="4A1A6F00" w14:textId="77777777" w:rsidR="0048679D" w:rsidRPr="00A538DD" w:rsidRDefault="0048679D">
            <w:pPr>
              <w:spacing w:before="0"/>
              <w:rPr>
                <w:b/>
              </w:rPr>
            </w:pPr>
          </w:p>
        </w:tc>
        <w:tc>
          <w:tcPr>
            <w:tcW w:w="737" w:type="dxa"/>
            <w:tcBorders>
              <w:top w:val="single" w:sz="4" w:space="0" w:color="auto"/>
            </w:tcBorders>
          </w:tcPr>
          <w:p w14:paraId="73212B56" w14:textId="77777777" w:rsidR="0048679D" w:rsidRPr="00A538DD" w:rsidRDefault="0048679D">
            <w:pPr>
              <w:spacing w:before="0"/>
              <w:rPr>
                <w:b/>
              </w:rPr>
            </w:pPr>
          </w:p>
        </w:tc>
        <w:tc>
          <w:tcPr>
            <w:tcW w:w="964" w:type="dxa"/>
            <w:tcBorders>
              <w:top w:val="single" w:sz="4" w:space="0" w:color="auto"/>
              <w:bottom w:val="single" w:sz="4" w:space="0" w:color="auto"/>
            </w:tcBorders>
          </w:tcPr>
          <w:p w14:paraId="5A88885D" w14:textId="77777777" w:rsidR="0048679D" w:rsidRPr="00A538DD" w:rsidRDefault="0048679D">
            <w:pPr>
              <w:spacing w:before="0"/>
              <w:jc w:val="right"/>
            </w:pPr>
            <w:r w:rsidRPr="00A538DD">
              <w:t>2004</w:t>
            </w:r>
          </w:p>
        </w:tc>
        <w:tc>
          <w:tcPr>
            <w:tcW w:w="964" w:type="dxa"/>
            <w:tcBorders>
              <w:top w:val="single" w:sz="4" w:space="0" w:color="auto"/>
              <w:bottom w:val="single" w:sz="4" w:space="0" w:color="auto"/>
            </w:tcBorders>
          </w:tcPr>
          <w:p w14:paraId="42E43705" w14:textId="77777777" w:rsidR="0048679D" w:rsidRPr="00A538DD" w:rsidRDefault="0048679D">
            <w:pPr>
              <w:spacing w:before="0"/>
              <w:jc w:val="right"/>
            </w:pPr>
            <w:r w:rsidRPr="00A538DD">
              <w:t>2003</w:t>
            </w:r>
          </w:p>
        </w:tc>
      </w:tr>
      <w:tr w:rsidR="00000000" w:rsidRPr="00A538DD" w14:paraId="0263EC25" w14:textId="77777777">
        <w:tblPrEx>
          <w:tblCellMar>
            <w:top w:w="0" w:type="dxa"/>
            <w:bottom w:w="0" w:type="dxa"/>
          </w:tblCellMar>
        </w:tblPrEx>
        <w:trPr>
          <w:cantSplit/>
        </w:trPr>
        <w:tc>
          <w:tcPr>
            <w:tcW w:w="2722" w:type="dxa"/>
          </w:tcPr>
          <w:p w14:paraId="7DD06BA0" w14:textId="77777777" w:rsidR="0048679D" w:rsidRPr="00A538DD" w:rsidRDefault="0048679D">
            <w:pPr>
              <w:spacing w:before="0"/>
              <w:rPr>
                <w:b/>
              </w:rPr>
            </w:pPr>
          </w:p>
        </w:tc>
        <w:tc>
          <w:tcPr>
            <w:tcW w:w="737" w:type="dxa"/>
          </w:tcPr>
          <w:p w14:paraId="3FBDC253" w14:textId="77777777" w:rsidR="0048679D" w:rsidRPr="00A538DD" w:rsidRDefault="0048679D">
            <w:pPr>
              <w:spacing w:before="0"/>
              <w:rPr>
                <w:b/>
              </w:rPr>
            </w:pPr>
          </w:p>
        </w:tc>
        <w:tc>
          <w:tcPr>
            <w:tcW w:w="964" w:type="dxa"/>
          </w:tcPr>
          <w:p w14:paraId="6DD4C4E3" w14:textId="77777777" w:rsidR="0048679D" w:rsidRPr="00A538DD" w:rsidRDefault="0048679D">
            <w:pPr>
              <w:spacing w:before="0"/>
              <w:jc w:val="right"/>
            </w:pPr>
          </w:p>
        </w:tc>
        <w:tc>
          <w:tcPr>
            <w:tcW w:w="964" w:type="dxa"/>
          </w:tcPr>
          <w:p w14:paraId="16923765" w14:textId="77777777" w:rsidR="0048679D" w:rsidRPr="00A538DD" w:rsidRDefault="0048679D">
            <w:pPr>
              <w:spacing w:before="0"/>
              <w:jc w:val="right"/>
            </w:pPr>
          </w:p>
        </w:tc>
      </w:tr>
      <w:tr w:rsidR="00000000" w:rsidRPr="00A538DD" w14:paraId="05D940B8" w14:textId="77777777">
        <w:tblPrEx>
          <w:tblCellMar>
            <w:top w:w="0" w:type="dxa"/>
            <w:bottom w:w="0" w:type="dxa"/>
          </w:tblCellMar>
        </w:tblPrEx>
        <w:trPr>
          <w:cantSplit/>
        </w:trPr>
        <w:tc>
          <w:tcPr>
            <w:tcW w:w="2722" w:type="dxa"/>
          </w:tcPr>
          <w:p w14:paraId="4E6701BC" w14:textId="77777777" w:rsidR="0048679D" w:rsidRPr="00A538DD" w:rsidRDefault="0048679D">
            <w:pPr>
              <w:spacing w:before="0"/>
              <w:jc w:val="left"/>
            </w:pPr>
            <w:r w:rsidRPr="00A538DD">
              <w:t>Ränteintäkter</w:t>
            </w:r>
          </w:p>
        </w:tc>
        <w:tc>
          <w:tcPr>
            <w:tcW w:w="737" w:type="dxa"/>
          </w:tcPr>
          <w:p w14:paraId="60BA6F46" w14:textId="77777777" w:rsidR="0048679D" w:rsidRPr="00A538DD" w:rsidRDefault="0048679D">
            <w:pPr>
              <w:pStyle w:val="Reservantfrslag"/>
            </w:pPr>
            <w:r w:rsidRPr="00A538DD">
              <w:t>Not 25</w:t>
            </w:r>
          </w:p>
        </w:tc>
        <w:tc>
          <w:tcPr>
            <w:tcW w:w="964" w:type="dxa"/>
          </w:tcPr>
          <w:p w14:paraId="6B4BC970" w14:textId="77777777" w:rsidR="0048679D" w:rsidRPr="00A538DD" w:rsidRDefault="0048679D">
            <w:pPr>
              <w:spacing w:before="0"/>
              <w:jc w:val="right"/>
            </w:pPr>
            <w:r w:rsidRPr="00A538DD">
              <w:t>4 778</w:t>
            </w:r>
          </w:p>
        </w:tc>
        <w:tc>
          <w:tcPr>
            <w:tcW w:w="964" w:type="dxa"/>
          </w:tcPr>
          <w:p w14:paraId="557BB4F0" w14:textId="77777777" w:rsidR="0048679D" w:rsidRPr="00A538DD" w:rsidRDefault="0048679D">
            <w:pPr>
              <w:spacing w:before="0"/>
              <w:jc w:val="right"/>
            </w:pPr>
            <w:r w:rsidRPr="00A538DD">
              <w:t>5 316</w:t>
            </w:r>
          </w:p>
        </w:tc>
      </w:tr>
      <w:tr w:rsidR="00000000" w:rsidRPr="00A538DD" w14:paraId="28BC5FC8" w14:textId="77777777">
        <w:tblPrEx>
          <w:tblCellMar>
            <w:top w:w="0" w:type="dxa"/>
            <w:bottom w:w="0" w:type="dxa"/>
          </w:tblCellMar>
        </w:tblPrEx>
        <w:trPr>
          <w:cantSplit/>
        </w:trPr>
        <w:tc>
          <w:tcPr>
            <w:tcW w:w="2722" w:type="dxa"/>
          </w:tcPr>
          <w:p w14:paraId="7A948B09" w14:textId="77777777" w:rsidR="0048679D" w:rsidRPr="00A538DD" w:rsidRDefault="0048679D">
            <w:pPr>
              <w:spacing w:before="0"/>
              <w:jc w:val="left"/>
            </w:pPr>
            <w:r w:rsidRPr="00A538DD">
              <w:t>Räntekost</w:t>
            </w:r>
            <w:r w:rsidRPr="00A538DD">
              <w:t>n</w:t>
            </w:r>
            <w:r w:rsidRPr="00A538DD">
              <w:t>ader</w:t>
            </w:r>
          </w:p>
        </w:tc>
        <w:tc>
          <w:tcPr>
            <w:tcW w:w="737" w:type="dxa"/>
          </w:tcPr>
          <w:p w14:paraId="2FA6E151" w14:textId="77777777" w:rsidR="0048679D" w:rsidRPr="00A538DD" w:rsidRDefault="0048679D">
            <w:pPr>
              <w:spacing w:before="0"/>
            </w:pPr>
            <w:r w:rsidRPr="00A538DD">
              <w:t>Not 26</w:t>
            </w:r>
          </w:p>
        </w:tc>
        <w:tc>
          <w:tcPr>
            <w:tcW w:w="964" w:type="dxa"/>
          </w:tcPr>
          <w:p w14:paraId="301E9C72" w14:textId="77777777" w:rsidR="0048679D" w:rsidRPr="00A538DD" w:rsidRDefault="0048679D">
            <w:pPr>
              <w:spacing w:before="0"/>
              <w:jc w:val="right"/>
            </w:pPr>
            <w:r w:rsidRPr="00A538DD">
              <w:t>–290</w:t>
            </w:r>
          </w:p>
        </w:tc>
        <w:tc>
          <w:tcPr>
            <w:tcW w:w="964" w:type="dxa"/>
          </w:tcPr>
          <w:p w14:paraId="216487D9" w14:textId="77777777" w:rsidR="0048679D" w:rsidRPr="00A538DD" w:rsidRDefault="0048679D">
            <w:pPr>
              <w:spacing w:before="0"/>
              <w:jc w:val="right"/>
            </w:pPr>
            <w:r w:rsidRPr="00A538DD">
              <w:t>–121</w:t>
            </w:r>
          </w:p>
        </w:tc>
      </w:tr>
      <w:tr w:rsidR="00000000" w:rsidRPr="00A538DD" w14:paraId="1B919997" w14:textId="77777777">
        <w:tblPrEx>
          <w:tblCellMar>
            <w:top w:w="0" w:type="dxa"/>
            <w:bottom w:w="0" w:type="dxa"/>
          </w:tblCellMar>
        </w:tblPrEx>
        <w:trPr>
          <w:cantSplit/>
        </w:trPr>
        <w:tc>
          <w:tcPr>
            <w:tcW w:w="2722" w:type="dxa"/>
          </w:tcPr>
          <w:p w14:paraId="5DB34E3A" w14:textId="77777777" w:rsidR="0048679D" w:rsidRPr="00A538DD" w:rsidRDefault="0048679D">
            <w:pPr>
              <w:spacing w:before="0"/>
              <w:jc w:val="left"/>
            </w:pPr>
            <w:r w:rsidRPr="00A538DD">
              <w:t>Nettoresultat av finansiella tran</w:t>
            </w:r>
            <w:r w:rsidRPr="00A538DD">
              <w:t>s</w:t>
            </w:r>
            <w:r w:rsidRPr="00A538DD">
              <w:t>a</w:t>
            </w:r>
            <w:r w:rsidRPr="00A538DD">
              <w:t>k</w:t>
            </w:r>
            <w:r w:rsidRPr="00A538DD">
              <w:t>tioner</w:t>
            </w:r>
          </w:p>
        </w:tc>
        <w:tc>
          <w:tcPr>
            <w:tcW w:w="737" w:type="dxa"/>
          </w:tcPr>
          <w:p w14:paraId="42CCE75A" w14:textId="77777777" w:rsidR="0048679D" w:rsidRPr="00A538DD" w:rsidRDefault="0048679D">
            <w:pPr>
              <w:spacing w:before="0"/>
            </w:pPr>
            <w:r w:rsidRPr="00A538DD">
              <w:t>Not 27</w:t>
            </w:r>
          </w:p>
        </w:tc>
        <w:tc>
          <w:tcPr>
            <w:tcW w:w="964" w:type="dxa"/>
          </w:tcPr>
          <w:p w14:paraId="49D45132" w14:textId="77777777" w:rsidR="0048679D" w:rsidRPr="00A538DD" w:rsidRDefault="0048679D">
            <w:pPr>
              <w:spacing w:before="0"/>
              <w:jc w:val="right"/>
            </w:pPr>
            <w:r w:rsidRPr="00A538DD">
              <w:t>–6 317</w:t>
            </w:r>
          </w:p>
        </w:tc>
        <w:tc>
          <w:tcPr>
            <w:tcW w:w="964" w:type="dxa"/>
          </w:tcPr>
          <w:p w14:paraId="713BBB69" w14:textId="77777777" w:rsidR="0048679D" w:rsidRPr="00A538DD" w:rsidRDefault="0048679D">
            <w:pPr>
              <w:spacing w:before="0"/>
              <w:jc w:val="right"/>
            </w:pPr>
            <w:r w:rsidRPr="00A538DD">
              <w:t>–13 287</w:t>
            </w:r>
          </w:p>
        </w:tc>
      </w:tr>
      <w:tr w:rsidR="00000000" w:rsidRPr="00A538DD" w14:paraId="7320B04F" w14:textId="77777777">
        <w:tblPrEx>
          <w:tblCellMar>
            <w:top w:w="0" w:type="dxa"/>
            <w:bottom w:w="0" w:type="dxa"/>
          </w:tblCellMar>
        </w:tblPrEx>
        <w:trPr>
          <w:cantSplit/>
        </w:trPr>
        <w:tc>
          <w:tcPr>
            <w:tcW w:w="2722" w:type="dxa"/>
          </w:tcPr>
          <w:p w14:paraId="3BBE05CE" w14:textId="77777777" w:rsidR="0048679D" w:rsidRPr="00A538DD" w:rsidRDefault="0048679D">
            <w:pPr>
              <w:spacing w:before="0"/>
              <w:jc w:val="left"/>
            </w:pPr>
            <w:r w:rsidRPr="00A538DD">
              <w:t>Avgifts- och provisionsintä</w:t>
            </w:r>
            <w:r w:rsidRPr="00A538DD">
              <w:t>k</w:t>
            </w:r>
            <w:r w:rsidRPr="00A538DD">
              <w:t>ter</w:t>
            </w:r>
          </w:p>
        </w:tc>
        <w:tc>
          <w:tcPr>
            <w:tcW w:w="737" w:type="dxa"/>
          </w:tcPr>
          <w:p w14:paraId="03F18269" w14:textId="77777777" w:rsidR="0048679D" w:rsidRPr="00A538DD" w:rsidRDefault="0048679D">
            <w:pPr>
              <w:spacing w:before="0"/>
            </w:pPr>
            <w:r w:rsidRPr="00A538DD">
              <w:t>Not 28</w:t>
            </w:r>
          </w:p>
        </w:tc>
        <w:tc>
          <w:tcPr>
            <w:tcW w:w="964" w:type="dxa"/>
          </w:tcPr>
          <w:p w14:paraId="6324B010" w14:textId="77777777" w:rsidR="0048679D" w:rsidRPr="00A538DD" w:rsidRDefault="0048679D">
            <w:pPr>
              <w:spacing w:before="0"/>
              <w:jc w:val="right"/>
            </w:pPr>
            <w:r w:rsidRPr="00A538DD">
              <w:t>19</w:t>
            </w:r>
          </w:p>
        </w:tc>
        <w:tc>
          <w:tcPr>
            <w:tcW w:w="964" w:type="dxa"/>
          </w:tcPr>
          <w:p w14:paraId="11833F51" w14:textId="77777777" w:rsidR="0048679D" w:rsidRPr="00A538DD" w:rsidRDefault="0048679D">
            <w:pPr>
              <w:spacing w:before="0"/>
              <w:jc w:val="right"/>
            </w:pPr>
            <w:r w:rsidRPr="00A538DD">
              <w:t>18</w:t>
            </w:r>
          </w:p>
        </w:tc>
      </w:tr>
      <w:tr w:rsidR="00000000" w:rsidRPr="00A538DD" w14:paraId="50AC9FFB" w14:textId="77777777">
        <w:tblPrEx>
          <w:tblCellMar>
            <w:top w:w="0" w:type="dxa"/>
            <w:bottom w:w="0" w:type="dxa"/>
          </w:tblCellMar>
        </w:tblPrEx>
        <w:trPr>
          <w:cantSplit/>
        </w:trPr>
        <w:tc>
          <w:tcPr>
            <w:tcW w:w="2722" w:type="dxa"/>
          </w:tcPr>
          <w:p w14:paraId="4818B525" w14:textId="77777777" w:rsidR="0048679D" w:rsidRPr="00A538DD" w:rsidRDefault="0048679D">
            <w:pPr>
              <w:spacing w:before="0"/>
              <w:jc w:val="left"/>
            </w:pPr>
            <w:r w:rsidRPr="00A538DD">
              <w:t>Avgifts- och provisionskostn</w:t>
            </w:r>
            <w:r w:rsidRPr="00A538DD">
              <w:t>a</w:t>
            </w:r>
            <w:r w:rsidRPr="00A538DD">
              <w:t>der</w:t>
            </w:r>
          </w:p>
        </w:tc>
        <w:tc>
          <w:tcPr>
            <w:tcW w:w="737" w:type="dxa"/>
          </w:tcPr>
          <w:p w14:paraId="76EA1C63" w14:textId="77777777" w:rsidR="0048679D" w:rsidRPr="00A538DD" w:rsidRDefault="0048679D">
            <w:pPr>
              <w:spacing w:before="0"/>
            </w:pPr>
            <w:r w:rsidRPr="00A538DD">
              <w:t>Not 29</w:t>
            </w:r>
          </w:p>
        </w:tc>
        <w:tc>
          <w:tcPr>
            <w:tcW w:w="964" w:type="dxa"/>
          </w:tcPr>
          <w:p w14:paraId="0E4FFAE7" w14:textId="77777777" w:rsidR="0048679D" w:rsidRPr="00A538DD" w:rsidRDefault="0048679D">
            <w:pPr>
              <w:spacing w:before="0"/>
              <w:jc w:val="right"/>
            </w:pPr>
            <w:r w:rsidRPr="00A538DD">
              <w:t>–9</w:t>
            </w:r>
          </w:p>
        </w:tc>
        <w:tc>
          <w:tcPr>
            <w:tcW w:w="964" w:type="dxa"/>
          </w:tcPr>
          <w:p w14:paraId="2D5929FD" w14:textId="77777777" w:rsidR="0048679D" w:rsidRPr="00A538DD" w:rsidRDefault="0048679D">
            <w:pPr>
              <w:spacing w:before="0"/>
              <w:jc w:val="right"/>
            </w:pPr>
            <w:r w:rsidRPr="00A538DD">
              <w:t>–8</w:t>
            </w:r>
          </w:p>
        </w:tc>
      </w:tr>
      <w:tr w:rsidR="00000000" w:rsidRPr="00A538DD" w14:paraId="34E49AB4" w14:textId="77777777">
        <w:tblPrEx>
          <w:tblCellMar>
            <w:top w:w="0" w:type="dxa"/>
            <w:bottom w:w="0" w:type="dxa"/>
          </w:tblCellMar>
        </w:tblPrEx>
        <w:trPr>
          <w:cantSplit/>
        </w:trPr>
        <w:tc>
          <w:tcPr>
            <w:tcW w:w="2722" w:type="dxa"/>
          </w:tcPr>
          <w:p w14:paraId="09824E8E" w14:textId="77777777" w:rsidR="0048679D" w:rsidRPr="00A538DD" w:rsidRDefault="0048679D">
            <w:pPr>
              <w:spacing w:before="0"/>
              <w:jc w:val="left"/>
            </w:pPr>
            <w:r w:rsidRPr="00A538DD">
              <w:t>Erhållna utdelnin</w:t>
            </w:r>
            <w:r w:rsidRPr="00A538DD">
              <w:t>g</w:t>
            </w:r>
            <w:r w:rsidRPr="00A538DD">
              <w:t>ar</w:t>
            </w:r>
          </w:p>
        </w:tc>
        <w:tc>
          <w:tcPr>
            <w:tcW w:w="737" w:type="dxa"/>
          </w:tcPr>
          <w:p w14:paraId="670C666A" w14:textId="77777777" w:rsidR="0048679D" w:rsidRPr="00A538DD" w:rsidRDefault="0048679D">
            <w:pPr>
              <w:spacing w:before="0"/>
            </w:pPr>
            <w:r w:rsidRPr="00A538DD">
              <w:t>Not 30</w:t>
            </w:r>
          </w:p>
        </w:tc>
        <w:tc>
          <w:tcPr>
            <w:tcW w:w="964" w:type="dxa"/>
          </w:tcPr>
          <w:p w14:paraId="61C1DFA0" w14:textId="77777777" w:rsidR="0048679D" w:rsidRPr="00A538DD" w:rsidRDefault="0048679D">
            <w:pPr>
              <w:spacing w:before="0"/>
              <w:jc w:val="right"/>
            </w:pPr>
            <w:r w:rsidRPr="00A538DD">
              <w:t>42</w:t>
            </w:r>
          </w:p>
        </w:tc>
        <w:tc>
          <w:tcPr>
            <w:tcW w:w="964" w:type="dxa"/>
          </w:tcPr>
          <w:p w14:paraId="65ACE546" w14:textId="77777777" w:rsidR="0048679D" w:rsidRPr="00A538DD" w:rsidRDefault="0048679D">
            <w:pPr>
              <w:spacing w:before="0"/>
              <w:jc w:val="right"/>
            </w:pPr>
            <w:r w:rsidRPr="00A538DD">
              <w:t>185</w:t>
            </w:r>
          </w:p>
        </w:tc>
      </w:tr>
      <w:tr w:rsidR="00000000" w:rsidRPr="00A538DD" w14:paraId="5F2B13DE" w14:textId="77777777">
        <w:tblPrEx>
          <w:tblCellMar>
            <w:top w:w="0" w:type="dxa"/>
            <w:bottom w:w="0" w:type="dxa"/>
          </w:tblCellMar>
        </w:tblPrEx>
        <w:trPr>
          <w:cantSplit/>
        </w:trPr>
        <w:tc>
          <w:tcPr>
            <w:tcW w:w="2722" w:type="dxa"/>
          </w:tcPr>
          <w:p w14:paraId="410FB0ED" w14:textId="77777777" w:rsidR="0048679D" w:rsidRPr="00A538DD" w:rsidRDefault="0048679D">
            <w:pPr>
              <w:spacing w:before="0"/>
              <w:jc w:val="left"/>
            </w:pPr>
            <w:r w:rsidRPr="00A538DD">
              <w:t>Övriga intä</w:t>
            </w:r>
            <w:r w:rsidRPr="00A538DD">
              <w:t>k</w:t>
            </w:r>
            <w:r w:rsidRPr="00A538DD">
              <w:t>ter</w:t>
            </w:r>
          </w:p>
        </w:tc>
        <w:tc>
          <w:tcPr>
            <w:tcW w:w="737" w:type="dxa"/>
          </w:tcPr>
          <w:p w14:paraId="12033D28" w14:textId="77777777" w:rsidR="0048679D" w:rsidRPr="00A538DD" w:rsidRDefault="0048679D">
            <w:pPr>
              <w:spacing w:before="0"/>
            </w:pPr>
            <w:r w:rsidRPr="00A538DD">
              <w:t>Not 31</w:t>
            </w:r>
          </w:p>
        </w:tc>
        <w:tc>
          <w:tcPr>
            <w:tcW w:w="964" w:type="dxa"/>
            <w:tcBorders>
              <w:bottom w:val="single" w:sz="4" w:space="0" w:color="auto"/>
            </w:tcBorders>
          </w:tcPr>
          <w:p w14:paraId="214DDED5" w14:textId="77777777" w:rsidR="0048679D" w:rsidRPr="00A538DD" w:rsidRDefault="0048679D">
            <w:pPr>
              <w:spacing w:before="0"/>
              <w:jc w:val="right"/>
            </w:pPr>
            <w:r w:rsidRPr="00A538DD">
              <w:t>24</w:t>
            </w:r>
          </w:p>
        </w:tc>
        <w:tc>
          <w:tcPr>
            <w:tcW w:w="964" w:type="dxa"/>
            <w:tcBorders>
              <w:bottom w:val="single" w:sz="4" w:space="0" w:color="auto"/>
            </w:tcBorders>
          </w:tcPr>
          <w:p w14:paraId="436A46CE" w14:textId="77777777" w:rsidR="0048679D" w:rsidRPr="00A538DD" w:rsidRDefault="0048679D">
            <w:pPr>
              <w:spacing w:before="0"/>
              <w:jc w:val="right"/>
            </w:pPr>
            <w:r w:rsidRPr="00A538DD">
              <w:t>5</w:t>
            </w:r>
          </w:p>
        </w:tc>
      </w:tr>
      <w:tr w:rsidR="00000000" w:rsidRPr="00A538DD" w14:paraId="630835A5" w14:textId="77777777">
        <w:tblPrEx>
          <w:tblCellMar>
            <w:top w:w="0" w:type="dxa"/>
            <w:bottom w:w="0" w:type="dxa"/>
          </w:tblCellMar>
        </w:tblPrEx>
        <w:trPr>
          <w:cantSplit/>
        </w:trPr>
        <w:tc>
          <w:tcPr>
            <w:tcW w:w="2722" w:type="dxa"/>
          </w:tcPr>
          <w:p w14:paraId="12A60CFC" w14:textId="77777777" w:rsidR="0048679D" w:rsidRPr="00A538DD" w:rsidRDefault="0048679D">
            <w:pPr>
              <w:spacing w:before="0"/>
              <w:jc w:val="left"/>
              <w:rPr>
                <w:b/>
              </w:rPr>
            </w:pPr>
            <w:r w:rsidRPr="00A538DD">
              <w:rPr>
                <w:b/>
              </w:rPr>
              <w:t>Summa nettointäkter</w:t>
            </w:r>
          </w:p>
        </w:tc>
        <w:tc>
          <w:tcPr>
            <w:tcW w:w="737" w:type="dxa"/>
          </w:tcPr>
          <w:p w14:paraId="074CD127" w14:textId="77777777" w:rsidR="0048679D" w:rsidRPr="00A538DD" w:rsidRDefault="0048679D">
            <w:pPr>
              <w:spacing w:before="0"/>
              <w:rPr>
                <w:b/>
              </w:rPr>
            </w:pPr>
          </w:p>
        </w:tc>
        <w:tc>
          <w:tcPr>
            <w:tcW w:w="964" w:type="dxa"/>
          </w:tcPr>
          <w:p w14:paraId="29008216" w14:textId="77777777" w:rsidR="0048679D" w:rsidRPr="00A538DD" w:rsidRDefault="0048679D">
            <w:pPr>
              <w:spacing w:before="0"/>
              <w:jc w:val="right"/>
            </w:pPr>
            <w:r w:rsidRPr="00A538DD">
              <w:t>–1 753</w:t>
            </w:r>
          </w:p>
        </w:tc>
        <w:tc>
          <w:tcPr>
            <w:tcW w:w="964" w:type="dxa"/>
          </w:tcPr>
          <w:p w14:paraId="138B5352" w14:textId="77777777" w:rsidR="0048679D" w:rsidRPr="00A538DD" w:rsidRDefault="0048679D">
            <w:pPr>
              <w:spacing w:before="0"/>
              <w:jc w:val="right"/>
            </w:pPr>
            <w:r w:rsidRPr="00A538DD">
              <w:t>–7 892</w:t>
            </w:r>
          </w:p>
        </w:tc>
      </w:tr>
      <w:tr w:rsidR="00000000" w:rsidRPr="00A538DD" w14:paraId="0D6C1A41" w14:textId="77777777">
        <w:tblPrEx>
          <w:tblCellMar>
            <w:top w:w="0" w:type="dxa"/>
            <w:bottom w:w="0" w:type="dxa"/>
          </w:tblCellMar>
        </w:tblPrEx>
        <w:trPr>
          <w:cantSplit/>
        </w:trPr>
        <w:tc>
          <w:tcPr>
            <w:tcW w:w="2722" w:type="dxa"/>
          </w:tcPr>
          <w:p w14:paraId="4CFEF85F" w14:textId="77777777" w:rsidR="0048679D" w:rsidRPr="00A538DD" w:rsidRDefault="0048679D">
            <w:pPr>
              <w:spacing w:before="0"/>
              <w:jc w:val="left"/>
              <w:rPr>
                <w:b/>
              </w:rPr>
            </w:pPr>
          </w:p>
        </w:tc>
        <w:tc>
          <w:tcPr>
            <w:tcW w:w="737" w:type="dxa"/>
          </w:tcPr>
          <w:p w14:paraId="6C8B30E5" w14:textId="77777777" w:rsidR="0048679D" w:rsidRPr="00A538DD" w:rsidRDefault="0048679D">
            <w:pPr>
              <w:spacing w:before="0"/>
              <w:rPr>
                <w:b/>
              </w:rPr>
            </w:pPr>
          </w:p>
        </w:tc>
        <w:tc>
          <w:tcPr>
            <w:tcW w:w="964" w:type="dxa"/>
          </w:tcPr>
          <w:p w14:paraId="32DFBFF9" w14:textId="77777777" w:rsidR="0048679D" w:rsidRPr="00A538DD" w:rsidRDefault="0048679D">
            <w:pPr>
              <w:spacing w:before="0"/>
              <w:jc w:val="right"/>
              <w:rPr>
                <w:b/>
              </w:rPr>
            </w:pPr>
          </w:p>
        </w:tc>
        <w:tc>
          <w:tcPr>
            <w:tcW w:w="964" w:type="dxa"/>
          </w:tcPr>
          <w:p w14:paraId="4CD473D2" w14:textId="77777777" w:rsidR="0048679D" w:rsidRPr="00A538DD" w:rsidRDefault="0048679D">
            <w:pPr>
              <w:spacing w:before="0"/>
              <w:jc w:val="right"/>
              <w:rPr>
                <w:b/>
              </w:rPr>
            </w:pPr>
          </w:p>
        </w:tc>
      </w:tr>
      <w:tr w:rsidR="00000000" w:rsidRPr="00A538DD" w14:paraId="604F6027" w14:textId="77777777">
        <w:tblPrEx>
          <w:tblCellMar>
            <w:top w:w="0" w:type="dxa"/>
            <w:bottom w:w="0" w:type="dxa"/>
          </w:tblCellMar>
        </w:tblPrEx>
        <w:trPr>
          <w:cantSplit/>
        </w:trPr>
        <w:tc>
          <w:tcPr>
            <w:tcW w:w="2722" w:type="dxa"/>
          </w:tcPr>
          <w:p w14:paraId="0737F6B9" w14:textId="77777777" w:rsidR="0048679D" w:rsidRPr="00A538DD" w:rsidRDefault="0048679D">
            <w:pPr>
              <w:spacing w:before="0"/>
              <w:jc w:val="left"/>
              <w:rPr>
                <w:b/>
              </w:rPr>
            </w:pPr>
          </w:p>
        </w:tc>
        <w:tc>
          <w:tcPr>
            <w:tcW w:w="737" w:type="dxa"/>
          </w:tcPr>
          <w:p w14:paraId="0900D926" w14:textId="77777777" w:rsidR="0048679D" w:rsidRPr="00A538DD" w:rsidRDefault="0048679D">
            <w:pPr>
              <w:spacing w:before="0"/>
              <w:rPr>
                <w:b/>
              </w:rPr>
            </w:pPr>
          </w:p>
        </w:tc>
        <w:tc>
          <w:tcPr>
            <w:tcW w:w="964" w:type="dxa"/>
          </w:tcPr>
          <w:p w14:paraId="0097344A" w14:textId="77777777" w:rsidR="0048679D" w:rsidRPr="00A538DD" w:rsidRDefault="0048679D">
            <w:pPr>
              <w:spacing w:before="0"/>
              <w:jc w:val="right"/>
              <w:rPr>
                <w:b/>
              </w:rPr>
            </w:pPr>
          </w:p>
        </w:tc>
        <w:tc>
          <w:tcPr>
            <w:tcW w:w="964" w:type="dxa"/>
          </w:tcPr>
          <w:p w14:paraId="43BDB82D" w14:textId="77777777" w:rsidR="0048679D" w:rsidRPr="00A538DD" w:rsidRDefault="0048679D">
            <w:pPr>
              <w:spacing w:before="0"/>
              <w:jc w:val="right"/>
              <w:rPr>
                <w:b/>
              </w:rPr>
            </w:pPr>
          </w:p>
        </w:tc>
      </w:tr>
      <w:tr w:rsidR="00000000" w:rsidRPr="00A538DD" w14:paraId="3E8EDAEC" w14:textId="77777777">
        <w:tblPrEx>
          <w:tblCellMar>
            <w:top w:w="0" w:type="dxa"/>
            <w:bottom w:w="0" w:type="dxa"/>
          </w:tblCellMar>
        </w:tblPrEx>
        <w:trPr>
          <w:cantSplit/>
        </w:trPr>
        <w:tc>
          <w:tcPr>
            <w:tcW w:w="2722" w:type="dxa"/>
          </w:tcPr>
          <w:p w14:paraId="60289A3F" w14:textId="77777777" w:rsidR="0048679D" w:rsidRPr="00A538DD" w:rsidRDefault="0048679D">
            <w:pPr>
              <w:spacing w:before="0"/>
              <w:jc w:val="left"/>
            </w:pPr>
            <w:r w:rsidRPr="00A538DD">
              <w:t>Personalkostn</w:t>
            </w:r>
            <w:r w:rsidRPr="00A538DD">
              <w:t>a</w:t>
            </w:r>
            <w:r w:rsidRPr="00A538DD">
              <w:t>der</w:t>
            </w:r>
          </w:p>
        </w:tc>
        <w:tc>
          <w:tcPr>
            <w:tcW w:w="737" w:type="dxa"/>
          </w:tcPr>
          <w:p w14:paraId="10B25A2D" w14:textId="77777777" w:rsidR="0048679D" w:rsidRPr="00A538DD" w:rsidRDefault="0048679D">
            <w:pPr>
              <w:spacing w:before="0"/>
            </w:pPr>
            <w:r w:rsidRPr="00A538DD">
              <w:t>Not 32</w:t>
            </w:r>
          </w:p>
        </w:tc>
        <w:tc>
          <w:tcPr>
            <w:tcW w:w="964" w:type="dxa"/>
          </w:tcPr>
          <w:p w14:paraId="253A2A6B" w14:textId="77777777" w:rsidR="0048679D" w:rsidRPr="00A538DD" w:rsidRDefault="0048679D">
            <w:pPr>
              <w:spacing w:before="0"/>
              <w:jc w:val="right"/>
            </w:pPr>
            <w:r w:rsidRPr="00A538DD">
              <w:t>–309</w:t>
            </w:r>
          </w:p>
        </w:tc>
        <w:tc>
          <w:tcPr>
            <w:tcW w:w="964" w:type="dxa"/>
          </w:tcPr>
          <w:p w14:paraId="437A1BF2" w14:textId="77777777" w:rsidR="0048679D" w:rsidRPr="00A538DD" w:rsidRDefault="0048679D">
            <w:pPr>
              <w:spacing w:before="0"/>
              <w:jc w:val="right"/>
            </w:pPr>
            <w:r w:rsidRPr="00A538DD">
              <w:t>–323</w:t>
            </w:r>
          </w:p>
        </w:tc>
      </w:tr>
      <w:tr w:rsidR="00000000" w:rsidRPr="00A538DD" w14:paraId="5AA6ABF2" w14:textId="77777777">
        <w:tblPrEx>
          <w:tblCellMar>
            <w:top w:w="0" w:type="dxa"/>
            <w:bottom w:w="0" w:type="dxa"/>
          </w:tblCellMar>
        </w:tblPrEx>
        <w:trPr>
          <w:cantSplit/>
        </w:trPr>
        <w:tc>
          <w:tcPr>
            <w:tcW w:w="2722" w:type="dxa"/>
          </w:tcPr>
          <w:p w14:paraId="09715891" w14:textId="77777777" w:rsidR="0048679D" w:rsidRPr="00A538DD" w:rsidRDefault="0048679D">
            <w:pPr>
              <w:spacing w:before="0"/>
              <w:jc w:val="left"/>
            </w:pPr>
            <w:r w:rsidRPr="00A538DD">
              <w:t>Administrationskostn</w:t>
            </w:r>
            <w:r w:rsidRPr="00A538DD">
              <w:t>a</w:t>
            </w:r>
            <w:r w:rsidRPr="00A538DD">
              <w:t>der</w:t>
            </w:r>
          </w:p>
        </w:tc>
        <w:tc>
          <w:tcPr>
            <w:tcW w:w="737" w:type="dxa"/>
          </w:tcPr>
          <w:p w14:paraId="5C5F7B6E" w14:textId="77777777" w:rsidR="0048679D" w:rsidRPr="00A538DD" w:rsidRDefault="0048679D">
            <w:pPr>
              <w:spacing w:before="0"/>
            </w:pPr>
            <w:r w:rsidRPr="00A538DD">
              <w:t>Not 33</w:t>
            </w:r>
          </w:p>
        </w:tc>
        <w:tc>
          <w:tcPr>
            <w:tcW w:w="964" w:type="dxa"/>
          </w:tcPr>
          <w:p w14:paraId="560F131C" w14:textId="77777777" w:rsidR="0048679D" w:rsidRPr="00A538DD" w:rsidRDefault="0048679D">
            <w:pPr>
              <w:spacing w:before="0"/>
              <w:jc w:val="right"/>
            </w:pPr>
            <w:r w:rsidRPr="00A538DD">
              <w:t>–231</w:t>
            </w:r>
          </w:p>
        </w:tc>
        <w:tc>
          <w:tcPr>
            <w:tcW w:w="964" w:type="dxa"/>
          </w:tcPr>
          <w:p w14:paraId="1B5D0572" w14:textId="77777777" w:rsidR="0048679D" w:rsidRPr="00A538DD" w:rsidRDefault="0048679D">
            <w:pPr>
              <w:spacing w:before="0"/>
              <w:jc w:val="right"/>
            </w:pPr>
            <w:r w:rsidRPr="00A538DD">
              <w:t>–228</w:t>
            </w:r>
          </w:p>
        </w:tc>
      </w:tr>
      <w:tr w:rsidR="00000000" w:rsidRPr="00A538DD" w14:paraId="6DDAA7C7" w14:textId="77777777">
        <w:tblPrEx>
          <w:tblCellMar>
            <w:top w:w="0" w:type="dxa"/>
            <w:bottom w:w="0" w:type="dxa"/>
          </w:tblCellMar>
        </w:tblPrEx>
        <w:trPr>
          <w:cantSplit/>
        </w:trPr>
        <w:tc>
          <w:tcPr>
            <w:tcW w:w="2722" w:type="dxa"/>
          </w:tcPr>
          <w:p w14:paraId="471F5255" w14:textId="77777777" w:rsidR="0048679D" w:rsidRPr="00A538DD" w:rsidRDefault="0048679D">
            <w:pPr>
              <w:spacing w:before="0"/>
              <w:jc w:val="left"/>
            </w:pPr>
            <w:r w:rsidRPr="00A538DD">
              <w:t>Avskrivningar av materiella och immateriella anläggningstil</w:t>
            </w:r>
            <w:r w:rsidRPr="00A538DD">
              <w:t>l</w:t>
            </w:r>
            <w:r w:rsidRPr="00A538DD">
              <w:t>gångar</w:t>
            </w:r>
          </w:p>
        </w:tc>
        <w:tc>
          <w:tcPr>
            <w:tcW w:w="737" w:type="dxa"/>
          </w:tcPr>
          <w:p w14:paraId="17A6648B" w14:textId="77777777" w:rsidR="0048679D" w:rsidRPr="00A538DD" w:rsidRDefault="0048679D">
            <w:pPr>
              <w:spacing w:before="0"/>
            </w:pPr>
          </w:p>
          <w:p w14:paraId="656BDDEB" w14:textId="77777777" w:rsidR="0048679D" w:rsidRPr="00A538DD" w:rsidRDefault="0048679D">
            <w:pPr>
              <w:spacing w:before="0"/>
            </w:pPr>
            <w:r w:rsidRPr="00A538DD">
              <w:br/>
              <w:t>Not 34</w:t>
            </w:r>
          </w:p>
        </w:tc>
        <w:tc>
          <w:tcPr>
            <w:tcW w:w="964" w:type="dxa"/>
          </w:tcPr>
          <w:p w14:paraId="762D6DC3" w14:textId="77777777" w:rsidR="0048679D" w:rsidRPr="00A538DD" w:rsidRDefault="0048679D">
            <w:pPr>
              <w:spacing w:before="0"/>
              <w:jc w:val="right"/>
            </w:pPr>
          </w:p>
          <w:p w14:paraId="47D8D989" w14:textId="77777777" w:rsidR="0048679D" w:rsidRPr="00A538DD" w:rsidRDefault="0048679D">
            <w:pPr>
              <w:pStyle w:val="Normaltindrag"/>
            </w:pPr>
          </w:p>
          <w:p w14:paraId="651E34CF" w14:textId="77777777" w:rsidR="0048679D" w:rsidRPr="00A538DD" w:rsidRDefault="0048679D">
            <w:pPr>
              <w:spacing w:before="0"/>
              <w:jc w:val="right"/>
            </w:pPr>
            <w:r w:rsidRPr="00A538DD">
              <w:t>–69</w:t>
            </w:r>
          </w:p>
        </w:tc>
        <w:tc>
          <w:tcPr>
            <w:tcW w:w="964" w:type="dxa"/>
          </w:tcPr>
          <w:p w14:paraId="52DCD372" w14:textId="77777777" w:rsidR="0048679D" w:rsidRPr="00A538DD" w:rsidRDefault="0048679D">
            <w:pPr>
              <w:spacing w:before="0"/>
              <w:jc w:val="right"/>
            </w:pPr>
          </w:p>
          <w:p w14:paraId="7CA8ABFB" w14:textId="77777777" w:rsidR="0048679D" w:rsidRPr="00A538DD" w:rsidRDefault="0048679D">
            <w:pPr>
              <w:spacing w:before="0"/>
              <w:jc w:val="right"/>
            </w:pPr>
            <w:r w:rsidRPr="00A538DD">
              <w:br/>
              <w:t>–72</w:t>
            </w:r>
          </w:p>
        </w:tc>
      </w:tr>
      <w:tr w:rsidR="00000000" w:rsidRPr="00A538DD" w14:paraId="0D37EB7C" w14:textId="77777777">
        <w:tblPrEx>
          <w:tblCellMar>
            <w:top w:w="0" w:type="dxa"/>
            <w:bottom w:w="0" w:type="dxa"/>
          </w:tblCellMar>
        </w:tblPrEx>
        <w:trPr>
          <w:cantSplit/>
        </w:trPr>
        <w:tc>
          <w:tcPr>
            <w:tcW w:w="2722" w:type="dxa"/>
          </w:tcPr>
          <w:p w14:paraId="78637733" w14:textId="77777777" w:rsidR="0048679D" w:rsidRPr="00A538DD" w:rsidRDefault="0048679D">
            <w:pPr>
              <w:spacing w:before="0"/>
              <w:jc w:val="left"/>
            </w:pPr>
            <w:r w:rsidRPr="00A538DD">
              <w:t>Sedel- och myntkostn</w:t>
            </w:r>
            <w:r w:rsidRPr="00A538DD">
              <w:t>a</w:t>
            </w:r>
            <w:r w:rsidRPr="00A538DD">
              <w:t>der</w:t>
            </w:r>
          </w:p>
        </w:tc>
        <w:tc>
          <w:tcPr>
            <w:tcW w:w="737" w:type="dxa"/>
          </w:tcPr>
          <w:p w14:paraId="1AE0CDC0" w14:textId="77777777" w:rsidR="0048679D" w:rsidRPr="00A538DD" w:rsidRDefault="0048679D">
            <w:pPr>
              <w:spacing w:before="0"/>
            </w:pPr>
            <w:r w:rsidRPr="00A538DD">
              <w:t>Not 35</w:t>
            </w:r>
          </w:p>
        </w:tc>
        <w:tc>
          <w:tcPr>
            <w:tcW w:w="964" w:type="dxa"/>
          </w:tcPr>
          <w:p w14:paraId="3D41F9B8" w14:textId="77777777" w:rsidR="0048679D" w:rsidRPr="00A538DD" w:rsidRDefault="0048679D">
            <w:pPr>
              <w:spacing w:before="0"/>
              <w:jc w:val="right"/>
            </w:pPr>
            <w:r w:rsidRPr="00A538DD">
              <w:t>–160</w:t>
            </w:r>
          </w:p>
        </w:tc>
        <w:tc>
          <w:tcPr>
            <w:tcW w:w="964" w:type="dxa"/>
          </w:tcPr>
          <w:p w14:paraId="2715DFD0" w14:textId="77777777" w:rsidR="0048679D" w:rsidRPr="00A538DD" w:rsidRDefault="0048679D">
            <w:pPr>
              <w:spacing w:before="0"/>
              <w:jc w:val="right"/>
            </w:pPr>
            <w:r w:rsidRPr="00A538DD">
              <w:t>–244</w:t>
            </w:r>
          </w:p>
        </w:tc>
      </w:tr>
      <w:tr w:rsidR="00000000" w:rsidRPr="00A538DD" w14:paraId="73387E79" w14:textId="77777777">
        <w:tblPrEx>
          <w:tblCellMar>
            <w:top w:w="0" w:type="dxa"/>
            <w:bottom w:w="0" w:type="dxa"/>
          </w:tblCellMar>
        </w:tblPrEx>
        <w:trPr>
          <w:cantSplit/>
        </w:trPr>
        <w:tc>
          <w:tcPr>
            <w:tcW w:w="2722" w:type="dxa"/>
          </w:tcPr>
          <w:p w14:paraId="35519B03" w14:textId="77777777" w:rsidR="0048679D" w:rsidRPr="00A538DD" w:rsidRDefault="0048679D">
            <w:pPr>
              <w:spacing w:before="0"/>
              <w:jc w:val="left"/>
            </w:pPr>
            <w:r w:rsidRPr="00A538DD">
              <w:t>Övriga kostn</w:t>
            </w:r>
            <w:r w:rsidRPr="00A538DD">
              <w:t>a</w:t>
            </w:r>
            <w:r w:rsidRPr="00A538DD">
              <w:t>der</w:t>
            </w:r>
          </w:p>
        </w:tc>
        <w:tc>
          <w:tcPr>
            <w:tcW w:w="737" w:type="dxa"/>
          </w:tcPr>
          <w:p w14:paraId="16B486F4" w14:textId="77777777" w:rsidR="0048679D" w:rsidRPr="00A538DD" w:rsidRDefault="0048679D">
            <w:pPr>
              <w:spacing w:before="0"/>
            </w:pPr>
            <w:r w:rsidRPr="00A538DD">
              <w:t>Not 36</w:t>
            </w:r>
          </w:p>
        </w:tc>
        <w:tc>
          <w:tcPr>
            <w:tcW w:w="964" w:type="dxa"/>
            <w:tcBorders>
              <w:bottom w:val="single" w:sz="4" w:space="0" w:color="auto"/>
            </w:tcBorders>
          </w:tcPr>
          <w:p w14:paraId="26A9EF59" w14:textId="77777777" w:rsidR="0048679D" w:rsidRPr="00A538DD" w:rsidRDefault="0048679D">
            <w:pPr>
              <w:spacing w:before="0"/>
              <w:jc w:val="right"/>
            </w:pPr>
            <w:r w:rsidRPr="00A538DD">
              <w:t>–282</w:t>
            </w:r>
          </w:p>
        </w:tc>
        <w:tc>
          <w:tcPr>
            <w:tcW w:w="964" w:type="dxa"/>
            <w:tcBorders>
              <w:bottom w:val="single" w:sz="4" w:space="0" w:color="auto"/>
            </w:tcBorders>
          </w:tcPr>
          <w:p w14:paraId="604FDF5B" w14:textId="77777777" w:rsidR="0048679D" w:rsidRPr="00A538DD" w:rsidRDefault="0048679D">
            <w:pPr>
              <w:spacing w:before="0"/>
              <w:jc w:val="right"/>
            </w:pPr>
            <w:r w:rsidRPr="00A538DD">
              <w:t>–521</w:t>
            </w:r>
          </w:p>
        </w:tc>
      </w:tr>
      <w:tr w:rsidR="00000000" w:rsidRPr="00A538DD" w14:paraId="7EA09DE9" w14:textId="77777777">
        <w:tblPrEx>
          <w:tblCellMar>
            <w:top w:w="0" w:type="dxa"/>
            <w:bottom w:w="0" w:type="dxa"/>
          </w:tblCellMar>
        </w:tblPrEx>
        <w:trPr>
          <w:cantSplit/>
        </w:trPr>
        <w:tc>
          <w:tcPr>
            <w:tcW w:w="2722" w:type="dxa"/>
          </w:tcPr>
          <w:p w14:paraId="5958CEAF" w14:textId="77777777" w:rsidR="0048679D" w:rsidRPr="00A538DD" w:rsidRDefault="0048679D">
            <w:pPr>
              <w:spacing w:before="0"/>
              <w:jc w:val="left"/>
              <w:rPr>
                <w:b/>
              </w:rPr>
            </w:pPr>
            <w:r w:rsidRPr="00A538DD">
              <w:rPr>
                <w:b/>
              </w:rPr>
              <w:t>Summa kostnader</w:t>
            </w:r>
          </w:p>
        </w:tc>
        <w:tc>
          <w:tcPr>
            <w:tcW w:w="737" w:type="dxa"/>
          </w:tcPr>
          <w:p w14:paraId="3EFDEA9D" w14:textId="77777777" w:rsidR="0048679D" w:rsidRPr="00A538DD" w:rsidRDefault="0048679D">
            <w:pPr>
              <w:spacing w:before="0"/>
              <w:rPr>
                <w:b/>
              </w:rPr>
            </w:pPr>
          </w:p>
        </w:tc>
        <w:tc>
          <w:tcPr>
            <w:tcW w:w="964" w:type="dxa"/>
          </w:tcPr>
          <w:p w14:paraId="2E1E571D" w14:textId="77777777" w:rsidR="0048679D" w:rsidRPr="00A538DD" w:rsidRDefault="0048679D">
            <w:pPr>
              <w:spacing w:before="0"/>
              <w:jc w:val="right"/>
              <w:rPr>
                <w:b/>
              </w:rPr>
            </w:pPr>
            <w:r w:rsidRPr="00A538DD">
              <w:rPr>
                <w:b/>
              </w:rPr>
              <w:t>–1 051</w:t>
            </w:r>
          </w:p>
        </w:tc>
        <w:tc>
          <w:tcPr>
            <w:tcW w:w="964" w:type="dxa"/>
          </w:tcPr>
          <w:p w14:paraId="5D00B159" w14:textId="77777777" w:rsidR="0048679D" w:rsidRPr="00A538DD" w:rsidRDefault="0048679D">
            <w:pPr>
              <w:spacing w:before="0"/>
              <w:jc w:val="right"/>
              <w:rPr>
                <w:b/>
              </w:rPr>
            </w:pPr>
            <w:r w:rsidRPr="00A538DD">
              <w:rPr>
                <w:b/>
              </w:rPr>
              <w:t>–1 388</w:t>
            </w:r>
          </w:p>
        </w:tc>
      </w:tr>
      <w:tr w:rsidR="00000000" w:rsidRPr="00A538DD" w14:paraId="3BE716F3" w14:textId="77777777">
        <w:tblPrEx>
          <w:tblCellMar>
            <w:top w:w="0" w:type="dxa"/>
            <w:bottom w:w="0" w:type="dxa"/>
          </w:tblCellMar>
        </w:tblPrEx>
        <w:trPr>
          <w:cantSplit/>
        </w:trPr>
        <w:tc>
          <w:tcPr>
            <w:tcW w:w="2722" w:type="dxa"/>
          </w:tcPr>
          <w:p w14:paraId="72D6FA23" w14:textId="77777777" w:rsidR="0048679D" w:rsidRPr="00A538DD" w:rsidRDefault="0048679D">
            <w:pPr>
              <w:spacing w:before="0"/>
              <w:jc w:val="left"/>
              <w:rPr>
                <w:b/>
              </w:rPr>
            </w:pPr>
          </w:p>
        </w:tc>
        <w:tc>
          <w:tcPr>
            <w:tcW w:w="737" w:type="dxa"/>
          </w:tcPr>
          <w:p w14:paraId="3C4712B7" w14:textId="77777777" w:rsidR="0048679D" w:rsidRPr="00A538DD" w:rsidRDefault="0048679D">
            <w:pPr>
              <w:spacing w:before="0"/>
              <w:rPr>
                <w:b/>
              </w:rPr>
            </w:pPr>
          </w:p>
        </w:tc>
        <w:tc>
          <w:tcPr>
            <w:tcW w:w="964" w:type="dxa"/>
          </w:tcPr>
          <w:p w14:paraId="0DA5D604" w14:textId="77777777" w:rsidR="0048679D" w:rsidRPr="00A538DD" w:rsidRDefault="0048679D">
            <w:pPr>
              <w:spacing w:before="0"/>
              <w:jc w:val="right"/>
              <w:rPr>
                <w:b/>
              </w:rPr>
            </w:pPr>
          </w:p>
        </w:tc>
        <w:tc>
          <w:tcPr>
            <w:tcW w:w="964" w:type="dxa"/>
          </w:tcPr>
          <w:p w14:paraId="2E1021A2" w14:textId="77777777" w:rsidR="0048679D" w:rsidRPr="00A538DD" w:rsidRDefault="0048679D">
            <w:pPr>
              <w:spacing w:before="0"/>
              <w:jc w:val="right"/>
              <w:rPr>
                <w:b/>
              </w:rPr>
            </w:pPr>
          </w:p>
        </w:tc>
      </w:tr>
      <w:tr w:rsidR="00000000" w:rsidRPr="00A538DD" w14:paraId="377AE84A" w14:textId="77777777">
        <w:tblPrEx>
          <w:tblCellMar>
            <w:top w:w="0" w:type="dxa"/>
            <w:bottom w:w="0" w:type="dxa"/>
          </w:tblCellMar>
        </w:tblPrEx>
        <w:trPr>
          <w:cantSplit/>
        </w:trPr>
        <w:tc>
          <w:tcPr>
            <w:tcW w:w="2722" w:type="dxa"/>
          </w:tcPr>
          <w:p w14:paraId="2B682C9D" w14:textId="77777777" w:rsidR="0048679D" w:rsidRPr="00A538DD" w:rsidRDefault="0048679D">
            <w:pPr>
              <w:spacing w:before="0"/>
              <w:jc w:val="left"/>
              <w:rPr>
                <w:b/>
              </w:rPr>
            </w:pPr>
          </w:p>
        </w:tc>
        <w:tc>
          <w:tcPr>
            <w:tcW w:w="737" w:type="dxa"/>
          </w:tcPr>
          <w:p w14:paraId="56844FB0" w14:textId="77777777" w:rsidR="0048679D" w:rsidRPr="00A538DD" w:rsidRDefault="0048679D">
            <w:pPr>
              <w:spacing w:before="0"/>
              <w:rPr>
                <w:b/>
              </w:rPr>
            </w:pPr>
          </w:p>
        </w:tc>
        <w:tc>
          <w:tcPr>
            <w:tcW w:w="964" w:type="dxa"/>
          </w:tcPr>
          <w:p w14:paraId="2CF1E5CF" w14:textId="77777777" w:rsidR="0048679D" w:rsidRPr="00A538DD" w:rsidRDefault="0048679D">
            <w:pPr>
              <w:spacing w:before="0"/>
              <w:jc w:val="right"/>
              <w:rPr>
                <w:b/>
              </w:rPr>
            </w:pPr>
          </w:p>
        </w:tc>
        <w:tc>
          <w:tcPr>
            <w:tcW w:w="964" w:type="dxa"/>
          </w:tcPr>
          <w:p w14:paraId="570A0BFE" w14:textId="77777777" w:rsidR="0048679D" w:rsidRPr="00A538DD" w:rsidRDefault="0048679D">
            <w:pPr>
              <w:spacing w:before="0"/>
              <w:jc w:val="right"/>
              <w:rPr>
                <w:b/>
              </w:rPr>
            </w:pPr>
          </w:p>
        </w:tc>
      </w:tr>
      <w:tr w:rsidR="00000000" w:rsidRPr="00A538DD" w14:paraId="315FFD19" w14:textId="77777777">
        <w:tblPrEx>
          <w:tblCellMar>
            <w:top w:w="0" w:type="dxa"/>
            <w:bottom w:w="0" w:type="dxa"/>
          </w:tblCellMar>
        </w:tblPrEx>
        <w:trPr>
          <w:cantSplit/>
        </w:trPr>
        <w:tc>
          <w:tcPr>
            <w:tcW w:w="2722" w:type="dxa"/>
            <w:tcBorders>
              <w:bottom w:val="single" w:sz="4" w:space="0" w:color="auto"/>
            </w:tcBorders>
          </w:tcPr>
          <w:p w14:paraId="012E30A2" w14:textId="77777777" w:rsidR="0048679D" w:rsidRPr="00A538DD" w:rsidRDefault="0048679D">
            <w:pPr>
              <w:spacing w:before="0"/>
              <w:jc w:val="left"/>
              <w:rPr>
                <w:b/>
              </w:rPr>
            </w:pPr>
            <w:r w:rsidRPr="00A538DD">
              <w:rPr>
                <w:b/>
              </w:rPr>
              <w:t>Årets resultat</w:t>
            </w:r>
          </w:p>
        </w:tc>
        <w:tc>
          <w:tcPr>
            <w:tcW w:w="737" w:type="dxa"/>
            <w:tcBorders>
              <w:bottom w:val="single" w:sz="4" w:space="0" w:color="auto"/>
            </w:tcBorders>
          </w:tcPr>
          <w:p w14:paraId="640C70D8" w14:textId="77777777" w:rsidR="0048679D" w:rsidRPr="00A538DD" w:rsidRDefault="0048679D">
            <w:pPr>
              <w:spacing w:before="0"/>
              <w:rPr>
                <w:b/>
              </w:rPr>
            </w:pPr>
          </w:p>
        </w:tc>
        <w:tc>
          <w:tcPr>
            <w:tcW w:w="964" w:type="dxa"/>
            <w:tcBorders>
              <w:top w:val="single" w:sz="4" w:space="0" w:color="auto"/>
              <w:bottom w:val="single" w:sz="4" w:space="0" w:color="auto"/>
            </w:tcBorders>
          </w:tcPr>
          <w:p w14:paraId="4C51FEF0" w14:textId="77777777" w:rsidR="0048679D" w:rsidRPr="00A538DD" w:rsidRDefault="0048679D">
            <w:pPr>
              <w:spacing w:before="0"/>
              <w:jc w:val="right"/>
              <w:rPr>
                <w:b/>
              </w:rPr>
            </w:pPr>
            <w:r w:rsidRPr="00A538DD">
              <w:rPr>
                <w:b/>
              </w:rPr>
              <w:t>–2 804</w:t>
            </w:r>
          </w:p>
        </w:tc>
        <w:tc>
          <w:tcPr>
            <w:tcW w:w="964" w:type="dxa"/>
            <w:tcBorders>
              <w:top w:val="single" w:sz="4" w:space="0" w:color="auto"/>
              <w:bottom w:val="single" w:sz="4" w:space="0" w:color="auto"/>
            </w:tcBorders>
          </w:tcPr>
          <w:p w14:paraId="00AE14C8" w14:textId="77777777" w:rsidR="0048679D" w:rsidRPr="00A538DD" w:rsidRDefault="0048679D">
            <w:pPr>
              <w:spacing w:before="0"/>
              <w:jc w:val="right"/>
              <w:rPr>
                <w:b/>
              </w:rPr>
            </w:pPr>
            <w:r w:rsidRPr="00A538DD">
              <w:rPr>
                <w:b/>
              </w:rPr>
              <w:t>–9 280</w:t>
            </w:r>
          </w:p>
        </w:tc>
      </w:tr>
    </w:tbl>
    <w:p w14:paraId="4A7D63A7" w14:textId="77777777" w:rsidR="0048679D" w:rsidRPr="00A538DD" w:rsidRDefault="0048679D">
      <w:pPr>
        <w:pStyle w:val="Rubrik2"/>
        <w:spacing w:before="0"/>
      </w:pPr>
      <w:bookmarkStart w:id="35" w:name="_Toc97613760"/>
      <w:r w:rsidRPr="00A538DD">
        <w:br w:type="page"/>
        <w:t>Noter</w:t>
      </w:r>
      <w:bookmarkEnd w:id="35"/>
    </w:p>
    <w:p w14:paraId="4764CC28" w14:textId="77777777" w:rsidR="0048679D" w:rsidRPr="00A538DD" w:rsidRDefault="0048679D">
      <w:r w:rsidRPr="00A538DD">
        <w:t>Miljoner kronor</w:t>
      </w:r>
    </w:p>
    <w:p w14:paraId="00F8EB75" w14:textId="77777777" w:rsidR="0048679D" w:rsidRPr="00A538DD" w:rsidRDefault="0048679D">
      <w:r w:rsidRPr="00A538DD">
        <w:t>Förekommande sifferuppgifter inom parentes avser 2003.</w:t>
      </w:r>
    </w:p>
    <w:p w14:paraId="686DA192" w14:textId="77777777" w:rsidR="0048679D" w:rsidRPr="00A538DD" w:rsidRDefault="0048679D">
      <w:pPr>
        <w:rPr>
          <w:b/>
        </w:rPr>
      </w:pPr>
      <w:r w:rsidRPr="00A538DD">
        <w:rPr>
          <w:b/>
        </w:rPr>
        <w:t>Not 1 Guld</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0F6A245D" w14:textId="77777777">
        <w:tblPrEx>
          <w:tblCellMar>
            <w:top w:w="0" w:type="dxa"/>
            <w:bottom w:w="0" w:type="dxa"/>
          </w:tblCellMar>
        </w:tblPrEx>
        <w:trPr>
          <w:cantSplit/>
          <w:trHeight w:val="369"/>
        </w:trPr>
        <w:tc>
          <w:tcPr>
            <w:tcW w:w="2835" w:type="dxa"/>
            <w:tcBorders>
              <w:top w:val="single" w:sz="4" w:space="0" w:color="auto"/>
            </w:tcBorders>
          </w:tcPr>
          <w:p w14:paraId="50DC557A" w14:textId="77777777" w:rsidR="0048679D" w:rsidRPr="00A538DD" w:rsidRDefault="0048679D">
            <w:pPr>
              <w:spacing w:before="0"/>
            </w:pPr>
          </w:p>
        </w:tc>
        <w:tc>
          <w:tcPr>
            <w:tcW w:w="1531" w:type="dxa"/>
            <w:tcBorders>
              <w:top w:val="single" w:sz="4" w:space="0" w:color="auto"/>
            </w:tcBorders>
            <w:vAlign w:val="center"/>
          </w:tcPr>
          <w:p w14:paraId="2FC7FCCB"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2639B890" w14:textId="77777777" w:rsidR="0048679D" w:rsidRPr="00A538DD" w:rsidRDefault="0048679D">
            <w:pPr>
              <w:spacing w:before="0"/>
              <w:jc w:val="right"/>
            </w:pPr>
            <w:r w:rsidRPr="00A538DD">
              <w:t>2003-12-31</w:t>
            </w:r>
          </w:p>
        </w:tc>
      </w:tr>
      <w:tr w:rsidR="00000000" w:rsidRPr="00A538DD" w14:paraId="4B5B99DD" w14:textId="77777777">
        <w:tblPrEx>
          <w:tblCellMar>
            <w:top w:w="0" w:type="dxa"/>
            <w:bottom w:w="0" w:type="dxa"/>
          </w:tblCellMar>
        </w:tblPrEx>
        <w:trPr>
          <w:cantSplit/>
        </w:trPr>
        <w:tc>
          <w:tcPr>
            <w:tcW w:w="2835" w:type="dxa"/>
            <w:tcBorders>
              <w:top w:val="single" w:sz="4" w:space="0" w:color="auto"/>
            </w:tcBorders>
          </w:tcPr>
          <w:p w14:paraId="7601B22A" w14:textId="77777777" w:rsidR="0048679D" w:rsidRPr="00A538DD" w:rsidRDefault="0048679D">
            <w:pPr>
              <w:spacing w:before="0"/>
            </w:pPr>
            <w:r w:rsidRPr="00A538DD">
              <w:t>Kvantitet</w:t>
            </w:r>
          </w:p>
        </w:tc>
        <w:tc>
          <w:tcPr>
            <w:tcW w:w="1531" w:type="dxa"/>
            <w:tcBorders>
              <w:top w:val="single" w:sz="4" w:space="0" w:color="auto"/>
            </w:tcBorders>
          </w:tcPr>
          <w:p w14:paraId="3A1CDFCE" w14:textId="77777777" w:rsidR="0048679D" w:rsidRPr="00A538DD" w:rsidRDefault="0048679D">
            <w:pPr>
              <w:spacing w:before="0"/>
              <w:jc w:val="right"/>
            </w:pPr>
          </w:p>
        </w:tc>
        <w:tc>
          <w:tcPr>
            <w:tcW w:w="1531" w:type="dxa"/>
            <w:tcBorders>
              <w:top w:val="single" w:sz="4" w:space="0" w:color="auto"/>
            </w:tcBorders>
          </w:tcPr>
          <w:p w14:paraId="00C2C711" w14:textId="77777777" w:rsidR="0048679D" w:rsidRPr="00A538DD" w:rsidRDefault="0048679D">
            <w:pPr>
              <w:spacing w:before="0"/>
              <w:jc w:val="right"/>
            </w:pPr>
          </w:p>
        </w:tc>
      </w:tr>
      <w:tr w:rsidR="00000000" w:rsidRPr="00A538DD" w14:paraId="74D9C336" w14:textId="77777777">
        <w:tblPrEx>
          <w:tblCellMar>
            <w:top w:w="0" w:type="dxa"/>
            <w:bottom w:w="0" w:type="dxa"/>
          </w:tblCellMar>
        </w:tblPrEx>
        <w:trPr>
          <w:cantSplit/>
        </w:trPr>
        <w:tc>
          <w:tcPr>
            <w:tcW w:w="2835" w:type="dxa"/>
          </w:tcPr>
          <w:p w14:paraId="142A8017" w14:textId="77777777" w:rsidR="0048679D" w:rsidRPr="00A538DD" w:rsidRDefault="0048679D">
            <w:pPr>
              <w:spacing w:before="0"/>
            </w:pPr>
            <w:r w:rsidRPr="00A538DD">
              <w:t xml:space="preserve">  Uns (miljoner)</w:t>
            </w:r>
          </w:p>
        </w:tc>
        <w:tc>
          <w:tcPr>
            <w:tcW w:w="1531" w:type="dxa"/>
          </w:tcPr>
          <w:p w14:paraId="3D80B844" w14:textId="77777777" w:rsidR="0048679D" w:rsidRPr="00A538DD" w:rsidRDefault="0048679D">
            <w:pPr>
              <w:spacing w:before="0"/>
              <w:jc w:val="right"/>
            </w:pPr>
            <w:r w:rsidRPr="00A538DD">
              <w:t>5,96</w:t>
            </w:r>
          </w:p>
        </w:tc>
        <w:tc>
          <w:tcPr>
            <w:tcW w:w="1531" w:type="dxa"/>
          </w:tcPr>
          <w:p w14:paraId="0E29CE3D" w14:textId="77777777" w:rsidR="0048679D" w:rsidRPr="00A538DD" w:rsidRDefault="0048679D">
            <w:pPr>
              <w:spacing w:before="0"/>
              <w:jc w:val="right"/>
            </w:pPr>
            <w:r w:rsidRPr="00A538DD">
              <w:t>5,96</w:t>
            </w:r>
          </w:p>
        </w:tc>
      </w:tr>
      <w:tr w:rsidR="00000000" w:rsidRPr="00A538DD" w14:paraId="3A46C3D3" w14:textId="77777777">
        <w:tblPrEx>
          <w:tblCellMar>
            <w:top w:w="0" w:type="dxa"/>
            <w:bottom w:w="0" w:type="dxa"/>
          </w:tblCellMar>
        </w:tblPrEx>
        <w:trPr>
          <w:cantSplit/>
        </w:trPr>
        <w:tc>
          <w:tcPr>
            <w:tcW w:w="2835" w:type="dxa"/>
          </w:tcPr>
          <w:p w14:paraId="6122F2A4" w14:textId="77777777" w:rsidR="0048679D" w:rsidRPr="00A538DD" w:rsidRDefault="0048679D">
            <w:pPr>
              <w:spacing w:before="0"/>
            </w:pPr>
            <w:r w:rsidRPr="00A538DD">
              <w:t>Pris</w:t>
            </w:r>
          </w:p>
        </w:tc>
        <w:tc>
          <w:tcPr>
            <w:tcW w:w="1531" w:type="dxa"/>
          </w:tcPr>
          <w:p w14:paraId="14C35985" w14:textId="77777777" w:rsidR="0048679D" w:rsidRPr="00A538DD" w:rsidRDefault="0048679D">
            <w:pPr>
              <w:spacing w:before="0"/>
              <w:jc w:val="right"/>
            </w:pPr>
          </w:p>
        </w:tc>
        <w:tc>
          <w:tcPr>
            <w:tcW w:w="1531" w:type="dxa"/>
          </w:tcPr>
          <w:p w14:paraId="254DF1EC" w14:textId="77777777" w:rsidR="0048679D" w:rsidRPr="00A538DD" w:rsidRDefault="0048679D">
            <w:pPr>
              <w:spacing w:before="0"/>
              <w:jc w:val="right"/>
            </w:pPr>
          </w:p>
        </w:tc>
      </w:tr>
      <w:tr w:rsidR="00000000" w:rsidRPr="00A538DD" w14:paraId="0EC98606" w14:textId="77777777">
        <w:tblPrEx>
          <w:tblCellMar>
            <w:top w:w="0" w:type="dxa"/>
            <w:bottom w:w="0" w:type="dxa"/>
          </w:tblCellMar>
        </w:tblPrEx>
        <w:trPr>
          <w:cantSplit/>
        </w:trPr>
        <w:tc>
          <w:tcPr>
            <w:tcW w:w="2835" w:type="dxa"/>
          </w:tcPr>
          <w:p w14:paraId="47D34E5E" w14:textId="77777777" w:rsidR="0048679D" w:rsidRPr="00A538DD" w:rsidRDefault="0048679D">
            <w:pPr>
              <w:spacing w:before="0"/>
            </w:pPr>
            <w:r w:rsidRPr="00A538DD">
              <w:t xml:space="preserve">  US-dollar/uns</w:t>
            </w:r>
          </w:p>
        </w:tc>
        <w:tc>
          <w:tcPr>
            <w:tcW w:w="1531" w:type="dxa"/>
          </w:tcPr>
          <w:p w14:paraId="10724863" w14:textId="77777777" w:rsidR="0048679D" w:rsidRPr="00A538DD" w:rsidRDefault="0048679D">
            <w:pPr>
              <w:spacing w:before="0"/>
              <w:jc w:val="right"/>
            </w:pPr>
            <w:r w:rsidRPr="00A538DD">
              <w:t>439,05</w:t>
            </w:r>
          </w:p>
        </w:tc>
        <w:tc>
          <w:tcPr>
            <w:tcW w:w="1531" w:type="dxa"/>
          </w:tcPr>
          <w:p w14:paraId="0B4FC872" w14:textId="77777777" w:rsidR="0048679D" w:rsidRPr="00A538DD" w:rsidRDefault="0048679D">
            <w:pPr>
              <w:spacing w:before="0"/>
              <w:jc w:val="right"/>
            </w:pPr>
            <w:r w:rsidRPr="00A538DD">
              <w:t>416,50</w:t>
            </w:r>
          </w:p>
        </w:tc>
      </w:tr>
      <w:tr w:rsidR="00000000" w:rsidRPr="00A538DD" w14:paraId="7AE272E4" w14:textId="77777777">
        <w:tblPrEx>
          <w:tblCellMar>
            <w:top w:w="0" w:type="dxa"/>
            <w:bottom w:w="0" w:type="dxa"/>
          </w:tblCellMar>
        </w:tblPrEx>
        <w:trPr>
          <w:cantSplit/>
        </w:trPr>
        <w:tc>
          <w:tcPr>
            <w:tcW w:w="2835" w:type="dxa"/>
          </w:tcPr>
          <w:p w14:paraId="64274807" w14:textId="77777777" w:rsidR="0048679D" w:rsidRPr="00A538DD" w:rsidRDefault="0048679D">
            <w:pPr>
              <w:spacing w:before="0"/>
            </w:pPr>
            <w:r w:rsidRPr="00A538DD">
              <w:t xml:space="preserve">  Kronor/US-dollar</w:t>
            </w:r>
          </w:p>
        </w:tc>
        <w:tc>
          <w:tcPr>
            <w:tcW w:w="1531" w:type="dxa"/>
          </w:tcPr>
          <w:p w14:paraId="5203290E" w14:textId="77777777" w:rsidR="0048679D" w:rsidRPr="00A538DD" w:rsidRDefault="0048679D">
            <w:pPr>
              <w:spacing w:before="0"/>
              <w:jc w:val="right"/>
            </w:pPr>
            <w:r w:rsidRPr="00A538DD">
              <w:t>6,65</w:t>
            </w:r>
          </w:p>
        </w:tc>
        <w:tc>
          <w:tcPr>
            <w:tcW w:w="1531" w:type="dxa"/>
          </w:tcPr>
          <w:p w14:paraId="5E4AE93B" w14:textId="77777777" w:rsidR="0048679D" w:rsidRPr="00A538DD" w:rsidRDefault="0048679D">
            <w:pPr>
              <w:spacing w:before="0"/>
              <w:jc w:val="right"/>
            </w:pPr>
            <w:r w:rsidRPr="00A538DD">
              <w:t>7,26</w:t>
            </w:r>
          </w:p>
        </w:tc>
      </w:tr>
      <w:tr w:rsidR="00000000" w:rsidRPr="00A538DD" w14:paraId="639446CD"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5C5E9BB3" w14:textId="77777777" w:rsidR="0048679D" w:rsidRPr="00A538DD" w:rsidRDefault="0048679D">
            <w:pPr>
              <w:spacing w:before="0"/>
            </w:pPr>
            <w:r w:rsidRPr="00A538DD">
              <w:t>Bokfört värde</w:t>
            </w:r>
          </w:p>
        </w:tc>
        <w:tc>
          <w:tcPr>
            <w:tcW w:w="1531" w:type="dxa"/>
            <w:tcBorders>
              <w:top w:val="single" w:sz="4" w:space="0" w:color="auto"/>
              <w:bottom w:val="single" w:sz="4" w:space="0" w:color="auto"/>
            </w:tcBorders>
            <w:vAlign w:val="center"/>
          </w:tcPr>
          <w:p w14:paraId="3487FA12" w14:textId="77777777" w:rsidR="0048679D" w:rsidRPr="00A538DD" w:rsidRDefault="0048679D">
            <w:pPr>
              <w:spacing w:before="0"/>
              <w:jc w:val="right"/>
            </w:pPr>
            <w:r w:rsidRPr="00A538DD">
              <w:t>17 393</w:t>
            </w:r>
          </w:p>
        </w:tc>
        <w:tc>
          <w:tcPr>
            <w:tcW w:w="1531" w:type="dxa"/>
            <w:tcBorders>
              <w:top w:val="single" w:sz="4" w:space="0" w:color="auto"/>
              <w:bottom w:val="single" w:sz="4" w:space="0" w:color="auto"/>
            </w:tcBorders>
            <w:vAlign w:val="center"/>
          </w:tcPr>
          <w:p w14:paraId="5F91486C" w14:textId="77777777" w:rsidR="0048679D" w:rsidRPr="00A538DD" w:rsidRDefault="0048679D">
            <w:pPr>
              <w:spacing w:before="0"/>
              <w:jc w:val="right"/>
            </w:pPr>
            <w:r w:rsidRPr="00A538DD">
              <w:t>18 030</w:t>
            </w:r>
          </w:p>
        </w:tc>
      </w:tr>
    </w:tbl>
    <w:p w14:paraId="4A6D1212" w14:textId="77777777" w:rsidR="0048679D" w:rsidRPr="00A538DD" w:rsidRDefault="0048679D">
      <w:r w:rsidRPr="00A538DD">
        <w:br/>
        <w:t>Riksbanken innehar per 2004-12-31 5,96 miljoner uns (troy/oz) guld vilket motsvarar 185,4 ton. Under 2004 har Riksbanken genomfört terminsaffärer motsvarande en försäljning av 384 000 uns guld (12 ton) på termin med fö</w:t>
      </w:r>
      <w:r w:rsidRPr="00A538DD">
        <w:t>r</w:t>
      </w:r>
      <w:r w:rsidRPr="00A538DD">
        <w:t>fall 2005. Se även not 18 och 37.</w:t>
      </w:r>
    </w:p>
    <w:p w14:paraId="555B1015" w14:textId="77777777" w:rsidR="0048679D" w:rsidRPr="00A538DD" w:rsidRDefault="0048679D">
      <w:pPr>
        <w:rPr>
          <w:b/>
        </w:rPr>
      </w:pPr>
      <w:r w:rsidRPr="00A538DD">
        <w:br/>
      </w:r>
      <w:r w:rsidRPr="00A538DD">
        <w:rPr>
          <w:b/>
        </w:rPr>
        <w:t>Not 2 Fordringar på IMF</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5D8BEFE5" w14:textId="77777777">
        <w:tblPrEx>
          <w:tblCellMar>
            <w:top w:w="0" w:type="dxa"/>
            <w:bottom w:w="0" w:type="dxa"/>
          </w:tblCellMar>
        </w:tblPrEx>
        <w:trPr>
          <w:cantSplit/>
          <w:trHeight w:val="369"/>
        </w:trPr>
        <w:tc>
          <w:tcPr>
            <w:tcW w:w="2835" w:type="dxa"/>
            <w:tcBorders>
              <w:top w:val="single" w:sz="4" w:space="0" w:color="auto"/>
            </w:tcBorders>
          </w:tcPr>
          <w:p w14:paraId="2184E3C7" w14:textId="77777777" w:rsidR="0048679D" w:rsidRPr="00A538DD" w:rsidRDefault="0048679D">
            <w:pPr>
              <w:spacing w:before="0"/>
            </w:pPr>
          </w:p>
        </w:tc>
        <w:tc>
          <w:tcPr>
            <w:tcW w:w="1531" w:type="dxa"/>
            <w:tcBorders>
              <w:top w:val="single" w:sz="4" w:space="0" w:color="auto"/>
            </w:tcBorders>
            <w:vAlign w:val="center"/>
          </w:tcPr>
          <w:p w14:paraId="0222FD39"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13592277" w14:textId="77777777" w:rsidR="0048679D" w:rsidRPr="00A538DD" w:rsidRDefault="0048679D">
            <w:pPr>
              <w:spacing w:before="0"/>
              <w:jc w:val="right"/>
            </w:pPr>
            <w:r w:rsidRPr="00A538DD">
              <w:t>2003-12-31</w:t>
            </w:r>
          </w:p>
        </w:tc>
      </w:tr>
      <w:tr w:rsidR="00000000" w:rsidRPr="00A538DD" w14:paraId="73F776A8" w14:textId="77777777">
        <w:tblPrEx>
          <w:tblCellMar>
            <w:top w:w="0" w:type="dxa"/>
            <w:bottom w:w="0" w:type="dxa"/>
          </w:tblCellMar>
        </w:tblPrEx>
        <w:trPr>
          <w:cantSplit/>
        </w:trPr>
        <w:tc>
          <w:tcPr>
            <w:tcW w:w="2835" w:type="dxa"/>
            <w:tcBorders>
              <w:top w:val="single" w:sz="4" w:space="0" w:color="auto"/>
            </w:tcBorders>
          </w:tcPr>
          <w:p w14:paraId="5C7F0BAA" w14:textId="77777777" w:rsidR="0048679D" w:rsidRPr="00A538DD" w:rsidRDefault="0048679D">
            <w:pPr>
              <w:spacing w:before="0"/>
            </w:pPr>
            <w:r w:rsidRPr="00A538DD">
              <w:t>Särskilda dragningsrätter</w:t>
            </w:r>
          </w:p>
        </w:tc>
        <w:tc>
          <w:tcPr>
            <w:tcW w:w="1531" w:type="dxa"/>
            <w:tcBorders>
              <w:top w:val="single" w:sz="4" w:space="0" w:color="auto"/>
            </w:tcBorders>
          </w:tcPr>
          <w:p w14:paraId="10EF730B" w14:textId="77777777" w:rsidR="0048679D" w:rsidRPr="00A538DD" w:rsidRDefault="0048679D">
            <w:pPr>
              <w:spacing w:before="0"/>
              <w:jc w:val="right"/>
            </w:pPr>
            <w:r w:rsidRPr="00A538DD">
              <w:t>1 387</w:t>
            </w:r>
          </w:p>
        </w:tc>
        <w:tc>
          <w:tcPr>
            <w:tcW w:w="1531" w:type="dxa"/>
            <w:tcBorders>
              <w:top w:val="single" w:sz="4" w:space="0" w:color="auto"/>
            </w:tcBorders>
          </w:tcPr>
          <w:p w14:paraId="4D1D3141" w14:textId="77777777" w:rsidR="0048679D" w:rsidRPr="00A538DD" w:rsidRDefault="0048679D">
            <w:pPr>
              <w:spacing w:before="0"/>
              <w:jc w:val="right"/>
            </w:pPr>
            <w:r w:rsidRPr="00A538DD">
              <w:t>1 430</w:t>
            </w:r>
          </w:p>
        </w:tc>
      </w:tr>
      <w:tr w:rsidR="00000000" w:rsidRPr="00A538DD" w14:paraId="382DB5E7" w14:textId="77777777">
        <w:tblPrEx>
          <w:tblCellMar>
            <w:top w:w="0" w:type="dxa"/>
            <w:bottom w:w="0" w:type="dxa"/>
          </w:tblCellMar>
        </w:tblPrEx>
        <w:trPr>
          <w:cantSplit/>
          <w:trHeight w:val="234"/>
        </w:trPr>
        <w:tc>
          <w:tcPr>
            <w:tcW w:w="2835" w:type="dxa"/>
          </w:tcPr>
          <w:p w14:paraId="77900862" w14:textId="77777777" w:rsidR="0048679D" w:rsidRPr="00A538DD" w:rsidRDefault="0048679D">
            <w:pPr>
              <w:spacing w:before="0"/>
            </w:pPr>
            <w:r w:rsidRPr="00A538DD">
              <w:t>Reservposition i IMF</w:t>
            </w:r>
          </w:p>
        </w:tc>
        <w:tc>
          <w:tcPr>
            <w:tcW w:w="1531" w:type="dxa"/>
          </w:tcPr>
          <w:p w14:paraId="6B9E9375" w14:textId="77777777" w:rsidR="0048679D" w:rsidRPr="00A538DD" w:rsidRDefault="0048679D">
            <w:pPr>
              <w:spacing w:before="0"/>
              <w:jc w:val="right"/>
            </w:pPr>
            <w:r w:rsidRPr="00A538DD">
              <w:t>8 570</w:t>
            </w:r>
          </w:p>
        </w:tc>
        <w:tc>
          <w:tcPr>
            <w:tcW w:w="1531" w:type="dxa"/>
          </w:tcPr>
          <w:p w14:paraId="3D8BD316" w14:textId="77777777" w:rsidR="0048679D" w:rsidRPr="00A538DD" w:rsidRDefault="0048679D">
            <w:pPr>
              <w:spacing w:before="0"/>
              <w:jc w:val="right"/>
            </w:pPr>
            <w:r w:rsidRPr="00A538DD">
              <w:t>10 611</w:t>
            </w:r>
          </w:p>
        </w:tc>
      </w:tr>
      <w:tr w:rsidR="00000000" w:rsidRPr="00A538DD" w14:paraId="7C00CCD4" w14:textId="77777777">
        <w:tblPrEx>
          <w:tblCellMar>
            <w:top w:w="0" w:type="dxa"/>
            <w:bottom w:w="0" w:type="dxa"/>
          </w:tblCellMar>
        </w:tblPrEx>
        <w:trPr>
          <w:cantSplit/>
        </w:trPr>
        <w:tc>
          <w:tcPr>
            <w:tcW w:w="2835" w:type="dxa"/>
          </w:tcPr>
          <w:p w14:paraId="4CA840A0" w14:textId="77777777" w:rsidR="0048679D" w:rsidRPr="00A538DD" w:rsidRDefault="0048679D">
            <w:pPr>
              <w:spacing w:before="0"/>
            </w:pPr>
            <w:r w:rsidRPr="00A538DD">
              <w:t>Övriga fordringar</w:t>
            </w:r>
          </w:p>
        </w:tc>
        <w:tc>
          <w:tcPr>
            <w:tcW w:w="1531" w:type="dxa"/>
          </w:tcPr>
          <w:p w14:paraId="6DC40E91" w14:textId="77777777" w:rsidR="0048679D" w:rsidRPr="00A538DD" w:rsidRDefault="0048679D">
            <w:pPr>
              <w:spacing w:before="0"/>
              <w:jc w:val="right"/>
            </w:pPr>
            <w:r w:rsidRPr="00A538DD">
              <w:t>191</w:t>
            </w:r>
          </w:p>
        </w:tc>
        <w:tc>
          <w:tcPr>
            <w:tcW w:w="1531" w:type="dxa"/>
          </w:tcPr>
          <w:p w14:paraId="156FC5B7" w14:textId="77777777" w:rsidR="0048679D" w:rsidRPr="00A538DD" w:rsidRDefault="0048679D">
            <w:pPr>
              <w:spacing w:before="0"/>
              <w:jc w:val="right"/>
            </w:pPr>
            <w:r w:rsidRPr="00A538DD">
              <w:t>200</w:t>
            </w:r>
          </w:p>
        </w:tc>
      </w:tr>
      <w:tr w:rsidR="00000000" w:rsidRPr="00A538DD" w14:paraId="337D22C4"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45BEC891"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43213DB7" w14:textId="77777777" w:rsidR="0048679D" w:rsidRPr="00A538DD" w:rsidRDefault="0048679D">
            <w:pPr>
              <w:spacing w:before="0"/>
              <w:jc w:val="right"/>
            </w:pPr>
            <w:r w:rsidRPr="00A538DD">
              <w:t>10 148</w:t>
            </w:r>
          </w:p>
        </w:tc>
        <w:tc>
          <w:tcPr>
            <w:tcW w:w="1531" w:type="dxa"/>
            <w:tcBorders>
              <w:top w:val="single" w:sz="4" w:space="0" w:color="auto"/>
              <w:bottom w:val="single" w:sz="4" w:space="0" w:color="auto"/>
            </w:tcBorders>
            <w:vAlign w:val="center"/>
          </w:tcPr>
          <w:p w14:paraId="6D49638E" w14:textId="77777777" w:rsidR="0048679D" w:rsidRPr="00A538DD" w:rsidRDefault="0048679D">
            <w:pPr>
              <w:spacing w:before="0"/>
              <w:jc w:val="right"/>
            </w:pPr>
            <w:r w:rsidRPr="00A538DD">
              <w:t>12 241</w:t>
            </w:r>
          </w:p>
        </w:tc>
      </w:tr>
    </w:tbl>
    <w:p w14:paraId="62AB8D7F" w14:textId="77777777" w:rsidR="0048679D" w:rsidRPr="00A538DD" w:rsidRDefault="0048679D"/>
    <w:p w14:paraId="6A60283C" w14:textId="77777777" w:rsidR="0048679D" w:rsidRPr="00A538DD" w:rsidRDefault="0048679D">
      <w:r w:rsidRPr="00A538DD">
        <w:t>Riksbankens innehav av särskilda dragningsrätter (SDR) uppgår till 135 mi</w:t>
      </w:r>
      <w:r w:rsidRPr="00A538DD">
        <w:t>l</w:t>
      </w:r>
      <w:r w:rsidRPr="00A538DD">
        <w:t>joner SDR. Riksbankens totala insatskapital (kvoten) i den internationella valutafonden (IMF) uppgår till 2 395,5 miljoner SDR och nettoredovisas med valutafondens konto för svenska kronor under posten reservposition i IMF.</w:t>
      </w:r>
    </w:p>
    <w:p w14:paraId="05F4839B" w14:textId="77777777" w:rsidR="0048679D" w:rsidRPr="00A538DD" w:rsidRDefault="0048679D">
      <w:pPr>
        <w:pStyle w:val="Normaltindrag"/>
      </w:pPr>
      <w:r w:rsidRPr="00A538DD">
        <w:t>Posten övriga fordringar avser en räntefri insättning hos IMF som förvalt</w:t>
      </w:r>
      <w:r w:rsidRPr="00A538DD">
        <w:t>a</w:t>
      </w:r>
      <w:r w:rsidRPr="00A538DD">
        <w:t>re av bidrag för IMF:s andel av skuldlättnadsinitiativet HIPC (Heavily I</w:t>
      </w:r>
      <w:r w:rsidRPr="00A538DD">
        <w:t>n</w:t>
      </w:r>
      <w:r w:rsidRPr="00A538DD">
        <w:t>depted Poor Countries) samt för fondens mjuka utlåning. Insättningen om totalt 18,6 miljoner SDR ska vara återbetald 2019-01-01.</w:t>
      </w:r>
    </w:p>
    <w:p w14:paraId="106983D0" w14:textId="77777777" w:rsidR="0048679D" w:rsidRPr="00A538DD" w:rsidRDefault="0048679D"/>
    <w:p w14:paraId="3AF28660" w14:textId="77777777" w:rsidR="0048679D" w:rsidRPr="00A538DD" w:rsidRDefault="0048679D">
      <w:pPr>
        <w:rPr>
          <w:b/>
        </w:rPr>
      </w:pPr>
      <w:r w:rsidRPr="00A538DD">
        <w:rPr>
          <w:b/>
        </w:rPr>
        <w:t>Not 3 Banktillgodohavanden och värdepapper</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28FC194E" w14:textId="77777777">
        <w:tblPrEx>
          <w:tblCellMar>
            <w:top w:w="0" w:type="dxa"/>
            <w:bottom w:w="0" w:type="dxa"/>
          </w:tblCellMar>
        </w:tblPrEx>
        <w:trPr>
          <w:cantSplit/>
          <w:trHeight w:val="369"/>
        </w:trPr>
        <w:tc>
          <w:tcPr>
            <w:tcW w:w="2835" w:type="dxa"/>
            <w:tcBorders>
              <w:top w:val="single" w:sz="4" w:space="0" w:color="auto"/>
            </w:tcBorders>
          </w:tcPr>
          <w:p w14:paraId="0519D31E" w14:textId="77777777" w:rsidR="0048679D" w:rsidRPr="00A538DD" w:rsidRDefault="0048679D">
            <w:pPr>
              <w:jc w:val="right"/>
              <w:rPr>
                <w:rFonts w:ascii="Syntax" w:hAnsi="Syntax"/>
              </w:rPr>
            </w:pPr>
          </w:p>
        </w:tc>
        <w:tc>
          <w:tcPr>
            <w:tcW w:w="1531" w:type="dxa"/>
            <w:tcBorders>
              <w:top w:val="single" w:sz="4" w:space="0" w:color="auto"/>
            </w:tcBorders>
            <w:vAlign w:val="center"/>
          </w:tcPr>
          <w:p w14:paraId="4AC4C8E4"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7A5BA5FF" w14:textId="77777777" w:rsidR="0048679D" w:rsidRPr="00A538DD" w:rsidRDefault="0048679D">
            <w:pPr>
              <w:spacing w:before="0"/>
              <w:jc w:val="right"/>
            </w:pPr>
            <w:r w:rsidRPr="00A538DD">
              <w:t>2003-12-31</w:t>
            </w:r>
          </w:p>
        </w:tc>
      </w:tr>
      <w:tr w:rsidR="00000000" w:rsidRPr="00A538DD" w14:paraId="160170D8" w14:textId="77777777">
        <w:tblPrEx>
          <w:tblCellMar>
            <w:top w:w="0" w:type="dxa"/>
            <w:bottom w:w="0" w:type="dxa"/>
          </w:tblCellMar>
        </w:tblPrEx>
        <w:trPr>
          <w:cantSplit/>
        </w:trPr>
        <w:tc>
          <w:tcPr>
            <w:tcW w:w="2835" w:type="dxa"/>
            <w:tcBorders>
              <w:top w:val="single" w:sz="4" w:space="0" w:color="auto"/>
            </w:tcBorders>
          </w:tcPr>
          <w:p w14:paraId="6A638DF0" w14:textId="77777777" w:rsidR="0048679D" w:rsidRPr="00A538DD" w:rsidRDefault="0048679D">
            <w:pPr>
              <w:spacing w:before="0"/>
            </w:pPr>
            <w:r w:rsidRPr="00A538DD">
              <w:t>Banktillgodohavanden</w:t>
            </w:r>
          </w:p>
        </w:tc>
        <w:tc>
          <w:tcPr>
            <w:tcW w:w="1531" w:type="dxa"/>
            <w:tcBorders>
              <w:top w:val="single" w:sz="4" w:space="0" w:color="auto"/>
            </w:tcBorders>
          </w:tcPr>
          <w:p w14:paraId="084930C5" w14:textId="77777777" w:rsidR="0048679D" w:rsidRPr="00A538DD" w:rsidRDefault="0048679D">
            <w:pPr>
              <w:spacing w:before="0"/>
              <w:jc w:val="right"/>
            </w:pPr>
            <w:r w:rsidRPr="00A538DD">
              <w:t>13 270</w:t>
            </w:r>
          </w:p>
        </w:tc>
        <w:tc>
          <w:tcPr>
            <w:tcW w:w="1531" w:type="dxa"/>
            <w:tcBorders>
              <w:top w:val="single" w:sz="4" w:space="0" w:color="auto"/>
            </w:tcBorders>
          </w:tcPr>
          <w:p w14:paraId="7AE09D5A" w14:textId="77777777" w:rsidR="0048679D" w:rsidRPr="00A538DD" w:rsidRDefault="0048679D">
            <w:pPr>
              <w:spacing w:before="0"/>
              <w:jc w:val="right"/>
            </w:pPr>
            <w:r w:rsidRPr="00A538DD">
              <w:t>8 329</w:t>
            </w:r>
          </w:p>
        </w:tc>
      </w:tr>
      <w:tr w:rsidR="00000000" w:rsidRPr="00A538DD" w14:paraId="343E6331" w14:textId="77777777">
        <w:tblPrEx>
          <w:tblCellMar>
            <w:top w:w="0" w:type="dxa"/>
            <w:bottom w:w="0" w:type="dxa"/>
          </w:tblCellMar>
        </w:tblPrEx>
        <w:trPr>
          <w:cantSplit/>
          <w:trHeight w:val="234"/>
        </w:trPr>
        <w:tc>
          <w:tcPr>
            <w:tcW w:w="2835" w:type="dxa"/>
          </w:tcPr>
          <w:p w14:paraId="5052DEB7" w14:textId="77777777" w:rsidR="0048679D" w:rsidRPr="00A538DD" w:rsidRDefault="0048679D">
            <w:pPr>
              <w:spacing w:before="0"/>
            </w:pPr>
            <w:r w:rsidRPr="00A538DD">
              <w:t>Värdepapper</w:t>
            </w:r>
          </w:p>
        </w:tc>
        <w:tc>
          <w:tcPr>
            <w:tcW w:w="1531" w:type="dxa"/>
          </w:tcPr>
          <w:p w14:paraId="163700ED" w14:textId="77777777" w:rsidR="0048679D" w:rsidRPr="00A538DD" w:rsidRDefault="0048679D">
            <w:pPr>
              <w:spacing w:before="0"/>
              <w:jc w:val="right"/>
            </w:pPr>
            <w:r w:rsidRPr="00A538DD">
              <w:t>121 838</w:t>
            </w:r>
          </w:p>
        </w:tc>
        <w:tc>
          <w:tcPr>
            <w:tcW w:w="1531" w:type="dxa"/>
          </w:tcPr>
          <w:p w14:paraId="572B53E5" w14:textId="77777777" w:rsidR="0048679D" w:rsidRPr="00A538DD" w:rsidRDefault="0048679D">
            <w:pPr>
              <w:spacing w:before="0"/>
              <w:jc w:val="right"/>
            </w:pPr>
            <w:r w:rsidRPr="00A538DD">
              <w:t>120 702</w:t>
            </w:r>
          </w:p>
        </w:tc>
      </w:tr>
      <w:tr w:rsidR="00000000" w:rsidRPr="00A538DD" w14:paraId="4D1726BB"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587010F6"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5E47961E" w14:textId="77777777" w:rsidR="0048679D" w:rsidRPr="00A538DD" w:rsidRDefault="0048679D">
            <w:pPr>
              <w:spacing w:before="0"/>
              <w:jc w:val="right"/>
            </w:pPr>
            <w:r w:rsidRPr="00A538DD">
              <w:t>135 108</w:t>
            </w:r>
          </w:p>
        </w:tc>
        <w:tc>
          <w:tcPr>
            <w:tcW w:w="1531" w:type="dxa"/>
            <w:tcBorders>
              <w:top w:val="single" w:sz="4" w:space="0" w:color="auto"/>
              <w:bottom w:val="single" w:sz="4" w:space="0" w:color="auto"/>
            </w:tcBorders>
            <w:vAlign w:val="center"/>
          </w:tcPr>
          <w:p w14:paraId="7B56D430" w14:textId="77777777" w:rsidR="0048679D" w:rsidRPr="00A538DD" w:rsidRDefault="0048679D">
            <w:pPr>
              <w:spacing w:before="0"/>
              <w:jc w:val="right"/>
            </w:pPr>
            <w:r w:rsidRPr="00A538DD">
              <w:t>129 031</w:t>
            </w:r>
          </w:p>
        </w:tc>
      </w:tr>
    </w:tbl>
    <w:p w14:paraId="0C359FFD" w14:textId="77777777" w:rsidR="0048679D" w:rsidRPr="00A538DD" w:rsidRDefault="0048679D">
      <w:r w:rsidRPr="00A538DD">
        <w:t>Denna post består till övervägande del av utländska statspapper och statsg</w:t>
      </w:r>
      <w:r w:rsidRPr="00A538DD">
        <w:t>a</w:t>
      </w:r>
      <w:r w:rsidRPr="00A538DD">
        <w:t>ranterade värdepapper samt därutöver av tillgodohavanden i utländska banker såsom deposits och nostrokonton. Värdepappren är denominerade i amer</w:t>
      </w:r>
      <w:r w:rsidRPr="00A538DD">
        <w:t>i</w:t>
      </w:r>
      <w:r w:rsidRPr="00A538DD">
        <w:t>kanska dollar, euro, brittiska pund, japanska yen, kanadensiska dollar och australiska dollar. Under denna post redovisas även TARGET/E-RIX saldon netto.</w:t>
      </w:r>
    </w:p>
    <w:p w14:paraId="00476E67" w14:textId="77777777" w:rsidR="0048679D" w:rsidRPr="00A538DD" w:rsidRDefault="0048679D">
      <w:pPr>
        <w:rPr>
          <w:b/>
        </w:rPr>
      </w:pPr>
    </w:p>
    <w:p w14:paraId="4F630F74" w14:textId="77777777" w:rsidR="0048679D" w:rsidRPr="00A538DD" w:rsidRDefault="0048679D">
      <w:pPr>
        <w:rPr>
          <w:b/>
        </w:rPr>
      </w:pPr>
      <w:r w:rsidRPr="00A538DD">
        <w:rPr>
          <w:b/>
        </w:rPr>
        <w:t>Not 4 Huvudsakliga refinansieringstransaktioner</w:t>
      </w:r>
    </w:p>
    <w:p w14:paraId="2654AB29" w14:textId="77777777" w:rsidR="0048679D" w:rsidRPr="00A538DD" w:rsidRDefault="0048679D">
      <w:r w:rsidRPr="00A538DD">
        <w:t>Under denna post redovisas Riksbankens regelbundna penningpolitiska rep</w:t>
      </w:r>
      <w:r w:rsidRPr="00A538DD">
        <w:t>o</w:t>
      </w:r>
      <w:r w:rsidRPr="00A538DD">
        <w:t>transaktioner. Minskningen beror främst på att utdelningen till statsverket under 2004, om totalt 6 100 miljoner kronor, finansierades genom en mins</w:t>
      </w:r>
      <w:r w:rsidRPr="00A538DD">
        <w:t>k</w:t>
      </w:r>
      <w:r w:rsidRPr="00A538DD">
        <w:t>ning av den penningpolitiska repan.</w:t>
      </w:r>
    </w:p>
    <w:p w14:paraId="193719D7" w14:textId="77777777" w:rsidR="0048679D" w:rsidRPr="00A538DD" w:rsidRDefault="0048679D"/>
    <w:p w14:paraId="71E70DB1" w14:textId="77777777" w:rsidR="0048679D" w:rsidRPr="00A538DD" w:rsidRDefault="0048679D">
      <w:pPr>
        <w:rPr>
          <w:b/>
        </w:rPr>
      </w:pPr>
      <w:r w:rsidRPr="00A538DD">
        <w:rPr>
          <w:b/>
        </w:rPr>
        <w:t>Not 5 Finjusterande transaktioner</w:t>
      </w:r>
    </w:p>
    <w:p w14:paraId="48052F2B" w14:textId="77777777" w:rsidR="0048679D" w:rsidRPr="00A538DD" w:rsidRDefault="0048679D">
      <w:r w:rsidRPr="00A538DD">
        <w:t xml:space="preserve">Under denna post redovisas utlåning vars syfte är att finjustera likviditeten i det finansiella systemet. </w:t>
      </w:r>
    </w:p>
    <w:p w14:paraId="09EF65CF" w14:textId="77777777" w:rsidR="0048679D" w:rsidRPr="00A538DD" w:rsidRDefault="0048679D"/>
    <w:p w14:paraId="402159DE" w14:textId="77777777" w:rsidR="0048679D" w:rsidRPr="00A538DD" w:rsidRDefault="0048679D">
      <w:pPr>
        <w:rPr>
          <w:b/>
        </w:rPr>
      </w:pPr>
      <w:r w:rsidRPr="00A538DD">
        <w:rPr>
          <w:b/>
        </w:rPr>
        <w:t>Not 6 Utlåningsfacilitet</w:t>
      </w:r>
    </w:p>
    <w:p w14:paraId="5A815ECE" w14:textId="77777777" w:rsidR="0048679D" w:rsidRPr="00A538DD" w:rsidRDefault="0048679D">
      <w:r w:rsidRPr="00A538DD">
        <w:t>Under denna post redovisas utlåning över natten till bankerna på deras K-RIX konton i Riksbanken.</w:t>
      </w:r>
    </w:p>
    <w:p w14:paraId="301EF7C7" w14:textId="77777777" w:rsidR="0048679D" w:rsidRPr="00A538DD" w:rsidRDefault="0048679D"/>
    <w:p w14:paraId="2F145932" w14:textId="77777777" w:rsidR="0048679D" w:rsidRPr="00A538DD" w:rsidRDefault="0048679D">
      <w:pPr>
        <w:rPr>
          <w:b/>
        </w:rPr>
      </w:pPr>
      <w:r w:rsidRPr="00A538DD">
        <w:rPr>
          <w:b/>
        </w:rPr>
        <w:t>Not 7 Materiella och immateriella anläggningstillgångar</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19DEB4D3" w14:textId="77777777">
        <w:tblPrEx>
          <w:tblCellMar>
            <w:top w:w="0" w:type="dxa"/>
            <w:bottom w:w="0" w:type="dxa"/>
          </w:tblCellMar>
        </w:tblPrEx>
        <w:trPr>
          <w:cantSplit/>
          <w:trHeight w:val="369"/>
        </w:trPr>
        <w:tc>
          <w:tcPr>
            <w:tcW w:w="2835" w:type="dxa"/>
            <w:tcBorders>
              <w:top w:val="single" w:sz="4" w:space="0" w:color="auto"/>
              <w:bottom w:val="single" w:sz="4" w:space="0" w:color="auto"/>
            </w:tcBorders>
          </w:tcPr>
          <w:p w14:paraId="3AAEAD14"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5A32B0E8" w14:textId="77777777" w:rsidR="0048679D" w:rsidRPr="00A538DD" w:rsidRDefault="0048679D">
            <w:pPr>
              <w:spacing w:before="0"/>
              <w:jc w:val="right"/>
            </w:pPr>
            <w:r w:rsidRPr="00A538DD">
              <w:t>2004-12-31</w:t>
            </w:r>
          </w:p>
        </w:tc>
        <w:tc>
          <w:tcPr>
            <w:tcW w:w="1531" w:type="dxa"/>
            <w:tcBorders>
              <w:top w:val="single" w:sz="4" w:space="0" w:color="auto"/>
              <w:bottom w:val="single" w:sz="4" w:space="0" w:color="auto"/>
            </w:tcBorders>
            <w:vAlign w:val="center"/>
          </w:tcPr>
          <w:p w14:paraId="65B9898C" w14:textId="77777777" w:rsidR="0048679D" w:rsidRPr="00A538DD" w:rsidRDefault="0048679D">
            <w:pPr>
              <w:spacing w:before="0"/>
              <w:jc w:val="right"/>
            </w:pPr>
            <w:r w:rsidRPr="00A538DD">
              <w:t>2003-12-31</w:t>
            </w:r>
          </w:p>
        </w:tc>
      </w:tr>
      <w:tr w:rsidR="00000000" w:rsidRPr="00A538DD" w14:paraId="06375A6A" w14:textId="77777777">
        <w:tblPrEx>
          <w:tblCellMar>
            <w:top w:w="0" w:type="dxa"/>
            <w:bottom w:w="0" w:type="dxa"/>
          </w:tblCellMar>
        </w:tblPrEx>
        <w:trPr>
          <w:cantSplit/>
        </w:trPr>
        <w:tc>
          <w:tcPr>
            <w:tcW w:w="2835" w:type="dxa"/>
          </w:tcPr>
          <w:p w14:paraId="0FCBCAE3" w14:textId="77777777" w:rsidR="0048679D" w:rsidRPr="00A538DD" w:rsidRDefault="0048679D">
            <w:pPr>
              <w:spacing w:before="0"/>
              <w:rPr>
                <w:b/>
              </w:rPr>
            </w:pPr>
            <w:r w:rsidRPr="00A538DD">
              <w:rPr>
                <w:b/>
              </w:rPr>
              <w:t>Byggnader och mark</w:t>
            </w:r>
          </w:p>
        </w:tc>
        <w:tc>
          <w:tcPr>
            <w:tcW w:w="1531" w:type="dxa"/>
          </w:tcPr>
          <w:p w14:paraId="18331DD7" w14:textId="77777777" w:rsidR="0048679D" w:rsidRPr="00A538DD" w:rsidRDefault="0048679D">
            <w:pPr>
              <w:spacing w:before="0"/>
              <w:jc w:val="right"/>
            </w:pPr>
          </w:p>
        </w:tc>
        <w:tc>
          <w:tcPr>
            <w:tcW w:w="1531" w:type="dxa"/>
          </w:tcPr>
          <w:p w14:paraId="7C0C7D7F" w14:textId="77777777" w:rsidR="0048679D" w:rsidRPr="00A538DD" w:rsidRDefault="0048679D">
            <w:pPr>
              <w:spacing w:before="0"/>
              <w:jc w:val="right"/>
            </w:pPr>
          </w:p>
        </w:tc>
      </w:tr>
      <w:tr w:rsidR="00000000" w:rsidRPr="00A538DD" w14:paraId="179CB905" w14:textId="77777777">
        <w:tblPrEx>
          <w:tblCellMar>
            <w:top w:w="0" w:type="dxa"/>
            <w:bottom w:w="0" w:type="dxa"/>
          </w:tblCellMar>
        </w:tblPrEx>
        <w:trPr>
          <w:cantSplit/>
        </w:trPr>
        <w:tc>
          <w:tcPr>
            <w:tcW w:w="2835" w:type="dxa"/>
          </w:tcPr>
          <w:p w14:paraId="14944FEE" w14:textId="77777777" w:rsidR="0048679D" w:rsidRPr="00A538DD" w:rsidRDefault="0048679D">
            <w:pPr>
              <w:spacing w:before="0"/>
            </w:pPr>
            <w:r w:rsidRPr="00A538DD">
              <w:t>Anskaffningsvärde</w:t>
            </w:r>
          </w:p>
        </w:tc>
        <w:tc>
          <w:tcPr>
            <w:tcW w:w="1531" w:type="dxa"/>
          </w:tcPr>
          <w:p w14:paraId="18CB1283" w14:textId="77777777" w:rsidR="0048679D" w:rsidRPr="00A538DD" w:rsidRDefault="0048679D">
            <w:pPr>
              <w:spacing w:before="0"/>
              <w:jc w:val="right"/>
            </w:pPr>
            <w:r w:rsidRPr="00A538DD">
              <w:t>340</w:t>
            </w:r>
          </w:p>
        </w:tc>
        <w:tc>
          <w:tcPr>
            <w:tcW w:w="1531" w:type="dxa"/>
          </w:tcPr>
          <w:p w14:paraId="4191F625" w14:textId="77777777" w:rsidR="0048679D" w:rsidRPr="00A538DD" w:rsidRDefault="0048679D">
            <w:pPr>
              <w:spacing w:before="0"/>
              <w:jc w:val="right"/>
            </w:pPr>
            <w:r w:rsidRPr="00A538DD">
              <w:t>331</w:t>
            </w:r>
          </w:p>
        </w:tc>
      </w:tr>
      <w:tr w:rsidR="00000000" w:rsidRPr="00A538DD" w14:paraId="3ACE72ED" w14:textId="77777777">
        <w:tblPrEx>
          <w:tblCellMar>
            <w:top w:w="0" w:type="dxa"/>
            <w:bottom w:w="0" w:type="dxa"/>
          </w:tblCellMar>
        </w:tblPrEx>
        <w:trPr>
          <w:cantSplit/>
        </w:trPr>
        <w:tc>
          <w:tcPr>
            <w:tcW w:w="2835" w:type="dxa"/>
          </w:tcPr>
          <w:p w14:paraId="7272A48B" w14:textId="77777777" w:rsidR="0048679D" w:rsidRPr="00A538DD" w:rsidRDefault="0048679D">
            <w:pPr>
              <w:spacing w:before="0"/>
            </w:pPr>
            <w:r w:rsidRPr="00A538DD">
              <w:t>Ackumulerade avskrivningar</w:t>
            </w:r>
          </w:p>
        </w:tc>
        <w:tc>
          <w:tcPr>
            <w:tcW w:w="1531" w:type="dxa"/>
            <w:tcBorders>
              <w:bottom w:val="single" w:sz="4" w:space="0" w:color="auto"/>
            </w:tcBorders>
          </w:tcPr>
          <w:p w14:paraId="331F5D63" w14:textId="77777777" w:rsidR="0048679D" w:rsidRPr="00A538DD" w:rsidRDefault="0048679D">
            <w:pPr>
              <w:spacing w:before="0"/>
              <w:jc w:val="right"/>
            </w:pPr>
            <w:r w:rsidRPr="00A538DD">
              <w:t>–98</w:t>
            </w:r>
          </w:p>
        </w:tc>
        <w:tc>
          <w:tcPr>
            <w:tcW w:w="1531" w:type="dxa"/>
            <w:tcBorders>
              <w:bottom w:val="single" w:sz="4" w:space="0" w:color="auto"/>
            </w:tcBorders>
          </w:tcPr>
          <w:p w14:paraId="554E603A" w14:textId="77777777" w:rsidR="0048679D" w:rsidRPr="00A538DD" w:rsidRDefault="0048679D">
            <w:pPr>
              <w:spacing w:before="0"/>
              <w:jc w:val="right"/>
            </w:pPr>
            <w:r w:rsidRPr="00A538DD">
              <w:t>–90</w:t>
            </w:r>
          </w:p>
        </w:tc>
      </w:tr>
      <w:tr w:rsidR="00000000" w:rsidRPr="00A538DD" w14:paraId="1EB75A68" w14:textId="77777777">
        <w:tblPrEx>
          <w:tblCellMar>
            <w:top w:w="0" w:type="dxa"/>
            <w:bottom w:w="0" w:type="dxa"/>
          </w:tblCellMar>
        </w:tblPrEx>
        <w:trPr>
          <w:cantSplit/>
        </w:trPr>
        <w:tc>
          <w:tcPr>
            <w:tcW w:w="2835" w:type="dxa"/>
          </w:tcPr>
          <w:p w14:paraId="1D1BD07B" w14:textId="77777777" w:rsidR="0048679D" w:rsidRPr="00A538DD" w:rsidRDefault="0048679D">
            <w:pPr>
              <w:spacing w:before="0"/>
            </w:pPr>
            <w:r w:rsidRPr="00A538DD">
              <w:t>Bokfört värde byggnader och mark</w:t>
            </w:r>
          </w:p>
        </w:tc>
        <w:tc>
          <w:tcPr>
            <w:tcW w:w="1531" w:type="dxa"/>
          </w:tcPr>
          <w:p w14:paraId="4F19C51E" w14:textId="77777777" w:rsidR="0048679D" w:rsidRPr="00A538DD" w:rsidRDefault="0048679D">
            <w:pPr>
              <w:spacing w:before="0"/>
              <w:jc w:val="right"/>
            </w:pPr>
            <w:r w:rsidRPr="00A538DD">
              <w:t>242</w:t>
            </w:r>
          </w:p>
        </w:tc>
        <w:tc>
          <w:tcPr>
            <w:tcW w:w="1531" w:type="dxa"/>
          </w:tcPr>
          <w:p w14:paraId="2AABDFD9" w14:textId="77777777" w:rsidR="0048679D" w:rsidRPr="00A538DD" w:rsidRDefault="0048679D">
            <w:pPr>
              <w:spacing w:before="0"/>
              <w:jc w:val="right"/>
            </w:pPr>
            <w:r w:rsidRPr="00A538DD">
              <w:t>241</w:t>
            </w:r>
          </w:p>
        </w:tc>
      </w:tr>
      <w:tr w:rsidR="00000000" w:rsidRPr="00A538DD" w14:paraId="24E5A554" w14:textId="77777777">
        <w:tblPrEx>
          <w:tblCellMar>
            <w:top w:w="0" w:type="dxa"/>
            <w:bottom w:w="0" w:type="dxa"/>
          </w:tblCellMar>
        </w:tblPrEx>
        <w:trPr>
          <w:cantSplit/>
        </w:trPr>
        <w:tc>
          <w:tcPr>
            <w:tcW w:w="2835" w:type="dxa"/>
          </w:tcPr>
          <w:p w14:paraId="7B1401B3" w14:textId="77777777" w:rsidR="0048679D" w:rsidRPr="00A538DD" w:rsidRDefault="0048679D">
            <w:pPr>
              <w:spacing w:before="0"/>
              <w:rPr>
                <w:b/>
              </w:rPr>
            </w:pPr>
            <w:r w:rsidRPr="00A538DD">
              <w:rPr>
                <w:b/>
              </w:rPr>
              <w:t>Maskiner och inventarier</w:t>
            </w:r>
          </w:p>
        </w:tc>
        <w:tc>
          <w:tcPr>
            <w:tcW w:w="1531" w:type="dxa"/>
          </w:tcPr>
          <w:p w14:paraId="49921987" w14:textId="77777777" w:rsidR="0048679D" w:rsidRPr="00A538DD" w:rsidRDefault="0048679D">
            <w:pPr>
              <w:spacing w:before="0"/>
              <w:jc w:val="right"/>
            </w:pPr>
          </w:p>
        </w:tc>
        <w:tc>
          <w:tcPr>
            <w:tcW w:w="1531" w:type="dxa"/>
          </w:tcPr>
          <w:p w14:paraId="04EA204C" w14:textId="77777777" w:rsidR="0048679D" w:rsidRPr="00A538DD" w:rsidRDefault="0048679D">
            <w:pPr>
              <w:spacing w:before="0"/>
              <w:jc w:val="right"/>
            </w:pPr>
          </w:p>
        </w:tc>
      </w:tr>
      <w:tr w:rsidR="00000000" w:rsidRPr="00A538DD" w14:paraId="07613F36" w14:textId="77777777">
        <w:tblPrEx>
          <w:tblCellMar>
            <w:top w:w="0" w:type="dxa"/>
            <w:bottom w:w="0" w:type="dxa"/>
          </w:tblCellMar>
        </w:tblPrEx>
        <w:trPr>
          <w:cantSplit/>
        </w:trPr>
        <w:tc>
          <w:tcPr>
            <w:tcW w:w="2835" w:type="dxa"/>
          </w:tcPr>
          <w:p w14:paraId="19045751" w14:textId="77777777" w:rsidR="0048679D" w:rsidRPr="00A538DD" w:rsidRDefault="0048679D">
            <w:pPr>
              <w:spacing w:before="0"/>
            </w:pPr>
            <w:r w:rsidRPr="00A538DD">
              <w:t>Anskaffningsvärde</w:t>
            </w:r>
          </w:p>
        </w:tc>
        <w:tc>
          <w:tcPr>
            <w:tcW w:w="1531" w:type="dxa"/>
          </w:tcPr>
          <w:p w14:paraId="5696830F" w14:textId="77777777" w:rsidR="0048679D" w:rsidRPr="00A538DD" w:rsidRDefault="0048679D">
            <w:pPr>
              <w:spacing w:before="0"/>
              <w:jc w:val="right"/>
            </w:pPr>
            <w:r w:rsidRPr="00A538DD">
              <w:t>532</w:t>
            </w:r>
          </w:p>
        </w:tc>
        <w:tc>
          <w:tcPr>
            <w:tcW w:w="1531" w:type="dxa"/>
          </w:tcPr>
          <w:p w14:paraId="672EBEF9" w14:textId="77777777" w:rsidR="0048679D" w:rsidRPr="00A538DD" w:rsidRDefault="0048679D">
            <w:pPr>
              <w:spacing w:before="0"/>
              <w:jc w:val="right"/>
            </w:pPr>
            <w:r w:rsidRPr="00A538DD">
              <w:t>492</w:t>
            </w:r>
          </w:p>
        </w:tc>
      </w:tr>
      <w:tr w:rsidR="00000000" w:rsidRPr="00A538DD" w14:paraId="37A2BB2D" w14:textId="77777777">
        <w:tblPrEx>
          <w:tblCellMar>
            <w:top w:w="0" w:type="dxa"/>
            <w:bottom w:w="0" w:type="dxa"/>
          </w:tblCellMar>
        </w:tblPrEx>
        <w:trPr>
          <w:cantSplit/>
        </w:trPr>
        <w:tc>
          <w:tcPr>
            <w:tcW w:w="2835" w:type="dxa"/>
          </w:tcPr>
          <w:p w14:paraId="38C2AB8C" w14:textId="77777777" w:rsidR="0048679D" w:rsidRPr="00A538DD" w:rsidRDefault="0048679D">
            <w:pPr>
              <w:spacing w:before="0"/>
            </w:pPr>
            <w:r w:rsidRPr="00A538DD">
              <w:t>Ackumulerade avskrivningar</w:t>
            </w:r>
          </w:p>
        </w:tc>
        <w:tc>
          <w:tcPr>
            <w:tcW w:w="1531" w:type="dxa"/>
            <w:tcBorders>
              <w:bottom w:val="single" w:sz="4" w:space="0" w:color="auto"/>
            </w:tcBorders>
          </w:tcPr>
          <w:p w14:paraId="1F3BE4CA" w14:textId="77777777" w:rsidR="0048679D" w:rsidRPr="00A538DD" w:rsidRDefault="0048679D">
            <w:pPr>
              <w:spacing w:before="0"/>
              <w:jc w:val="right"/>
            </w:pPr>
            <w:r w:rsidRPr="00A538DD">
              <w:t>–236</w:t>
            </w:r>
          </w:p>
        </w:tc>
        <w:tc>
          <w:tcPr>
            <w:tcW w:w="1531" w:type="dxa"/>
            <w:tcBorders>
              <w:bottom w:val="single" w:sz="4" w:space="0" w:color="auto"/>
            </w:tcBorders>
          </w:tcPr>
          <w:p w14:paraId="57C4E56F" w14:textId="77777777" w:rsidR="0048679D" w:rsidRPr="00A538DD" w:rsidRDefault="0048679D">
            <w:pPr>
              <w:spacing w:before="0"/>
              <w:jc w:val="right"/>
            </w:pPr>
            <w:r w:rsidRPr="00A538DD">
              <w:t>–224</w:t>
            </w:r>
          </w:p>
        </w:tc>
      </w:tr>
      <w:tr w:rsidR="00000000" w:rsidRPr="00A538DD" w14:paraId="1E626E3C" w14:textId="77777777">
        <w:tblPrEx>
          <w:tblCellMar>
            <w:top w:w="0" w:type="dxa"/>
            <w:bottom w:w="0" w:type="dxa"/>
          </w:tblCellMar>
        </w:tblPrEx>
        <w:trPr>
          <w:cantSplit/>
        </w:trPr>
        <w:tc>
          <w:tcPr>
            <w:tcW w:w="2835" w:type="dxa"/>
            <w:tcBorders>
              <w:bottom w:val="single" w:sz="4" w:space="0" w:color="auto"/>
            </w:tcBorders>
          </w:tcPr>
          <w:p w14:paraId="78F37DBE" w14:textId="77777777" w:rsidR="0048679D" w:rsidRPr="00A538DD" w:rsidRDefault="0048679D">
            <w:pPr>
              <w:spacing w:before="0"/>
              <w:jc w:val="left"/>
            </w:pPr>
            <w:r w:rsidRPr="00A538DD">
              <w:t>Bokfört värde maskiner och i</w:t>
            </w:r>
            <w:r w:rsidRPr="00A538DD">
              <w:t>n</w:t>
            </w:r>
            <w:r w:rsidRPr="00A538DD">
              <w:t>ventarier</w:t>
            </w:r>
          </w:p>
        </w:tc>
        <w:tc>
          <w:tcPr>
            <w:tcW w:w="1531" w:type="dxa"/>
          </w:tcPr>
          <w:p w14:paraId="302BDE68" w14:textId="77777777" w:rsidR="0048679D" w:rsidRPr="00A538DD" w:rsidRDefault="0048679D">
            <w:pPr>
              <w:spacing w:before="0"/>
              <w:jc w:val="right"/>
            </w:pPr>
          </w:p>
          <w:p w14:paraId="1E000357" w14:textId="77777777" w:rsidR="0048679D" w:rsidRPr="00A538DD" w:rsidRDefault="0048679D">
            <w:pPr>
              <w:spacing w:before="0"/>
              <w:jc w:val="right"/>
            </w:pPr>
            <w:r w:rsidRPr="00A538DD">
              <w:t>296</w:t>
            </w:r>
          </w:p>
        </w:tc>
        <w:tc>
          <w:tcPr>
            <w:tcW w:w="1531" w:type="dxa"/>
          </w:tcPr>
          <w:p w14:paraId="018CE5FE" w14:textId="77777777" w:rsidR="0048679D" w:rsidRPr="00A538DD" w:rsidRDefault="0048679D">
            <w:pPr>
              <w:spacing w:before="0"/>
              <w:jc w:val="right"/>
            </w:pPr>
          </w:p>
          <w:p w14:paraId="155FFC65" w14:textId="77777777" w:rsidR="0048679D" w:rsidRPr="00A538DD" w:rsidRDefault="0048679D">
            <w:pPr>
              <w:spacing w:before="0"/>
              <w:jc w:val="right"/>
            </w:pPr>
            <w:r w:rsidRPr="00A538DD">
              <w:t>268</w:t>
            </w:r>
          </w:p>
        </w:tc>
      </w:tr>
      <w:tr w:rsidR="00000000" w:rsidRPr="00A538DD" w14:paraId="4C6DDA67"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412BB3F9"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44A4342E" w14:textId="77777777" w:rsidR="0048679D" w:rsidRPr="00A538DD" w:rsidRDefault="0048679D">
            <w:pPr>
              <w:spacing w:before="0"/>
              <w:jc w:val="right"/>
            </w:pPr>
            <w:r w:rsidRPr="00A538DD">
              <w:t>538</w:t>
            </w:r>
          </w:p>
        </w:tc>
        <w:tc>
          <w:tcPr>
            <w:tcW w:w="1531" w:type="dxa"/>
            <w:tcBorders>
              <w:top w:val="single" w:sz="4" w:space="0" w:color="auto"/>
              <w:bottom w:val="single" w:sz="4" w:space="0" w:color="auto"/>
            </w:tcBorders>
            <w:vAlign w:val="center"/>
          </w:tcPr>
          <w:p w14:paraId="6A72AD43" w14:textId="77777777" w:rsidR="0048679D" w:rsidRPr="00A538DD" w:rsidRDefault="0048679D">
            <w:pPr>
              <w:spacing w:before="0"/>
              <w:jc w:val="right"/>
            </w:pPr>
            <w:r w:rsidRPr="00A538DD">
              <w:t>509</w:t>
            </w:r>
          </w:p>
        </w:tc>
      </w:tr>
    </w:tbl>
    <w:p w14:paraId="2D606CF2" w14:textId="77777777" w:rsidR="0048679D" w:rsidRPr="00A538DD" w:rsidRDefault="0048679D"/>
    <w:p w14:paraId="67405D59" w14:textId="77777777" w:rsidR="0048679D" w:rsidRPr="00A538DD" w:rsidRDefault="0048679D">
      <w:r w:rsidRPr="00A538DD">
        <w:t>Riksbanken äger två fastigheter, huvudkontoret och Baggensnäs. I posten bokfört värde maskiner och inventarier ingår applikationssystem med 121 miljoner kronor (129). I samband med Riksbankens övertagande av kontan</w:t>
      </w:r>
      <w:r w:rsidRPr="00A538DD">
        <w:t>t</w:t>
      </w:r>
      <w:r w:rsidRPr="00A538DD">
        <w:t>verksamheten i Svensk Kontant</w:t>
      </w:r>
      <w:r w:rsidRPr="00A538DD">
        <w:softHyphen/>
        <w:t>försörjning AB den 1 oktober 2004 förvärv</w:t>
      </w:r>
      <w:r w:rsidRPr="00A538DD">
        <w:t>a</w:t>
      </w:r>
      <w:r w:rsidRPr="00A538DD">
        <w:t>de Riksbanken anläggningstillgångar av bolaget för 40 miljoner kronor. Dessutom förvärvade Riksbanken den 1 januari 2005 anläggningstillgångar av bolaget för 13 miljoner kronor i samband med övertagandet av hyresavt</w:t>
      </w:r>
      <w:r w:rsidRPr="00A538DD">
        <w:t>a</w:t>
      </w:r>
      <w:r w:rsidRPr="00A538DD">
        <w:t>let avseende kontoret i Malmö.</w:t>
      </w:r>
    </w:p>
    <w:p w14:paraId="2B4A0C94" w14:textId="77777777" w:rsidR="0048679D" w:rsidRPr="00A538DD" w:rsidRDefault="0048679D">
      <w:pPr>
        <w:rPr>
          <w:b/>
        </w:rPr>
      </w:pPr>
      <w:r w:rsidRPr="00A538DD">
        <w:br/>
      </w:r>
      <w:r w:rsidRPr="00A538DD">
        <w:rPr>
          <w:b/>
        </w:rPr>
        <w:t>Not 8 Finansiella tillgångar</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4B335430" w14:textId="77777777">
        <w:tblPrEx>
          <w:tblCellMar>
            <w:top w:w="0" w:type="dxa"/>
            <w:bottom w:w="0" w:type="dxa"/>
          </w:tblCellMar>
        </w:tblPrEx>
        <w:trPr>
          <w:cantSplit/>
          <w:trHeight w:val="369"/>
        </w:trPr>
        <w:tc>
          <w:tcPr>
            <w:tcW w:w="2835" w:type="dxa"/>
            <w:tcBorders>
              <w:top w:val="single" w:sz="4" w:space="0" w:color="auto"/>
              <w:bottom w:val="single" w:sz="4" w:space="0" w:color="auto"/>
            </w:tcBorders>
          </w:tcPr>
          <w:p w14:paraId="52D15D29"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44EFCE1A" w14:textId="77777777" w:rsidR="0048679D" w:rsidRPr="00A538DD" w:rsidRDefault="0048679D">
            <w:pPr>
              <w:spacing w:before="0"/>
              <w:jc w:val="right"/>
            </w:pPr>
            <w:r w:rsidRPr="00A538DD">
              <w:t xml:space="preserve"> 2004-12-31</w:t>
            </w:r>
          </w:p>
        </w:tc>
        <w:tc>
          <w:tcPr>
            <w:tcW w:w="1531" w:type="dxa"/>
            <w:tcBorders>
              <w:top w:val="single" w:sz="4" w:space="0" w:color="auto"/>
              <w:bottom w:val="single" w:sz="4" w:space="0" w:color="auto"/>
            </w:tcBorders>
            <w:vAlign w:val="center"/>
          </w:tcPr>
          <w:p w14:paraId="3EC29DFA" w14:textId="77777777" w:rsidR="0048679D" w:rsidRPr="00A538DD" w:rsidRDefault="0048679D">
            <w:pPr>
              <w:spacing w:before="0"/>
              <w:jc w:val="right"/>
            </w:pPr>
            <w:r w:rsidRPr="00A538DD">
              <w:t>2003-12-31</w:t>
            </w:r>
          </w:p>
        </w:tc>
      </w:tr>
      <w:tr w:rsidR="00000000" w:rsidRPr="00A538DD" w14:paraId="2C1616BC" w14:textId="77777777">
        <w:tblPrEx>
          <w:tblCellMar>
            <w:top w:w="0" w:type="dxa"/>
            <w:bottom w:w="0" w:type="dxa"/>
          </w:tblCellMar>
        </w:tblPrEx>
        <w:trPr>
          <w:cantSplit/>
        </w:trPr>
        <w:tc>
          <w:tcPr>
            <w:tcW w:w="2835" w:type="dxa"/>
          </w:tcPr>
          <w:p w14:paraId="0B31A383" w14:textId="77777777" w:rsidR="0048679D" w:rsidRPr="00A538DD" w:rsidRDefault="0048679D">
            <w:pPr>
              <w:spacing w:before="0"/>
              <w:rPr>
                <w:b/>
              </w:rPr>
            </w:pPr>
            <w:r w:rsidRPr="00A538DD">
              <w:rPr>
                <w:b/>
              </w:rPr>
              <w:t>Aktier och andelar</w:t>
            </w:r>
          </w:p>
        </w:tc>
        <w:tc>
          <w:tcPr>
            <w:tcW w:w="1531" w:type="dxa"/>
          </w:tcPr>
          <w:p w14:paraId="0A5A858D" w14:textId="77777777" w:rsidR="0048679D" w:rsidRPr="00A538DD" w:rsidRDefault="0048679D">
            <w:pPr>
              <w:spacing w:before="0"/>
            </w:pPr>
          </w:p>
        </w:tc>
        <w:tc>
          <w:tcPr>
            <w:tcW w:w="1531" w:type="dxa"/>
          </w:tcPr>
          <w:p w14:paraId="4DC22519" w14:textId="77777777" w:rsidR="0048679D" w:rsidRPr="00A538DD" w:rsidRDefault="0048679D">
            <w:pPr>
              <w:spacing w:before="0"/>
            </w:pPr>
          </w:p>
        </w:tc>
      </w:tr>
      <w:tr w:rsidR="00000000" w:rsidRPr="00A538DD" w14:paraId="63C3257D" w14:textId="77777777">
        <w:tblPrEx>
          <w:tblCellMar>
            <w:top w:w="0" w:type="dxa"/>
            <w:bottom w:w="0" w:type="dxa"/>
          </w:tblCellMar>
        </w:tblPrEx>
        <w:trPr>
          <w:cantSplit/>
        </w:trPr>
        <w:tc>
          <w:tcPr>
            <w:tcW w:w="2835" w:type="dxa"/>
          </w:tcPr>
          <w:p w14:paraId="6672FE4A" w14:textId="77777777" w:rsidR="0048679D" w:rsidRPr="00A538DD" w:rsidRDefault="0048679D">
            <w:pPr>
              <w:spacing w:before="0"/>
              <w:jc w:val="left"/>
            </w:pPr>
            <w:r w:rsidRPr="00A538DD">
              <w:t xml:space="preserve">Svensk Kontantförsörjning AB </w:t>
            </w:r>
          </w:p>
          <w:p w14:paraId="64924E79" w14:textId="77777777" w:rsidR="0048679D" w:rsidRPr="00A538DD" w:rsidRDefault="0048679D">
            <w:pPr>
              <w:spacing w:before="0"/>
              <w:jc w:val="left"/>
              <w:rPr>
                <w:sz w:val="17"/>
              </w:rPr>
            </w:pPr>
            <w:r w:rsidRPr="00A538DD">
              <w:rPr>
                <w:sz w:val="17"/>
              </w:rPr>
              <w:t>150 000 aktier à nominellt 100 kr</w:t>
            </w:r>
          </w:p>
        </w:tc>
        <w:tc>
          <w:tcPr>
            <w:tcW w:w="1531" w:type="dxa"/>
          </w:tcPr>
          <w:p w14:paraId="5BD95FE2" w14:textId="77777777" w:rsidR="0048679D" w:rsidRPr="00A538DD" w:rsidRDefault="0048679D">
            <w:pPr>
              <w:spacing w:before="0"/>
              <w:jc w:val="right"/>
            </w:pPr>
            <w:r w:rsidRPr="00A538DD">
              <w:t>61</w:t>
            </w:r>
          </w:p>
        </w:tc>
        <w:tc>
          <w:tcPr>
            <w:tcW w:w="1531" w:type="dxa"/>
          </w:tcPr>
          <w:p w14:paraId="3D403878" w14:textId="77777777" w:rsidR="0048679D" w:rsidRPr="00A538DD" w:rsidRDefault="0048679D">
            <w:pPr>
              <w:spacing w:before="0"/>
              <w:jc w:val="right"/>
            </w:pPr>
            <w:r w:rsidRPr="00A538DD">
              <w:t>0</w:t>
            </w:r>
          </w:p>
        </w:tc>
      </w:tr>
      <w:tr w:rsidR="00000000" w:rsidRPr="00A538DD" w14:paraId="2484D4B0" w14:textId="77777777">
        <w:tblPrEx>
          <w:tblCellMar>
            <w:top w:w="0" w:type="dxa"/>
            <w:bottom w:w="0" w:type="dxa"/>
          </w:tblCellMar>
        </w:tblPrEx>
        <w:trPr>
          <w:cantSplit/>
        </w:trPr>
        <w:tc>
          <w:tcPr>
            <w:tcW w:w="2835" w:type="dxa"/>
          </w:tcPr>
          <w:p w14:paraId="50821AB4" w14:textId="77777777" w:rsidR="0048679D" w:rsidRPr="00A538DD" w:rsidRDefault="0048679D">
            <w:pPr>
              <w:spacing w:before="0"/>
              <w:jc w:val="left"/>
            </w:pPr>
            <w:r w:rsidRPr="00A538DD">
              <w:t>Eskilstuna Penningsmedja AB</w:t>
            </w:r>
          </w:p>
          <w:p w14:paraId="2A47539E" w14:textId="77777777" w:rsidR="0048679D" w:rsidRPr="00A538DD" w:rsidRDefault="0048679D">
            <w:pPr>
              <w:spacing w:before="0"/>
              <w:jc w:val="left"/>
              <w:rPr>
                <w:sz w:val="18"/>
              </w:rPr>
            </w:pPr>
            <w:r w:rsidRPr="00A538DD">
              <w:rPr>
                <w:sz w:val="17"/>
              </w:rPr>
              <w:t>1 000 aktier à nominellt 100 kr</w:t>
            </w:r>
          </w:p>
        </w:tc>
        <w:tc>
          <w:tcPr>
            <w:tcW w:w="1531" w:type="dxa"/>
          </w:tcPr>
          <w:p w14:paraId="0D5FA147" w14:textId="77777777" w:rsidR="0048679D" w:rsidRPr="00A538DD" w:rsidRDefault="0048679D">
            <w:pPr>
              <w:spacing w:before="0"/>
              <w:jc w:val="right"/>
            </w:pPr>
            <w:r w:rsidRPr="00A538DD">
              <w:t>–</w:t>
            </w:r>
          </w:p>
        </w:tc>
        <w:tc>
          <w:tcPr>
            <w:tcW w:w="1531" w:type="dxa"/>
          </w:tcPr>
          <w:p w14:paraId="28BAE235" w14:textId="77777777" w:rsidR="0048679D" w:rsidRPr="00A538DD" w:rsidRDefault="0048679D">
            <w:pPr>
              <w:spacing w:before="0"/>
              <w:jc w:val="right"/>
            </w:pPr>
            <w:r w:rsidRPr="00A538DD">
              <w:t>0</w:t>
            </w:r>
          </w:p>
        </w:tc>
      </w:tr>
      <w:tr w:rsidR="00000000" w:rsidRPr="00A538DD" w14:paraId="23766FB7" w14:textId="77777777">
        <w:tblPrEx>
          <w:tblCellMar>
            <w:top w:w="0" w:type="dxa"/>
            <w:bottom w:w="0" w:type="dxa"/>
          </w:tblCellMar>
        </w:tblPrEx>
        <w:trPr>
          <w:cantSplit/>
        </w:trPr>
        <w:tc>
          <w:tcPr>
            <w:tcW w:w="2835" w:type="dxa"/>
          </w:tcPr>
          <w:p w14:paraId="16E017B7" w14:textId="77777777" w:rsidR="0048679D" w:rsidRPr="00A538DD" w:rsidRDefault="0048679D">
            <w:pPr>
              <w:spacing w:before="0"/>
              <w:jc w:val="left"/>
            </w:pPr>
            <w:r w:rsidRPr="00A538DD">
              <w:t>Tumba Kulturfastigheter AB</w:t>
            </w:r>
          </w:p>
          <w:p w14:paraId="2DFA8EAA" w14:textId="77777777" w:rsidR="0048679D" w:rsidRPr="00A538DD" w:rsidRDefault="0048679D">
            <w:pPr>
              <w:spacing w:before="0"/>
              <w:jc w:val="left"/>
              <w:rPr>
                <w:sz w:val="18"/>
              </w:rPr>
            </w:pPr>
            <w:r w:rsidRPr="00A538DD">
              <w:rPr>
                <w:sz w:val="17"/>
              </w:rPr>
              <w:t>1 000 aktier à nominellt 100 kr</w:t>
            </w:r>
          </w:p>
        </w:tc>
        <w:tc>
          <w:tcPr>
            <w:tcW w:w="1531" w:type="dxa"/>
          </w:tcPr>
          <w:p w14:paraId="003FD8AB" w14:textId="77777777" w:rsidR="0048679D" w:rsidRPr="00A538DD" w:rsidRDefault="0048679D">
            <w:pPr>
              <w:spacing w:before="0"/>
              <w:jc w:val="right"/>
            </w:pPr>
            <w:r w:rsidRPr="00A538DD">
              <w:t>0</w:t>
            </w:r>
          </w:p>
        </w:tc>
        <w:tc>
          <w:tcPr>
            <w:tcW w:w="1531" w:type="dxa"/>
          </w:tcPr>
          <w:p w14:paraId="2C67C17C" w14:textId="77777777" w:rsidR="0048679D" w:rsidRPr="00A538DD" w:rsidRDefault="0048679D">
            <w:pPr>
              <w:spacing w:before="0"/>
              <w:jc w:val="right"/>
            </w:pPr>
            <w:r w:rsidRPr="00A538DD">
              <w:t>0</w:t>
            </w:r>
          </w:p>
        </w:tc>
      </w:tr>
      <w:tr w:rsidR="00000000" w:rsidRPr="00A538DD" w14:paraId="1A8F6C43" w14:textId="77777777">
        <w:tblPrEx>
          <w:tblCellMar>
            <w:top w:w="0" w:type="dxa"/>
            <w:bottom w:w="0" w:type="dxa"/>
          </w:tblCellMar>
        </w:tblPrEx>
        <w:trPr>
          <w:cantSplit/>
        </w:trPr>
        <w:tc>
          <w:tcPr>
            <w:tcW w:w="2835" w:type="dxa"/>
          </w:tcPr>
          <w:p w14:paraId="11A89427" w14:textId="77777777" w:rsidR="0048679D" w:rsidRPr="00A538DD" w:rsidRDefault="0048679D">
            <w:pPr>
              <w:spacing w:before="0"/>
              <w:jc w:val="left"/>
            </w:pPr>
            <w:r w:rsidRPr="00A538DD">
              <w:t>Swift</w:t>
            </w:r>
          </w:p>
          <w:p w14:paraId="0B485963" w14:textId="77777777" w:rsidR="0048679D" w:rsidRPr="00A538DD" w:rsidRDefault="0048679D">
            <w:pPr>
              <w:spacing w:before="0"/>
              <w:jc w:val="left"/>
              <w:rPr>
                <w:sz w:val="18"/>
              </w:rPr>
            </w:pPr>
            <w:r w:rsidRPr="00A538DD">
              <w:rPr>
                <w:sz w:val="17"/>
              </w:rPr>
              <w:t>33 aktier à nominellt 125 EUR</w:t>
            </w:r>
          </w:p>
        </w:tc>
        <w:tc>
          <w:tcPr>
            <w:tcW w:w="1531" w:type="dxa"/>
          </w:tcPr>
          <w:p w14:paraId="7199EDCC" w14:textId="77777777" w:rsidR="0048679D" w:rsidRPr="00A538DD" w:rsidRDefault="0048679D">
            <w:pPr>
              <w:spacing w:before="0"/>
              <w:jc w:val="right"/>
            </w:pPr>
            <w:r w:rsidRPr="00A538DD">
              <w:t>0</w:t>
            </w:r>
          </w:p>
        </w:tc>
        <w:tc>
          <w:tcPr>
            <w:tcW w:w="1531" w:type="dxa"/>
          </w:tcPr>
          <w:p w14:paraId="3944AC36" w14:textId="77777777" w:rsidR="0048679D" w:rsidRPr="00A538DD" w:rsidRDefault="0048679D">
            <w:pPr>
              <w:spacing w:before="0"/>
              <w:jc w:val="right"/>
            </w:pPr>
            <w:r w:rsidRPr="00A538DD">
              <w:t>0</w:t>
            </w:r>
          </w:p>
        </w:tc>
      </w:tr>
      <w:tr w:rsidR="00000000" w:rsidRPr="00A538DD" w14:paraId="5CA807D1" w14:textId="77777777">
        <w:tblPrEx>
          <w:tblCellMar>
            <w:top w:w="0" w:type="dxa"/>
            <w:bottom w:w="0" w:type="dxa"/>
          </w:tblCellMar>
        </w:tblPrEx>
        <w:trPr>
          <w:cantSplit/>
        </w:trPr>
        <w:tc>
          <w:tcPr>
            <w:tcW w:w="2835" w:type="dxa"/>
          </w:tcPr>
          <w:p w14:paraId="0B38F540" w14:textId="77777777" w:rsidR="0048679D" w:rsidRPr="00A538DD" w:rsidRDefault="0048679D">
            <w:pPr>
              <w:spacing w:before="0"/>
              <w:jc w:val="left"/>
            </w:pPr>
            <w:r w:rsidRPr="00A538DD">
              <w:t>BIS</w:t>
            </w:r>
          </w:p>
          <w:p w14:paraId="2325407D" w14:textId="77777777" w:rsidR="0048679D" w:rsidRPr="00A538DD" w:rsidRDefault="0048679D">
            <w:pPr>
              <w:spacing w:before="0"/>
              <w:jc w:val="left"/>
            </w:pPr>
            <w:r w:rsidRPr="00A538DD">
              <w:rPr>
                <w:sz w:val="17"/>
              </w:rPr>
              <w:t>16 021 aktier à nominellt 5 000 SDR</w:t>
            </w:r>
            <w:r w:rsidRPr="00A538DD">
              <w:t xml:space="preserve"> </w:t>
            </w:r>
            <w:r w:rsidRPr="00A538DD">
              <w:rPr>
                <w:sz w:val="17"/>
              </w:rPr>
              <w:t>varav 25 % är inbetalt</w:t>
            </w:r>
          </w:p>
        </w:tc>
        <w:tc>
          <w:tcPr>
            <w:tcW w:w="1531" w:type="dxa"/>
          </w:tcPr>
          <w:p w14:paraId="6727C3A4" w14:textId="77777777" w:rsidR="0048679D" w:rsidRPr="00A538DD" w:rsidRDefault="0048679D">
            <w:pPr>
              <w:spacing w:before="0"/>
              <w:jc w:val="right"/>
            </w:pPr>
            <w:r w:rsidRPr="00A538DD">
              <w:t>267</w:t>
            </w:r>
          </w:p>
        </w:tc>
        <w:tc>
          <w:tcPr>
            <w:tcW w:w="1531" w:type="dxa"/>
          </w:tcPr>
          <w:p w14:paraId="7B89484F" w14:textId="77777777" w:rsidR="0048679D" w:rsidRPr="00A538DD" w:rsidRDefault="0048679D">
            <w:pPr>
              <w:spacing w:before="0"/>
              <w:jc w:val="right"/>
            </w:pPr>
            <w:r w:rsidRPr="00A538DD">
              <w:t>267</w:t>
            </w:r>
          </w:p>
        </w:tc>
      </w:tr>
      <w:tr w:rsidR="00000000" w:rsidRPr="00A538DD" w14:paraId="20E15D77" w14:textId="77777777">
        <w:tblPrEx>
          <w:tblCellMar>
            <w:top w:w="0" w:type="dxa"/>
            <w:bottom w:w="0" w:type="dxa"/>
          </w:tblCellMar>
        </w:tblPrEx>
        <w:trPr>
          <w:cantSplit/>
        </w:trPr>
        <w:tc>
          <w:tcPr>
            <w:tcW w:w="2835" w:type="dxa"/>
            <w:tcBorders>
              <w:bottom w:val="single" w:sz="4" w:space="0" w:color="auto"/>
            </w:tcBorders>
          </w:tcPr>
          <w:p w14:paraId="3540C65A" w14:textId="77777777" w:rsidR="0048679D" w:rsidRPr="00A538DD" w:rsidRDefault="0048679D">
            <w:pPr>
              <w:spacing w:before="0"/>
              <w:jc w:val="left"/>
            </w:pPr>
            <w:r w:rsidRPr="00A538DD">
              <w:t>Europeiska centralbanken</w:t>
            </w:r>
          </w:p>
          <w:p w14:paraId="110633FA" w14:textId="77777777" w:rsidR="0048679D" w:rsidRPr="00A538DD" w:rsidRDefault="0048679D">
            <w:pPr>
              <w:spacing w:before="0"/>
              <w:jc w:val="left"/>
            </w:pPr>
            <w:r w:rsidRPr="00A538DD">
              <w:rPr>
                <w:sz w:val="17"/>
              </w:rPr>
              <w:t>7 % (5) av 2,4133 % (2,6537) av totala andelsbeloppet</w:t>
            </w:r>
          </w:p>
        </w:tc>
        <w:tc>
          <w:tcPr>
            <w:tcW w:w="1531" w:type="dxa"/>
            <w:tcBorders>
              <w:bottom w:val="single" w:sz="4" w:space="0" w:color="auto"/>
            </w:tcBorders>
          </w:tcPr>
          <w:p w14:paraId="3604CA06" w14:textId="77777777" w:rsidR="0048679D" w:rsidRPr="00A538DD" w:rsidRDefault="0048679D">
            <w:pPr>
              <w:spacing w:before="0"/>
              <w:jc w:val="right"/>
            </w:pPr>
            <w:r w:rsidRPr="00A538DD">
              <w:t>82</w:t>
            </w:r>
          </w:p>
        </w:tc>
        <w:tc>
          <w:tcPr>
            <w:tcW w:w="1531" w:type="dxa"/>
            <w:tcBorders>
              <w:bottom w:val="single" w:sz="4" w:space="0" w:color="auto"/>
            </w:tcBorders>
          </w:tcPr>
          <w:p w14:paraId="70C7179A" w14:textId="77777777" w:rsidR="0048679D" w:rsidRPr="00A538DD" w:rsidRDefault="0048679D">
            <w:pPr>
              <w:spacing w:before="0"/>
              <w:jc w:val="right"/>
            </w:pPr>
            <w:r w:rsidRPr="00A538DD">
              <w:t>57</w:t>
            </w:r>
          </w:p>
        </w:tc>
      </w:tr>
      <w:tr w:rsidR="00000000" w:rsidRPr="00A538DD" w14:paraId="1ADE2758"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00CB7514"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18572163" w14:textId="77777777" w:rsidR="0048679D" w:rsidRPr="00A538DD" w:rsidRDefault="0048679D">
            <w:pPr>
              <w:spacing w:before="0"/>
              <w:jc w:val="right"/>
            </w:pPr>
            <w:r w:rsidRPr="00A538DD">
              <w:t>410</w:t>
            </w:r>
          </w:p>
        </w:tc>
        <w:tc>
          <w:tcPr>
            <w:tcW w:w="1531" w:type="dxa"/>
            <w:tcBorders>
              <w:top w:val="single" w:sz="4" w:space="0" w:color="auto"/>
              <w:bottom w:val="single" w:sz="4" w:space="0" w:color="auto"/>
            </w:tcBorders>
            <w:vAlign w:val="center"/>
          </w:tcPr>
          <w:p w14:paraId="61A89161" w14:textId="77777777" w:rsidR="0048679D" w:rsidRPr="00A538DD" w:rsidRDefault="0048679D">
            <w:pPr>
              <w:spacing w:before="0"/>
              <w:jc w:val="right"/>
            </w:pPr>
            <w:r w:rsidRPr="00A538DD">
              <w:t>324</w:t>
            </w:r>
          </w:p>
        </w:tc>
      </w:tr>
    </w:tbl>
    <w:p w14:paraId="579828BE" w14:textId="77777777" w:rsidR="0048679D" w:rsidRPr="00A538DD" w:rsidRDefault="0048679D"/>
    <w:p w14:paraId="035FEFB2" w14:textId="77777777" w:rsidR="0048679D" w:rsidRPr="00A538DD" w:rsidRDefault="0048679D">
      <w:r w:rsidRPr="00A538DD">
        <w:t xml:space="preserve">Under 2004 har Riksbanken bokfört 431 miljoner kronor, varav 370 miljoner kronor har utbetalats, i kapitaltillskott till Svensk Kontantförsörjning AB och Pengar i Sverige AB, vilket initialt ökade det bokförda värdet. Aktieinnehavet har därefter skrivits ned med 370 miljoner kronor varav 150 miljoner kronor var bokfört som en avsättning föregående år. </w:t>
      </w:r>
    </w:p>
    <w:p w14:paraId="127B3E02" w14:textId="77777777" w:rsidR="0048679D" w:rsidRPr="00A538DD" w:rsidRDefault="0048679D">
      <w:r w:rsidRPr="00A538DD">
        <w:t>Eskilstuna Penningsmedja AB upplöstes 2004-05-19 i samband med att likv</w:t>
      </w:r>
      <w:r w:rsidRPr="00A538DD">
        <w:t>i</w:t>
      </w:r>
      <w:r w:rsidRPr="00A538DD">
        <w:t xml:space="preserve">datorn framlade slutredovisningen. </w:t>
      </w:r>
    </w:p>
    <w:p w14:paraId="1D068B00" w14:textId="77777777" w:rsidR="0048679D" w:rsidRPr="00A538DD" w:rsidRDefault="0048679D">
      <w:r w:rsidRPr="00A538DD">
        <w:t>Riksbankens kapitalandel i Europeiska centralbanken ECB ökade med 25 000 EUR den 1 januari 2004 då fördelningsnyckeln för tecknande av ECB:s k</w:t>
      </w:r>
      <w:r w:rsidRPr="00A538DD">
        <w:t>a</w:t>
      </w:r>
      <w:r w:rsidRPr="00A538DD">
        <w:t>pital ändrades, samt med 2,7 miljoner EUR den 1 maj 2004 som ett resultat av att Riksbankens kapitalandel förändrades i anslutning till att tio nya länder blev medlemmar i EU.</w:t>
      </w:r>
    </w:p>
    <w:p w14:paraId="1F0F424A" w14:textId="77777777" w:rsidR="0048679D" w:rsidRPr="00A538DD" w:rsidRDefault="0048679D"/>
    <w:p w14:paraId="276EC8B5" w14:textId="77777777" w:rsidR="0048679D" w:rsidRPr="00A538DD" w:rsidRDefault="0048679D">
      <w:pPr>
        <w:rPr>
          <w:b/>
        </w:rPr>
      </w:pPr>
      <w:r w:rsidRPr="00A538DD">
        <w:rPr>
          <w:b/>
        </w:rPr>
        <w:t>Not 9 Förutbetalda kostnader och upplupna intäkter</w:t>
      </w:r>
    </w:p>
    <w:p w14:paraId="60168797" w14:textId="77777777" w:rsidR="0048679D" w:rsidRPr="00A538DD" w:rsidRDefault="0048679D">
      <w:r w:rsidRPr="00A538DD">
        <w:t xml:space="preserve">Under denna post redovisas förutbetalda kostnader och upplupna intäkter. </w:t>
      </w:r>
    </w:p>
    <w:p w14:paraId="5B5CA2C4" w14:textId="77777777" w:rsidR="0048679D" w:rsidRPr="00A538DD" w:rsidRDefault="0048679D">
      <w:pPr>
        <w:rPr>
          <w:b/>
        </w:rPr>
      </w:pPr>
      <w:r w:rsidRPr="00A538DD">
        <w:br w:type="page"/>
      </w:r>
      <w:r w:rsidRPr="00A538DD">
        <w:rPr>
          <w:b/>
        </w:rPr>
        <w:t>Not 10 Övriga tillgångar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3BAE7E30" w14:textId="77777777">
        <w:tblPrEx>
          <w:tblCellMar>
            <w:top w:w="0" w:type="dxa"/>
            <w:bottom w:w="0" w:type="dxa"/>
          </w:tblCellMar>
        </w:tblPrEx>
        <w:trPr>
          <w:cantSplit/>
          <w:trHeight w:val="369"/>
        </w:trPr>
        <w:tc>
          <w:tcPr>
            <w:tcW w:w="2835" w:type="dxa"/>
            <w:tcBorders>
              <w:top w:val="single" w:sz="4" w:space="0" w:color="auto"/>
            </w:tcBorders>
          </w:tcPr>
          <w:p w14:paraId="0BDD1D29" w14:textId="77777777" w:rsidR="0048679D" w:rsidRPr="00A538DD" w:rsidRDefault="0048679D">
            <w:pPr>
              <w:spacing w:before="0"/>
            </w:pPr>
          </w:p>
        </w:tc>
        <w:tc>
          <w:tcPr>
            <w:tcW w:w="1531" w:type="dxa"/>
            <w:tcBorders>
              <w:top w:val="single" w:sz="4" w:space="0" w:color="auto"/>
            </w:tcBorders>
            <w:vAlign w:val="center"/>
          </w:tcPr>
          <w:p w14:paraId="3CB46D36"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70CE76BF" w14:textId="77777777" w:rsidR="0048679D" w:rsidRPr="00A538DD" w:rsidRDefault="0048679D">
            <w:pPr>
              <w:spacing w:before="0"/>
              <w:jc w:val="right"/>
            </w:pPr>
            <w:r w:rsidRPr="00A538DD">
              <w:t>2003-12-31</w:t>
            </w:r>
          </w:p>
        </w:tc>
      </w:tr>
      <w:tr w:rsidR="00000000" w:rsidRPr="00A538DD" w14:paraId="6D03A321" w14:textId="77777777">
        <w:tblPrEx>
          <w:tblCellMar>
            <w:top w:w="0" w:type="dxa"/>
            <w:bottom w:w="0" w:type="dxa"/>
          </w:tblCellMar>
        </w:tblPrEx>
        <w:trPr>
          <w:cantSplit/>
        </w:trPr>
        <w:tc>
          <w:tcPr>
            <w:tcW w:w="2835" w:type="dxa"/>
            <w:tcBorders>
              <w:top w:val="single" w:sz="4" w:space="0" w:color="auto"/>
            </w:tcBorders>
          </w:tcPr>
          <w:p w14:paraId="302BDA92" w14:textId="77777777" w:rsidR="0048679D" w:rsidRPr="00A538DD" w:rsidRDefault="0048679D">
            <w:pPr>
              <w:spacing w:before="0"/>
            </w:pPr>
            <w:r w:rsidRPr="00A538DD">
              <w:t>Personallån</w:t>
            </w:r>
          </w:p>
        </w:tc>
        <w:tc>
          <w:tcPr>
            <w:tcW w:w="1531" w:type="dxa"/>
            <w:tcBorders>
              <w:top w:val="single" w:sz="4" w:space="0" w:color="auto"/>
            </w:tcBorders>
          </w:tcPr>
          <w:p w14:paraId="1D6CD26E" w14:textId="77777777" w:rsidR="0048679D" w:rsidRPr="00A538DD" w:rsidRDefault="0048679D">
            <w:pPr>
              <w:spacing w:before="0"/>
              <w:jc w:val="right"/>
            </w:pPr>
            <w:r w:rsidRPr="00A538DD">
              <w:t>252</w:t>
            </w:r>
          </w:p>
        </w:tc>
        <w:tc>
          <w:tcPr>
            <w:tcW w:w="1531" w:type="dxa"/>
            <w:tcBorders>
              <w:top w:val="single" w:sz="4" w:space="0" w:color="auto"/>
            </w:tcBorders>
          </w:tcPr>
          <w:p w14:paraId="72D1930F" w14:textId="77777777" w:rsidR="0048679D" w:rsidRPr="00A538DD" w:rsidRDefault="0048679D">
            <w:pPr>
              <w:spacing w:before="0"/>
              <w:jc w:val="right"/>
            </w:pPr>
            <w:r w:rsidRPr="00A538DD">
              <w:t>245</w:t>
            </w:r>
          </w:p>
        </w:tc>
      </w:tr>
      <w:tr w:rsidR="00000000" w:rsidRPr="00A538DD" w14:paraId="1F7B6DBD" w14:textId="77777777">
        <w:tblPrEx>
          <w:tblCellMar>
            <w:top w:w="0" w:type="dxa"/>
            <w:bottom w:w="0" w:type="dxa"/>
          </w:tblCellMar>
        </w:tblPrEx>
        <w:trPr>
          <w:cantSplit/>
        </w:trPr>
        <w:tc>
          <w:tcPr>
            <w:tcW w:w="2835" w:type="dxa"/>
          </w:tcPr>
          <w:p w14:paraId="3F960C6B" w14:textId="77777777" w:rsidR="0048679D" w:rsidRPr="00A538DD" w:rsidRDefault="0048679D">
            <w:pPr>
              <w:spacing w:before="0"/>
            </w:pPr>
            <w:r w:rsidRPr="00A538DD">
              <w:t>Fordran Crane &amp; Co. Inc.</w:t>
            </w:r>
          </w:p>
        </w:tc>
        <w:tc>
          <w:tcPr>
            <w:tcW w:w="1531" w:type="dxa"/>
          </w:tcPr>
          <w:p w14:paraId="7A674035" w14:textId="77777777" w:rsidR="0048679D" w:rsidRPr="00A538DD" w:rsidRDefault="0048679D">
            <w:pPr>
              <w:spacing w:before="0"/>
              <w:jc w:val="right"/>
            </w:pPr>
            <w:r w:rsidRPr="00A538DD">
              <w:t>25</w:t>
            </w:r>
          </w:p>
        </w:tc>
        <w:tc>
          <w:tcPr>
            <w:tcW w:w="1531" w:type="dxa"/>
          </w:tcPr>
          <w:p w14:paraId="66171B33" w14:textId="77777777" w:rsidR="0048679D" w:rsidRPr="00A538DD" w:rsidRDefault="0048679D">
            <w:pPr>
              <w:spacing w:before="0"/>
              <w:jc w:val="right"/>
            </w:pPr>
            <w:r w:rsidRPr="00A538DD">
              <w:t>24</w:t>
            </w:r>
          </w:p>
        </w:tc>
      </w:tr>
      <w:tr w:rsidR="00000000" w:rsidRPr="00A538DD" w14:paraId="4A4AB9D9" w14:textId="77777777">
        <w:tblPrEx>
          <w:tblCellMar>
            <w:top w:w="0" w:type="dxa"/>
            <w:bottom w:w="0" w:type="dxa"/>
          </w:tblCellMar>
        </w:tblPrEx>
        <w:trPr>
          <w:cantSplit/>
        </w:trPr>
        <w:tc>
          <w:tcPr>
            <w:tcW w:w="2835" w:type="dxa"/>
          </w:tcPr>
          <w:p w14:paraId="5D2DA8F3" w14:textId="77777777" w:rsidR="0048679D" w:rsidRPr="00A538DD" w:rsidRDefault="0048679D">
            <w:pPr>
              <w:spacing w:before="0"/>
            </w:pPr>
            <w:r w:rsidRPr="00A538DD">
              <w:t>Momsfordran</w:t>
            </w:r>
          </w:p>
        </w:tc>
        <w:tc>
          <w:tcPr>
            <w:tcW w:w="1531" w:type="dxa"/>
          </w:tcPr>
          <w:p w14:paraId="3BB76272" w14:textId="77777777" w:rsidR="0048679D" w:rsidRPr="00A538DD" w:rsidRDefault="0048679D">
            <w:pPr>
              <w:spacing w:before="0"/>
              <w:jc w:val="right"/>
            </w:pPr>
            <w:r w:rsidRPr="00A538DD">
              <w:t>13</w:t>
            </w:r>
          </w:p>
        </w:tc>
        <w:tc>
          <w:tcPr>
            <w:tcW w:w="1531" w:type="dxa"/>
          </w:tcPr>
          <w:p w14:paraId="05488609" w14:textId="77777777" w:rsidR="0048679D" w:rsidRPr="00A538DD" w:rsidRDefault="0048679D">
            <w:pPr>
              <w:spacing w:before="0"/>
              <w:jc w:val="right"/>
            </w:pPr>
            <w:r w:rsidRPr="00A538DD">
              <w:t>17</w:t>
            </w:r>
          </w:p>
        </w:tc>
      </w:tr>
      <w:tr w:rsidR="00000000" w:rsidRPr="00A538DD" w14:paraId="284F8535" w14:textId="77777777">
        <w:tblPrEx>
          <w:tblCellMar>
            <w:top w:w="0" w:type="dxa"/>
            <w:bottom w:w="0" w:type="dxa"/>
          </w:tblCellMar>
        </w:tblPrEx>
        <w:trPr>
          <w:cantSplit/>
        </w:trPr>
        <w:tc>
          <w:tcPr>
            <w:tcW w:w="2835" w:type="dxa"/>
            <w:tcBorders>
              <w:bottom w:val="single" w:sz="4" w:space="0" w:color="auto"/>
            </w:tcBorders>
          </w:tcPr>
          <w:p w14:paraId="2FC8849D" w14:textId="77777777" w:rsidR="0048679D" w:rsidRPr="00A538DD" w:rsidRDefault="0048679D">
            <w:pPr>
              <w:spacing w:before="0"/>
            </w:pPr>
            <w:r w:rsidRPr="00A538DD">
              <w:t>Övrigt</w:t>
            </w:r>
          </w:p>
        </w:tc>
        <w:tc>
          <w:tcPr>
            <w:tcW w:w="1531" w:type="dxa"/>
          </w:tcPr>
          <w:p w14:paraId="3A943927" w14:textId="77777777" w:rsidR="0048679D" w:rsidRPr="00A538DD" w:rsidRDefault="0048679D">
            <w:pPr>
              <w:spacing w:before="0"/>
              <w:jc w:val="right"/>
            </w:pPr>
            <w:r w:rsidRPr="00A538DD">
              <w:t>4</w:t>
            </w:r>
          </w:p>
        </w:tc>
        <w:tc>
          <w:tcPr>
            <w:tcW w:w="1531" w:type="dxa"/>
          </w:tcPr>
          <w:p w14:paraId="636156E5" w14:textId="77777777" w:rsidR="0048679D" w:rsidRPr="00A538DD" w:rsidRDefault="0048679D">
            <w:pPr>
              <w:spacing w:before="0"/>
              <w:jc w:val="right"/>
            </w:pPr>
            <w:r w:rsidRPr="00A538DD">
              <w:t>5</w:t>
            </w:r>
          </w:p>
        </w:tc>
      </w:tr>
      <w:tr w:rsidR="00000000" w:rsidRPr="00A538DD" w14:paraId="1DA798F9"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0DB5F8F4"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191C730C" w14:textId="77777777" w:rsidR="0048679D" w:rsidRPr="00A538DD" w:rsidRDefault="0048679D">
            <w:pPr>
              <w:spacing w:before="0"/>
              <w:jc w:val="right"/>
            </w:pPr>
            <w:r w:rsidRPr="00A538DD">
              <w:t>294</w:t>
            </w:r>
          </w:p>
        </w:tc>
        <w:tc>
          <w:tcPr>
            <w:tcW w:w="1531" w:type="dxa"/>
            <w:tcBorders>
              <w:top w:val="single" w:sz="4" w:space="0" w:color="auto"/>
              <w:bottom w:val="single" w:sz="4" w:space="0" w:color="auto"/>
            </w:tcBorders>
            <w:vAlign w:val="center"/>
          </w:tcPr>
          <w:p w14:paraId="737654FE" w14:textId="77777777" w:rsidR="0048679D" w:rsidRPr="00A538DD" w:rsidRDefault="0048679D">
            <w:pPr>
              <w:spacing w:before="0"/>
              <w:jc w:val="right"/>
            </w:pPr>
            <w:r w:rsidRPr="00A538DD">
              <w:t>291</w:t>
            </w:r>
          </w:p>
        </w:tc>
      </w:tr>
    </w:tbl>
    <w:p w14:paraId="41A4564F" w14:textId="77777777" w:rsidR="0048679D" w:rsidRPr="00A538DD" w:rsidRDefault="0048679D"/>
    <w:p w14:paraId="588FE3F9" w14:textId="77777777" w:rsidR="0048679D" w:rsidRPr="00A538DD" w:rsidRDefault="0048679D">
      <w:r w:rsidRPr="00A538DD">
        <w:t>Fordran på Crane &amp; Co. Inc. avser del av försäljningslikviden för Crane AB och kommer att regleras med 1 miljon US-dollar 2008 samt 3 miljoner US-dollar 2011.</w:t>
      </w:r>
    </w:p>
    <w:p w14:paraId="2329A80B" w14:textId="77777777" w:rsidR="0048679D" w:rsidRPr="00A538DD" w:rsidRDefault="0048679D"/>
    <w:p w14:paraId="102066A5" w14:textId="77777777" w:rsidR="0048679D" w:rsidRPr="00A538DD" w:rsidRDefault="0048679D">
      <w:pPr>
        <w:rPr>
          <w:b/>
        </w:rPr>
      </w:pPr>
      <w:r w:rsidRPr="00A538DD">
        <w:rPr>
          <w:b/>
        </w:rPr>
        <w:t>Not 11 Sedlar</w:t>
      </w:r>
    </w:p>
    <w:p w14:paraId="460E87B5" w14:textId="77777777" w:rsidR="0048679D" w:rsidRPr="00A538DD" w:rsidRDefault="0048679D">
      <w:r w:rsidRPr="00A538DD">
        <w:t>De utelöpande sedlarna fördelar sig på följande valörer: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0FB91692" w14:textId="77777777">
        <w:tblPrEx>
          <w:tblCellMar>
            <w:top w:w="0" w:type="dxa"/>
            <w:bottom w:w="0" w:type="dxa"/>
          </w:tblCellMar>
        </w:tblPrEx>
        <w:trPr>
          <w:cantSplit/>
          <w:trHeight w:val="369"/>
        </w:trPr>
        <w:tc>
          <w:tcPr>
            <w:tcW w:w="2835" w:type="dxa"/>
            <w:tcBorders>
              <w:top w:val="single" w:sz="4" w:space="0" w:color="auto"/>
            </w:tcBorders>
          </w:tcPr>
          <w:p w14:paraId="3678F456" w14:textId="77777777" w:rsidR="0048679D" w:rsidRPr="00A538DD" w:rsidRDefault="0048679D">
            <w:pPr>
              <w:spacing w:before="0"/>
            </w:pPr>
          </w:p>
        </w:tc>
        <w:tc>
          <w:tcPr>
            <w:tcW w:w="1531" w:type="dxa"/>
            <w:tcBorders>
              <w:top w:val="single" w:sz="4" w:space="0" w:color="auto"/>
            </w:tcBorders>
            <w:vAlign w:val="center"/>
          </w:tcPr>
          <w:p w14:paraId="594248F4"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5EF59DF1" w14:textId="77777777" w:rsidR="0048679D" w:rsidRPr="00A538DD" w:rsidRDefault="0048679D">
            <w:pPr>
              <w:spacing w:before="0"/>
              <w:jc w:val="right"/>
            </w:pPr>
            <w:r w:rsidRPr="00A538DD">
              <w:t>2003-12-31</w:t>
            </w:r>
          </w:p>
        </w:tc>
      </w:tr>
      <w:tr w:rsidR="00000000" w:rsidRPr="00A538DD" w14:paraId="2DFEE190" w14:textId="77777777">
        <w:tblPrEx>
          <w:tblCellMar>
            <w:top w:w="0" w:type="dxa"/>
            <w:bottom w:w="0" w:type="dxa"/>
          </w:tblCellMar>
        </w:tblPrEx>
        <w:trPr>
          <w:cantSplit/>
        </w:trPr>
        <w:tc>
          <w:tcPr>
            <w:tcW w:w="2835" w:type="dxa"/>
            <w:tcBorders>
              <w:top w:val="single" w:sz="4" w:space="0" w:color="auto"/>
            </w:tcBorders>
          </w:tcPr>
          <w:p w14:paraId="4AA3A7B8" w14:textId="77777777" w:rsidR="0048679D" w:rsidRPr="00A538DD" w:rsidRDefault="0048679D">
            <w:pPr>
              <w:spacing w:before="0"/>
            </w:pPr>
            <w:r w:rsidRPr="00A538DD">
              <w:t>1 000 kronor</w:t>
            </w:r>
          </w:p>
        </w:tc>
        <w:tc>
          <w:tcPr>
            <w:tcW w:w="1531" w:type="dxa"/>
            <w:tcBorders>
              <w:top w:val="single" w:sz="4" w:space="0" w:color="auto"/>
            </w:tcBorders>
          </w:tcPr>
          <w:p w14:paraId="03661F08" w14:textId="77777777" w:rsidR="0048679D" w:rsidRPr="00A538DD" w:rsidRDefault="0048679D">
            <w:pPr>
              <w:spacing w:before="0"/>
              <w:jc w:val="right"/>
            </w:pPr>
            <w:r w:rsidRPr="00A538DD">
              <w:t>45 561</w:t>
            </w:r>
          </w:p>
        </w:tc>
        <w:tc>
          <w:tcPr>
            <w:tcW w:w="1531" w:type="dxa"/>
            <w:tcBorders>
              <w:top w:val="single" w:sz="4" w:space="0" w:color="auto"/>
            </w:tcBorders>
          </w:tcPr>
          <w:p w14:paraId="7FC11992" w14:textId="77777777" w:rsidR="0048679D" w:rsidRPr="00A538DD" w:rsidRDefault="0048679D">
            <w:pPr>
              <w:spacing w:before="0"/>
              <w:jc w:val="right"/>
            </w:pPr>
            <w:r w:rsidRPr="00A538DD">
              <w:t>45 652</w:t>
            </w:r>
          </w:p>
        </w:tc>
      </w:tr>
      <w:tr w:rsidR="00000000" w:rsidRPr="00A538DD" w14:paraId="573267AD" w14:textId="77777777">
        <w:tblPrEx>
          <w:tblCellMar>
            <w:top w:w="0" w:type="dxa"/>
            <w:bottom w:w="0" w:type="dxa"/>
          </w:tblCellMar>
        </w:tblPrEx>
        <w:trPr>
          <w:cantSplit/>
        </w:trPr>
        <w:tc>
          <w:tcPr>
            <w:tcW w:w="2835" w:type="dxa"/>
          </w:tcPr>
          <w:p w14:paraId="26201DF7" w14:textId="77777777" w:rsidR="0048679D" w:rsidRPr="00A538DD" w:rsidRDefault="0048679D">
            <w:pPr>
              <w:spacing w:before="0"/>
            </w:pPr>
            <w:r w:rsidRPr="00A538DD">
              <w:t>500 kronor</w:t>
            </w:r>
          </w:p>
        </w:tc>
        <w:tc>
          <w:tcPr>
            <w:tcW w:w="1531" w:type="dxa"/>
          </w:tcPr>
          <w:p w14:paraId="392A5F9A" w14:textId="77777777" w:rsidR="0048679D" w:rsidRPr="00A538DD" w:rsidRDefault="0048679D">
            <w:pPr>
              <w:spacing w:before="0"/>
              <w:jc w:val="right"/>
            </w:pPr>
            <w:r w:rsidRPr="00A538DD">
              <w:t>45 116</w:t>
            </w:r>
          </w:p>
        </w:tc>
        <w:tc>
          <w:tcPr>
            <w:tcW w:w="1531" w:type="dxa"/>
          </w:tcPr>
          <w:p w14:paraId="29A26CBD" w14:textId="77777777" w:rsidR="0048679D" w:rsidRPr="00A538DD" w:rsidRDefault="0048679D">
            <w:pPr>
              <w:spacing w:before="0"/>
              <w:jc w:val="right"/>
            </w:pPr>
            <w:r w:rsidRPr="00A538DD">
              <w:t>44 788</w:t>
            </w:r>
          </w:p>
        </w:tc>
      </w:tr>
      <w:tr w:rsidR="00000000" w:rsidRPr="00A538DD" w14:paraId="1F9DDE24" w14:textId="77777777">
        <w:tblPrEx>
          <w:tblCellMar>
            <w:top w:w="0" w:type="dxa"/>
            <w:bottom w:w="0" w:type="dxa"/>
          </w:tblCellMar>
        </w:tblPrEx>
        <w:trPr>
          <w:cantSplit/>
        </w:trPr>
        <w:tc>
          <w:tcPr>
            <w:tcW w:w="2835" w:type="dxa"/>
          </w:tcPr>
          <w:p w14:paraId="43C02998" w14:textId="77777777" w:rsidR="0048679D" w:rsidRPr="00A538DD" w:rsidRDefault="0048679D">
            <w:pPr>
              <w:spacing w:before="0"/>
            </w:pPr>
            <w:r w:rsidRPr="00A538DD">
              <w:t>100 kronor</w:t>
            </w:r>
          </w:p>
        </w:tc>
        <w:tc>
          <w:tcPr>
            <w:tcW w:w="1531" w:type="dxa"/>
          </w:tcPr>
          <w:p w14:paraId="3E088C94" w14:textId="77777777" w:rsidR="0048679D" w:rsidRPr="00A538DD" w:rsidRDefault="0048679D">
            <w:pPr>
              <w:spacing w:before="0"/>
              <w:jc w:val="right"/>
            </w:pPr>
            <w:r w:rsidRPr="00A538DD">
              <w:t xml:space="preserve">9 621 </w:t>
            </w:r>
          </w:p>
        </w:tc>
        <w:tc>
          <w:tcPr>
            <w:tcW w:w="1531" w:type="dxa"/>
          </w:tcPr>
          <w:p w14:paraId="6905D3DE" w14:textId="77777777" w:rsidR="0048679D" w:rsidRPr="00A538DD" w:rsidRDefault="0048679D">
            <w:pPr>
              <w:spacing w:before="0"/>
              <w:jc w:val="right"/>
            </w:pPr>
            <w:r w:rsidRPr="00A538DD">
              <w:t>10 091</w:t>
            </w:r>
          </w:p>
        </w:tc>
      </w:tr>
      <w:tr w:rsidR="00000000" w:rsidRPr="00A538DD" w14:paraId="156C9D27" w14:textId="77777777">
        <w:tblPrEx>
          <w:tblCellMar>
            <w:top w:w="0" w:type="dxa"/>
            <w:bottom w:w="0" w:type="dxa"/>
          </w:tblCellMar>
        </w:tblPrEx>
        <w:trPr>
          <w:cantSplit/>
        </w:trPr>
        <w:tc>
          <w:tcPr>
            <w:tcW w:w="2835" w:type="dxa"/>
          </w:tcPr>
          <w:p w14:paraId="065FD38A" w14:textId="77777777" w:rsidR="0048679D" w:rsidRPr="00A538DD" w:rsidRDefault="0048679D">
            <w:pPr>
              <w:spacing w:before="0"/>
            </w:pPr>
            <w:r w:rsidRPr="00A538DD">
              <w:t>50 kronor</w:t>
            </w:r>
          </w:p>
        </w:tc>
        <w:tc>
          <w:tcPr>
            <w:tcW w:w="1531" w:type="dxa"/>
          </w:tcPr>
          <w:p w14:paraId="2542FB0C" w14:textId="77777777" w:rsidR="0048679D" w:rsidRPr="00A538DD" w:rsidRDefault="0048679D">
            <w:pPr>
              <w:spacing w:before="0"/>
              <w:jc w:val="right"/>
            </w:pPr>
            <w:r w:rsidRPr="00A538DD">
              <w:t>1 207</w:t>
            </w:r>
          </w:p>
        </w:tc>
        <w:tc>
          <w:tcPr>
            <w:tcW w:w="1531" w:type="dxa"/>
          </w:tcPr>
          <w:p w14:paraId="15A5D1C1" w14:textId="77777777" w:rsidR="0048679D" w:rsidRPr="00A538DD" w:rsidRDefault="0048679D">
            <w:pPr>
              <w:spacing w:before="0"/>
              <w:jc w:val="right"/>
            </w:pPr>
            <w:r w:rsidRPr="00A538DD">
              <w:t>1 192</w:t>
            </w:r>
          </w:p>
        </w:tc>
      </w:tr>
      <w:tr w:rsidR="00000000" w:rsidRPr="00A538DD" w14:paraId="09BDDA88" w14:textId="77777777">
        <w:tblPrEx>
          <w:tblCellMar>
            <w:top w:w="0" w:type="dxa"/>
            <w:bottom w:w="0" w:type="dxa"/>
          </w:tblCellMar>
        </w:tblPrEx>
        <w:trPr>
          <w:cantSplit/>
        </w:trPr>
        <w:tc>
          <w:tcPr>
            <w:tcW w:w="2835" w:type="dxa"/>
          </w:tcPr>
          <w:p w14:paraId="02D591F3" w14:textId="77777777" w:rsidR="0048679D" w:rsidRPr="00A538DD" w:rsidRDefault="0048679D">
            <w:pPr>
              <w:spacing w:before="0"/>
            </w:pPr>
            <w:r w:rsidRPr="00A538DD">
              <w:t>20 kronor</w:t>
            </w:r>
          </w:p>
        </w:tc>
        <w:tc>
          <w:tcPr>
            <w:tcW w:w="1531" w:type="dxa"/>
          </w:tcPr>
          <w:p w14:paraId="564CD445" w14:textId="77777777" w:rsidR="0048679D" w:rsidRPr="00A538DD" w:rsidRDefault="0048679D">
            <w:pPr>
              <w:spacing w:before="0"/>
              <w:jc w:val="right"/>
            </w:pPr>
            <w:r w:rsidRPr="00A538DD">
              <w:t>1 639</w:t>
            </w:r>
          </w:p>
        </w:tc>
        <w:tc>
          <w:tcPr>
            <w:tcW w:w="1531" w:type="dxa"/>
          </w:tcPr>
          <w:p w14:paraId="5C782F5D" w14:textId="77777777" w:rsidR="0048679D" w:rsidRPr="00A538DD" w:rsidRDefault="0048679D">
            <w:pPr>
              <w:spacing w:before="0"/>
              <w:jc w:val="right"/>
            </w:pPr>
            <w:r w:rsidRPr="00A538DD">
              <w:t>1 643</w:t>
            </w:r>
          </w:p>
        </w:tc>
      </w:tr>
      <w:tr w:rsidR="00000000" w:rsidRPr="00A538DD" w14:paraId="22823EFE" w14:textId="77777777">
        <w:tblPrEx>
          <w:tblCellMar>
            <w:top w:w="0" w:type="dxa"/>
            <w:bottom w:w="0" w:type="dxa"/>
          </w:tblCellMar>
        </w:tblPrEx>
        <w:trPr>
          <w:cantSplit/>
        </w:trPr>
        <w:tc>
          <w:tcPr>
            <w:tcW w:w="2835" w:type="dxa"/>
          </w:tcPr>
          <w:p w14:paraId="53753B6B" w14:textId="77777777" w:rsidR="0048679D" w:rsidRPr="00A538DD" w:rsidRDefault="0048679D">
            <w:pPr>
              <w:spacing w:before="0"/>
            </w:pPr>
            <w:r w:rsidRPr="00A538DD">
              <w:t>10 kronor</w:t>
            </w:r>
          </w:p>
        </w:tc>
        <w:tc>
          <w:tcPr>
            <w:tcW w:w="1531" w:type="dxa"/>
          </w:tcPr>
          <w:p w14:paraId="5375518F" w14:textId="77777777" w:rsidR="0048679D" w:rsidRPr="00A538DD" w:rsidRDefault="0048679D">
            <w:pPr>
              <w:spacing w:before="0"/>
              <w:jc w:val="right"/>
            </w:pPr>
            <w:r w:rsidRPr="00A538DD">
              <w:t>228</w:t>
            </w:r>
          </w:p>
        </w:tc>
        <w:tc>
          <w:tcPr>
            <w:tcW w:w="1531" w:type="dxa"/>
          </w:tcPr>
          <w:p w14:paraId="56C6C50C" w14:textId="77777777" w:rsidR="0048679D" w:rsidRPr="00A538DD" w:rsidRDefault="0048679D">
            <w:pPr>
              <w:spacing w:before="0"/>
              <w:jc w:val="right"/>
            </w:pPr>
            <w:r w:rsidRPr="00A538DD">
              <w:t>229</w:t>
            </w:r>
          </w:p>
        </w:tc>
      </w:tr>
      <w:tr w:rsidR="00000000" w:rsidRPr="00A538DD" w14:paraId="2A134295" w14:textId="77777777">
        <w:tblPrEx>
          <w:tblCellMar>
            <w:top w:w="0" w:type="dxa"/>
            <w:bottom w:w="0" w:type="dxa"/>
          </w:tblCellMar>
        </w:tblPrEx>
        <w:trPr>
          <w:cantSplit/>
        </w:trPr>
        <w:tc>
          <w:tcPr>
            <w:tcW w:w="2835" w:type="dxa"/>
            <w:tcBorders>
              <w:bottom w:val="single" w:sz="4" w:space="0" w:color="auto"/>
            </w:tcBorders>
          </w:tcPr>
          <w:p w14:paraId="79B763BF" w14:textId="77777777" w:rsidR="0048679D" w:rsidRPr="00A538DD" w:rsidRDefault="0048679D">
            <w:pPr>
              <w:spacing w:before="0"/>
            </w:pPr>
            <w:r w:rsidRPr="00A538DD">
              <w:t>5 kronor</w:t>
            </w:r>
          </w:p>
        </w:tc>
        <w:tc>
          <w:tcPr>
            <w:tcW w:w="1531" w:type="dxa"/>
          </w:tcPr>
          <w:p w14:paraId="0B7A8F8D" w14:textId="77777777" w:rsidR="0048679D" w:rsidRPr="00A538DD" w:rsidRDefault="0048679D">
            <w:pPr>
              <w:spacing w:before="0"/>
              <w:jc w:val="right"/>
            </w:pPr>
            <w:r w:rsidRPr="00A538DD">
              <w:t>80</w:t>
            </w:r>
          </w:p>
        </w:tc>
        <w:tc>
          <w:tcPr>
            <w:tcW w:w="1531" w:type="dxa"/>
          </w:tcPr>
          <w:p w14:paraId="77E1BCC1" w14:textId="77777777" w:rsidR="0048679D" w:rsidRPr="00A538DD" w:rsidRDefault="0048679D">
            <w:pPr>
              <w:spacing w:before="0"/>
              <w:jc w:val="right"/>
            </w:pPr>
            <w:r w:rsidRPr="00A538DD">
              <w:t>80</w:t>
            </w:r>
          </w:p>
        </w:tc>
      </w:tr>
      <w:tr w:rsidR="00000000" w:rsidRPr="00A538DD" w14:paraId="0C612162"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3FEE1B61"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2C9D3C7E" w14:textId="77777777" w:rsidR="0048679D" w:rsidRPr="00A538DD" w:rsidRDefault="0048679D">
            <w:pPr>
              <w:spacing w:before="0"/>
              <w:jc w:val="right"/>
            </w:pPr>
            <w:r w:rsidRPr="00A538DD">
              <w:t>103 452</w:t>
            </w:r>
          </w:p>
        </w:tc>
        <w:tc>
          <w:tcPr>
            <w:tcW w:w="1531" w:type="dxa"/>
            <w:tcBorders>
              <w:top w:val="single" w:sz="4" w:space="0" w:color="auto"/>
              <w:bottom w:val="single" w:sz="4" w:space="0" w:color="auto"/>
            </w:tcBorders>
            <w:vAlign w:val="center"/>
          </w:tcPr>
          <w:p w14:paraId="272688F7" w14:textId="77777777" w:rsidR="0048679D" w:rsidRPr="00A538DD" w:rsidRDefault="0048679D">
            <w:pPr>
              <w:spacing w:before="0"/>
              <w:jc w:val="right"/>
            </w:pPr>
            <w:r w:rsidRPr="00A538DD">
              <w:t>103 675</w:t>
            </w:r>
          </w:p>
        </w:tc>
      </w:tr>
    </w:tbl>
    <w:p w14:paraId="054A622E" w14:textId="77777777" w:rsidR="0048679D" w:rsidRPr="00A538DD" w:rsidRDefault="0048679D">
      <w:pPr>
        <w:rPr>
          <w:b/>
        </w:rPr>
      </w:pPr>
      <w:r w:rsidRPr="00A538DD">
        <w:rPr>
          <w:b/>
        </w:rPr>
        <w:t>Not 12 Mynt</w:t>
      </w:r>
    </w:p>
    <w:p w14:paraId="11A52D52" w14:textId="77777777" w:rsidR="0048679D" w:rsidRPr="00A538DD" w:rsidRDefault="0048679D">
      <w:r w:rsidRPr="00A538DD">
        <w:t>De utelöpande mynten fördelar sig på följande valörer: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2E8CE8E7" w14:textId="77777777">
        <w:tblPrEx>
          <w:tblCellMar>
            <w:top w:w="0" w:type="dxa"/>
            <w:bottom w:w="0" w:type="dxa"/>
          </w:tblCellMar>
        </w:tblPrEx>
        <w:trPr>
          <w:cantSplit/>
          <w:trHeight w:val="369"/>
        </w:trPr>
        <w:tc>
          <w:tcPr>
            <w:tcW w:w="2835" w:type="dxa"/>
            <w:tcBorders>
              <w:top w:val="single" w:sz="4" w:space="0" w:color="auto"/>
            </w:tcBorders>
          </w:tcPr>
          <w:p w14:paraId="08C85585" w14:textId="77777777" w:rsidR="0048679D" w:rsidRPr="00A538DD" w:rsidRDefault="0048679D">
            <w:pPr>
              <w:spacing w:before="0"/>
            </w:pPr>
          </w:p>
        </w:tc>
        <w:tc>
          <w:tcPr>
            <w:tcW w:w="1531" w:type="dxa"/>
            <w:tcBorders>
              <w:top w:val="single" w:sz="4" w:space="0" w:color="auto"/>
            </w:tcBorders>
            <w:vAlign w:val="center"/>
          </w:tcPr>
          <w:p w14:paraId="088581AC"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04CC595D" w14:textId="77777777" w:rsidR="0048679D" w:rsidRPr="00A538DD" w:rsidRDefault="0048679D">
            <w:pPr>
              <w:spacing w:before="0"/>
              <w:jc w:val="right"/>
            </w:pPr>
            <w:r w:rsidRPr="00A538DD">
              <w:t>2003-12-31</w:t>
            </w:r>
          </w:p>
        </w:tc>
      </w:tr>
      <w:tr w:rsidR="00000000" w:rsidRPr="00A538DD" w14:paraId="7C617BC0" w14:textId="77777777">
        <w:tblPrEx>
          <w:tblCellMar>
            <w:top w:w="0" w:type="dxa"/>
            <w:bottom w:w="0" w:type="dxa"/>
          </w:tblCellMar>
        </w:tblPrEx>
        <w:trPr>
          <w:cantSplit/>
        </w:trPr>
        <w:tc>
          <w:tcPr>
            <w:tcW w:w="2835" w:type="dxa"/>
            <w:tcBorders>
              <w:top w:val="single" w:sz="4" w:space="0" w:color="auto"/>
            </w:tcBorders>
          </w:tcPr>
          <w:p w14:paraId="6ECFAE85" w14:textId="77777777" w:rsidR="0048679D" w:rsidRPr="00A538DD" w:rsidRDefault="0048679D">
            <w:pPr>
              <w:spacing w:before="0"/>
            </w:pPr>
            <w:r w:rsidRPr="00A538DD">
              <w:t>10 kronor</w:t>
            </w:r>
          </w:p>
        </w:tc>
        <w:tc>
          <w:tcPr>
            <w:tcW w:w="1531" w:type="dxa"/>
            <w:tcBorders>
              <w:top w:val="single" w:sz="4" w:space="0" w:color="auto"/>
            </w:tcBorders>
          </w:tcPr>
          <w:p w14:paraId="306724E5" w14:textId="77777777" w:rsidR="0048679D" w:rsidRPr="00A538DD" w:rsidRDefault="0048679D">
            <w:pPr>
              <w:spacing w:before="0"/>
              <w:jc w:val="right"/>
            </w:pPr>
            <w:r w:rsidRPr="00A538DD">
              <w:t>2 150</w:t>
            </w:r>
          </w:p>
        </w:tc>
        <w:tc>
          <w:tcPr>
            <w:tcW w:w="1531" w:type="dxa"/>
            <w:tcBorders>
              <w:top w:val="single" w:sz="4" w:space="0" w:color="auto"/>
            </w:tcBorders>
          </w:tcPr>
          <w:p w14:paraId="7FFF3357" w14:textId="77777777" w:rsidR="0048679D" w:rsidRPr="00A538DD" w:rsidRDefault="0048679D">
            <w:pPr>
              <w:spacing w:before="0"/>
              <w:jc w:val="right"/>
            </w:pPr>
            <w:r w:rsidRPr="00A538DD">
              <w:t>2 051</w:t>
            </w:r>
          </w:p>
        </w:tc>
      </w:tr>
      <w:tr w:rsidR="00000000" w:rsidRPr="00A538DD" w14:paraId="04F1744E" w14:textId="77777777">
        <w:tblPrEx>
          <w:tblCellMar>
            <w:top w:w="0" w:type="dxa"/>
            <w:bottom w:w="0" w:type="dxa"/>
          </w:tblCellMar>
        </w:tblPrEx>
        <w:trPr>
          <w:cantSplit/>
        </w:trPr>
        <w:tc>
          <w:tcPr>
            <w:tcW w:w="2835" w:type="dxa"/>
          </w:tcPr>
          <w:p w14:paraId="42D56B5D" w14:textId="77777777" w:rsidR="0048679D" w:rsidRPr="00A538DD" w:rsidRDefault="0048679D">
            <w:pPr>
              <w:spacing w:before="0"/>
            </w:pPr>
            <w:r w:rsidRPr="00A538DD">
              <w:t>5 kronor</w:t>
            </w:r>
          </w:p>
        </w:tc>
        <w:tc>
          <w:tcPr>
            <w:tcW w:w="1531" w:type="dxa"/>
          </w:tcPr>
          <w:p w14:paraId="108496F2" w14:textId="77777777" w:rsidR="0048679D" w:rsidRPr="00A538DD" w:rsidRDefault="0048679D">
            <w:pPr>
              <w:spacing w:before="0"/>
              <w:jc w:val="right"/>
            </w:pPr>
            <w:r w:rsidRPr="00A538DD">
              <w:t>1 171</w:t>
            </w:r>
          </w:p>
        </w:tc>
        <w:tc>
          <w:tcPr>
            <w:tcW w:w="1531" w:type="dxa"/>
          </w:tcPr>
          <w:p w14:paraId="499F7251" w14:textId="77777777" w:rsidR="0048679D" w:rsidRPr="00A538DD" w:rsidRDefault="0048679D">
            <w:pPr>
              <w:spacing w:before="0"/>
              <w:jc w:val="right"/>
            </w:pPr>
            <w:r w:rsidRPr="00A538DD">
              <w:t>1 156</w:t>
            </w:r>
          </w:p>
        </w:tc>
      </w:tr>
      <w:tr w:rsidR="00000000" w:rsidRPr="00A538DD" w14:paraId="35C85B6B" w14:textId="77777777">
        <w:tblPrEx>
          <w:tblCellMar>
            <w:top w:w="0" w:type="dxa"/>
            <w:bottom w:w="0" w:type="dxa"/>
          </w:tblCellMar>
        </w:tblPrEx>
        <w:trPr>
          <w:cantSplit/>
        </w:trPr>
        <w:tc>
          <w:tcPr>
            <w:tcW w:w="2835" w:type="dxa"/>
          </w:tcPr>
          <w:p w14:paraId="3E0796DF" w14:textId="77777777" w:rsidR="0048679D" w:rsidRPr="00A538DD" w:rsidRDefault="0048679D">
            <w:pPr>
              <w:spacing w:before="0"/>
            </w:pPr>
            <w:r w:rsidRPr="00A538DD">
              <w:t>2 kronor</w:t>
            </w:r>
          </w:p>
        </w:tc>
        <w:tc>
          <w:tcPr>
            <w:tcW w:w="1531" w:type="dxa"/>
          </w:tcPr>
          <w:p w14:paraId="4433CE3D" w14:textId="77777777" w:rsidR="0048679D" w:rsidRPr="00A538DD" w:rsidRDefault="0048679D">
            <w:pPr>
              <w:spacing w:before="0"/>
              <w:jc w:val="right"/>
            </w:pPr>
            <w:r w:rsidRPr="00A538DD">
              <w:t>8</w:t>
            </w:r>
          </w:p>
        </w:tc>
        <w:tc>
          <w:tcPr>
            <w:tcW w:w="1531" w:type="dxa"/>
          </w:tcPr>
          <w:p w14:paraId="127BE336" w14:textId="77777777" w:rsidR="0048679D" w:rsidRPr="00A538DD" w:rsidRDefault="0048679D">
            <w:pPr>
              <w:spacing w:before="0"/>
              <w:jc w:val="right"/>
            </w:pPr>
            <w:r w:rsidRPr="00A538DD">
              <w:t>8</w:t>
            </w:r>
          </w:p>
        </w:tc>
      </w:tr>
      <w:tr w:rsidR="00000000" w:rsidRPr="00A538DD" w14:paraId="6AC64703" w14:textId="77777777">
        <w:tblPrEx>
          <w:tblCellMar>
            <w:top w:w="0" w:type="dxa"/>
            <w:bottom w:w="0" w:type="dxa"/>
          </w:tblCellMar>
        </w:tblPrEx>
        <w:trPr>
          <w:cantSplit/>
        </w:trPr>
        <w:tc>
          <w:tcPr>
            <w:tcW w:w="2835" w:type="dxa"/>
          </w:tcPr>
          <w:p w14:paraId="6267F8AD" w14:textId="77777777" w:rsidR="0048679D" w:rsidRPr="00A538DD" w:rsidRDefault="0048679D">
            <w:pPr>
              <w:spacing w:before="0"/>
            </w:pPr>
            <w:r w:rsidRPr="00A538DD">
              <w:t>1 kronor</w:t>
            </w:r>
          </w:p>
        </w:tc>
        <w:tc>
          <w:tcPr>
            <w:tcW w:w="1531" w:type="dxa"/>
          </w:tcPr>
          <w:p w14:paraId="49BBF8C3" w14:textId="77777777" w:rsidR="0048679D" w:rsidRPr="00A538DD" w:rsidRDefault="0048679D">
            <w:pPr>
              <w:spacing w:before="0"/>
              <w:jc w:val="right"/>
            </w:pPr>
            <w:r w:rsidRPr="00A538DD">
              <w:t>1 195</w:t>
            </w:r>
          </w:p>
        </w:tc>
        <w:tc>
          <w:tcPr>
            <w:tcW w:w="1531" w:type="dxa"/>
          </w:tcPr>
          <w:p w14:paraId="4B432A9B" w14:textId="77777777" w:rsidR="0048679D" w:rsidRPr="00A538DD" w:rsidRDefault="0048679D">
            <w:pPr>
              <w:spacing w:before="0"/>
              <w:jc w:val="right"/>
            </w:pPr>
            <w:r w:rsidRPr="00A538DD">
              <w:t>1 159</w:t>
            </w:r>
          </w:p>
        </w:tc>
      </w:tr>
      <w:tr w:rsidR="00000000" w:rsidRPr="00A538DD" w14:paraId="45BFFD2F" w14:textId="77777777">
        <w:tblPrEx>
          <w:tblCellMar>
            <w:top w:w="0" w:type="dxa"/>
            <w:bottom w:w="0" w:type="dxa"/>
          </w:tblCellMar>
        </w:tblPrEx>
        <w:trPr>
          <w:cantSplit/>
        </w:trPr>
        <w:tc>
          <w:tcPr>
            <w:tcW w:w="2835" w:type="dxa"/>
          </w:tcPr>
          <w:p w14:paraId="539F1B99" w14:textId="77777777" w:rsidR="0048679D" w:rsidRPr="00A538DD" w:rsidRDefault="0048679D">
            <w:pPr>
              <w:spacing w:before="0"/>
            </w:pPr>
            <w:r w:rsidRPr="00A538DD">
              <w:t>0:50 kronor</w:t>
            </w:r>
          </w:p>
        </w:tc>
        <w:tc>
          <w:tcPr>
            <w:tcW w:w="1531" w:type="dxa"/>
          </w:tcPr>
          <w:p w14:paraId="19F2B0CC" w14:textId="77777777" w:rsidR="0048679D" w:rsidRPr="00A538DD" w:rsidRDefault="0048679D">
            <w:pPr>
              <w:spacing w:before="0"/>
              <w:jc w:val="right"/>
            </w:pPr>
            <w:r w:rsidRPr="00A538DD">
              <w:t>288</w:t>
            </w:r>
          </w:p>
        </w:tc>
        <w:tc>
          <w:tcPr>
            <w:tcW w:w="1531" w:type="dxa"/>
          </w:tcPr>
          <w:p w14:paraId="0E755163" w14:textId="77777777" w:rsidR="0048679D" w:rsidRPr="00A538DD" w:rsidRDefault="0048679D">
            <w:pPr>
              <w:spacing w:before="0"/>
              <w:jc w:val="right"/>
            </w:pPr>
            <w:r w:rsidRPr="00A538DD">
              <w:t>276</w:t>
            </w:r>
          </w:p>
        </w:tc>
      </w:tr>
      <w:tr w:rsidR="00000000" w:rsidRPr="00A538DD" w14:paraId="41628F08" w14:textId="77777777">
        <w:tblPrEx>
          <w:tblCellMar>
            <w:top w:w="0" w:type="dxa"/>
            <w:bottom w:w="0" w:type="dxa"/>
          </w:tblCellMar>
        </w:tblPrEx>
        <w:trPr>
          <w:cantSplit/>
        </w:trPr>
        <w:tc>
          <w:tcPr>
            <w:tcW w:w="2835" w:type="dxa"/>
            <w:tcBorders>
              <w:bottom w:val="single" w:sz="4" w:space="0" w:color="auto"/>
            </w:tcBorders>
          </w:tcPr>
          <w:p w14:paraId="7160D315" w14:textId="77777777" w:rsidR="0048679D" w:rsidRPr="00A538DD" w:rsidRDefault="0048679D">
            <w:pPr>
              <w:spacing w:before="0"/>
            </w:pPr>
            <w:r w:rsidRPr="00A538DD">
              <w:t>Minnesmynt</w:t>
            </w:r>
          </w:p>
        </w:tc>
        <w:tc>
          <w:tcPr>
            <w:tcW w:w="1531" w:type="dxa"/>
          </w:tcPr>
          <w:p w14:paraId="2A8EB2C2" w14:textId="77777777" w:rsidR="0048679D" w:rsidRPr="00A538DD" w:rsidRDefault="0048679D">
            <w:pPr>
              <w:spacing w:before="0"/>
              <w:jc w:val="right"/>
            </w:pPr>
            <w:r w:rsidRPr="00A538DD">
              <w:t>630</w:t>
            </w:r>
          </w:p>
        </w:tc>
        <w:tc>
          <w:tcPr>
            <w:tcW w:w="1531" w:type="dxa"/>
          </w:tcPr>
          <w:p w14:paraId="3F6C8622" w14:textId="77777777" w:rsidR="0048679D" w:rsidRPr="00A538DD" w:rsidRDefault="0048679D">
            <w:pPr>
              <w:spacing w:before="0"/>
              <w:jc w:val="right"/>
            </w:pPr>
            <w:r w:rsidRPr="00A538DD">
              <w:t>615</w:t>
            </w:r>
          </w:p>
        </w:tc>
      </w:tr>
      <w:tr w:rsidR="00000000" w:rsidRPr="00A538DD" w14:paraId="790C2633"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7D160716"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511AC762" w14:textId="77777777" w:rsidR="0048679D" w:rsidRPr="00A538DD" w:rsidRDefault="0048679D">
            <w:pPr>
              <w:spacing w:before="0"/>
              <w:jc w:val="right"/>
            </w:pPr>
            <w:r w:rsidRPr="00A538DD">
              <w:t>5 442</w:t>
            </w:r>
          </w:p>
        </w:tc>
        <w:tc>
          <w:tcPr>
            <w:tcW w:w="1531" w:type="dxa"/>
            <w:tcBorders>
              <w:top w:val="single" w:sz="4" w:space="0" w:color="auto"/>
              <w:bottom w:val="single" w:sz="4" w:space="0" w:color="auto"/>
            </w:tcBorders>
            <w:vAlign w:val="center"/>
          </w:tcPr>
          <w:p w14:paraId="0B5FE621" w14:textId="77777777" w:rsidR="0048679D" w:rsidRPr="00A538DD" w:rsidRDefault="0048679D">
            <w:pPr>
              <w:spacing w:before="0"/>
              <w:jc w:val="right"/>
            </w:pPr>
            <w:r w:rsidRPr="00A538DD">
              <w:t>5 265</w:t>
            </w:r>
          </w:p>
        </w:tc>
      </w:tr>
    </w:tbl>
    <w:p w14:paraId="622264CB" w14:textId="77777777" w:rsidR="0048679D" w:rsidRPr="00A538DD" w:rsidRDefault="0048679D"/>
    <w:p w14:paraId="5C8199BC" w14:textId="77777777" w:rsidR="0048679D" w:rsidRPr="00A538DD" w:rsidRDefault="0048679D">
      <w:pPr>
        <w:rPr>
          <w:b/>
        </w:rPr>
      </w:pPr>
      <w:r w:rsidRPr="00A538DD">
        <w:rPr>
          <w:b/>
        </w:rPr>
        <w:t>Not 13 Inlåningsfacilitet</w:t>
      </w:r>
    </w:p>
    <w:p w14:paraId="72F3A0E7" w14:textId="77777777" w:rsidR="0048679D" w:rsidRPr="00A538DD" w:rsidRDefault="0048679D">
      <w:r w:rsidRPr="00A538DD">
        <w:t>Under denna post redovisas inlåning över natten från bankerna på deras K-RIX konton i Riksbanken.</w:t>
      </w:r>
    </w:p>
    <w:p w14:paraId="0770B56F" w14:textId="77777777" w:rsidR="0048679D" w:rsidRPr="00A538DD" w:rsidRDefault="0048679D">
      <w:pPr>
        <w:rPr>
          <w:b/>
        </w:rPr>
      </w:pPr>
      <w:r w:rsidRPr="00A538DD">
        <w:br w:type="page"/>
      </w:r>
      <w:r w:rsidRPr="00A538DD">
        <w:rPr>
          <w:b/>
        </w:rPr>
        <w:t>Not 14 Finjusterande transaktioner</w:t>
      </w:r>
    </w:p>
    <w:p w14:paraId="09ED0C04" w14:textId="77777777" w:rsidR="0048679D" w:rsidRPr="00A538DD" w:rsidRDefault="0048679D">
      <w:r w:rsidRPr="00A538DD">
        <w:t>Under denna post redovisas inlåning vars syfte är att finjustera likviditeten i det finansiella systemet.</w:t>
      </w:r>
    </w:p>
    <w:p w14:paraId="65F29AC4" w14:textId="77777777" w:rsidR="0048679D" w:rsidRPr="00A538DD" w:rsidRDefault="0048679D">
      <w:r w:rsidRPr="00A538DD">
        <w:t xml:space="preserve"> </w:t>
      </w:r>
    </w:p>
    <w:p w14:paraId="27283C94" w14:textId="77777777" w:rsidR="0048679D" w:rsidRPr="00A538DD" w:rsidRDefault="0048679D">
      <w:pPr>
        <w:rPr>
          <w:b/>
        </w:rPr>
      </w:pPr>
      <w:r w:rsidRPr="00A538DD">
        <w:rPr>
          <w:b/>
        </w:rPr>
        <w:t>Not 15 Skulder i svenska kronor till hemmahörande utanför Sverige</w:t>
      </w:r>
    </w:p>
    <w:p w14:paraId="4DA8B868" w14:textId="77777777" w:rsidR="0048679D" w:rsidRPr="00A538DD" w:rsidRDefault="0048679D">
      <w:r w:rsidRPr="00A538DD">
        <w:t>Under denna post redovisas konton i svenska kronor som Riksbanken håller för andra centralbankers och internationella organisationers räkning.</w:t>
      </w:r>
    </w:p>
    <w:p w14:paraId="5CB741ED" w14:textId="77777777" w:rsidR="0048679D" w:rsidRPr="00A538DD" w:rsidRDefault="0048679D"/>
    <w:p w14:paraId="7D68FA42" w14:textId="77777777" w:rsidR="0048679D" w:rsidRPr="00A538DD" w:rsidRDefault="0048679D">
      <w:pPr>
        <w:rPr>
          <w:b/>
        </w:rPr>
      </w:pPr>
      <w:r w:rsidRPr="00A538DD">
        <w:rPr>
          <w:b/>
        </w:rPr>
        <w:t>Not 16 Skulder i utländsk valuta till hemmahörande utanför Sverige</w:t>
      </w:r>
    </w:p>
    <w:p w14:paraId="3F55BC06" w14:textId="77777777" w:rsidR="0048679D" w:rsidRPr="00A538DD" w:rsidRDefault="0048679D">
      <w:r w:rsidRPr="00A538DD">
        <w:t>Belopp motsvarande erhållen köpeskilling i utländsk valuta avseende inl</w:t>
      </w:r>
      <w:r w:rsidRPr="00A538DD">
        <w:t>å</w:t>
      </w:r>
      <w:r w:rsidRPr="00A538DD">
        <w:t>ningsrepor redovisas under denna post.</w:t>
      </w:r>
    </w:p>
    <w:p w14:paraId="571B0A5F" w14:textId="77777777" w:rsidR="0048679D" w:rsidRPr="00A538DD" w:rsidRDefault="0048679D"/>
    <w:p w14:paraId="4369B055" w14:textId="77777777" w:rsidR="0048679D" w:rsidRPr="00A538DD" w:rsidRDefault="0048679D">
      <w:pPr>
        <w:rPr>
          <w:b/>
        </w:rPr>
      </w:pPr>
      <w:r w:rsidRPr="00A538DD">
        <w:rPr>
          <w:b/>
        </w:rPr>
        <w:t>Not 17 Motpost till särskilda dragningsrätter som tilldelats av IMF</w:t>
      </w:r>
    </w:p>
    <w:p w14:paraId="489E9434" w14:textId="77777777" w:rsidR="0048679D" w:rsidRPr="00A538DD" w:rsidRDefault="0048679D">
      <w:r w:rsidRPr="00A538DD">
        <w:t xml:space="preserve">Under denna post redovisas Riksbankens skuld motsvarande de särskilda dragningsrätter som tilldelats av IMF. Den ackumulerade tilldelningen uppgår till 246,5 miljoner SDR. </w:t>
      </w:r>
    </w:p>
    <w:p w14:paraId="06A87B3E" w14:textId="77777777" w:rsidR="0048679D" w:rsidRPr="00A538DD" w:rsidRDefault="0048679D"/>
    <w:p w14:paraId="088C9FAA" w14:textId="77777777" w:rsidR="0048679D" w:rsidRPr="00A538DD" w:rsidRDefault="0048679D">
      <w:pPr>
        <w:rPr>
          <w:b/>
        </w:rPr>
      </w:pPr>
      <w:r w:rsidRPr="00A538DD">
        <w:rPr>
          <w:b/>
        </w:rPr>
        <w:t>Not 18 Derivatinstrument</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38F2CC04" w14:textId="77777777">
        <w:tblPrEx>
          <w:tblCellMar>
            <w:top w:w="0" w:type="dxa"/>
            <w:bottom w:w="0" w:type="dxa"/>
          </w:tblCellMar>
        </w:tblPrEx>
        <w:trPr>
          <w:cantSplit/>
          <w:trHeight w:val="369"/>
        </w:trPr>
        <w:tc>
          <w:tcPr>
            <w:tcW w:w="2835" w:type="dxa"/>
            <w:tcBorders>
              <w:top w:val="single" w:sz="4" w:space="0" w:color="auto"/>
              <w:bottom w:val="single" w:sz="4" w:space="0" w:color="auto"/>
            </w:tcBorders>
          </w:tcPr>
          <w:p w14:paraId="15D601B2"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4E0BC156" w14:textId="77777777" w:rsidR="0048679D" w:rsidRPr="00A538DD" w:rsidRDefault="0048679D">
            <w:pPr>
              <w:spacing w:before="0"/>
              <w:jc w:val="right"/>
            </w:pPr>
            <w:r w:rsidRPr="00A538DD">
              <w:t>2004-12-31</w:t>
            </w:r>
          </w:p>
        </w:tc>
        <w:tc>
          <w:tcPr>
            <w:tcW w:w="1531" w:type="dxa"/>
            <w:tcBorders>
              <w:top w:val="single" w:sz="4" w:space="0" w:color="auto"/>
              <w:bottom w:val="single" w:sz="4" w:space="0" w:color="auto"/>
            </w:tcBorders>
            <w:vAlign w:val="center"/>
          </w:tcPr>
          <w:p w14:paraId="3404D882" w14:textId="77777777" w:rsidR="0048679D" w:rsidRPr="00A538DD" w:rsidRDefault="0048679D">
            <w:pPr>
              <w:spacing w:before="0"/>
              <w:jc w:val="right"/>
            </w:pPr>
            <w:r w:rsidRPr="00A538DD">
              <w:t>2003-12-31</w:t>
            </w:r>
          </w:p>
        </w:tc>
      </w:tr>
      <w:tr w:rsidR="00000000" w:rsidRPr="00A538DD" w14:paraId="34E3C969" w14:textId="77777777">
        <w:tblPrEx>
          <w:tblCellMar>
            <w:top w:w="0" w:type="dxa"/>
            <w:bottom w:w="0" w:type="dxa"/>
          </w:tblCellMar>
        </w:tblPrEx>
        <w:trPr>
          <w:cantSplit/>
        </w:trPr>
        <w:tc>
          <w:tcPr>
            <w:tcW w:w="2835" w:type="dxa"/>
            <w:tcBorders>
              <w:top w:val="single" w:sz="4" w:space="0" w:color="auto"/>
            </w:tcBorders>
          </w:tcPr>
          <w:p w14:paraId="558998A8" w14:textId="77777777" w:rsidR="0048679D" w:rsidRPr="00A538DD" w:rsidRDefault="0048679D">
            <w:pPr>
              <w:spacing w:before="0"/>
            </w:pPr>
            <w:r w:rsidRPr="00A538DD">
              <w:t>Guldterminer, negativt vä</w:t>
            </w:r>
            <w:r w:rsidRPr="00A538DD">
              <w:t>r</w:t>
            </w:r>
            <w:r w:rsidRPr="00A538DD">
              <w:t>de</w:t>
            </w:r>
          </w:p>
        </w:tc>
        <w:tc>
          <w:tcPr>
            <w:tcW w:w="1531" w:type="dxa"/>
            <w:tcBorders>
              <w:top w:val="single" w:sz="4" w:space="0" w:color="auto"/>
            </w:tcBorders>
          </w:tcPr>
          <w:p w14:paraId="1AB251C1" w14:textId="77777777" w:rsidR="0048679D" w:rsidRPr="00A538DD" w:rsidRDefault="0048679D">
            <w:pPr>
              <w:spacing w:before="0"/>
              <w:jc w:val="right"/>
            </w:pPr>
            <w:r w:rsidRPr="00A538DD">
              <w:t>22</w:t>
            </w:r>
          </w:p>
        </w:tc>
        <w:tc>
          <w:tcPr>
            <w:tcW w:w="1531" w:type="dxa"/>
            <w:tcBorders>
              <w:top w:val="single" w:sz="4" w:space="0" w:color="auto"/>
            </w:tcBorders>
          </w:tcPr>
          <w:p w14:paraId="45F72218" w14:textId="77777777" w:rsidR="0048679D" w:rsidRPr="00A538DD" w:rsidRDefault="0048679D">
            <w:pPr>
              <w:spacing w:before="0"/>
              <w:jc w:val="right"/>
            </w:pPr>
            <w:r w:rsidRPr="00A538DD">
              <w:t>–</w:t>
            </w:r>
          </w:p>
        </w:tc>
      </w:tr>
      <w:tr w:rsidR="00000000" w:rsidRPr="00A538DD" w14:paraId="209882F3" w14:textId="77777777">
        <w:tblPrEx>
          <w:tblCellMar>
            <w:top w:w="0" w:type="dxa"/>
            <w:bottom w:w="0" w:type="dxa"/>
          </w:tblCellMar>
        </w:tblPrEx>
        <w:trPr>
          <w:cantSplit/>
        </w:trPr>
        <w:tc>
          <w:tcPr>
            <w:tcW w:w="2835" w:type="dxa"/>
          </w:tcPr>
          <w:p w14:paraId="21B2A10E" w14:textId="77777777" w:rsidR="0048679D" w:rsidRPr="00A538DD" w:rsidRDefault="0048679D">
            <w:pPr>
              <w:spacing w:before="0"/>
            </w:pPr>
            <w:r w:rsidRPr="00A538DD">
              <w:t>Guldterminer, positivt vä</w:t>
            </w:r>
            <w:r w:rsidRPr="00A538DD">
              <w:t>r</w:t>
            </w:r>
            <w:r w:rsidRPr="00A538DD">
              <w:t>de</w:t>
            </w:r>
          </w:p>
        </w:tc>
        <w:tc>
          <w:tcPr>
            <w:tcW w:w="1531" w:type="dxa"/>
          </w:tcPr>
          <w:p w14:paraId="5CD95CBE" w14:textId="77777777" w:rsidR="0048679D" w:rsidRPr="00A538DD" w:rsidRDefault="0048679D">
            <w:pPr>
              <w:spacing w:before="0"/>
              <w:jc w:val="right"/>
            </w:pPr>
            <w:r w:rsidRPr="00A538DD">
              <w:t>–9</w:t>
            </w:r>
          </w:p>
        </w:tc>
        <w:tc>
          <w:tcPr>
            <w:tcW w:w="1531" w:type="dxa"/>
          </w:tcPr>
          <w:p w14:paraId="19C7C9E1" w14:textId="77777777" w:rsidR="0048679D" w:rsidRPr="00A538DD" w:rsidRDefault="0048679D">
            <w:pPr>
              <w:spacing w:before="0"/>
              <w:jc w:val="right"/>
            </w:pPr>
            <w:r w:rsidRPr="00A538DD">
              <w:t>–</w:t>
            </w:r>
          </w:p>
        </w:tc>
      </w:tr>
      <w:tr w:rsidR="00000000" w:rsidRPr="00A538DD" w14:paraId="55605EFF" w14:textId="77777777">
        <w:tblPrEx>
          <w:tblCellMar>
            <w:top w:w="0" w:type="dxa"/>
            <w:bottom w:w="0" w:type="dxa"/>
          </w:tblCellMar>
        </w:tblPrEx>
        <w:trPr>
          <w:cantSplit/>
        </w:trPr>
        <w:tc>
          <w:tcPr>
            <w:tcW w:w="2835" w:type="dxa"/>
          </w:tcPr>
          <w:p w14:paraId="15E45F53" w14:textId="77777777" w:rsidR="0048679D" w:rsidRPr="00A538DD" w:rsidRDefault="0048679D">
            <w:pPr>
              <w:spacing w:before="0"/>
            </w:pPr>
            <w:r w:rsidRPr="00A538DD">
              <w:t>Valutasvappar, negativt värde</w:t>
            </w:r>
          </w:p>
        </w:tc>
        <w:tc>
          <w:tcPr>
            <w:tcW w:w="1531" w:type="dxa"/>
          </w:tcPr>
          <w:p w14:paraId="7529ABB8" w14:textId="77777777" w:rsidR="0048679D" w:rsidRPr="00A538DD" w:rsidRDefault="0048679D">
            <w:pPr>
              <w:spacing w:before="0"/>
              <w:jc w:val="right"/>
            </w:pPr>
            <w:r w:rsidRPr="00A538DD">
              <w:t>150</w:t>
            </w:r>
          </w:p>
        </w:tc>
        <w:tc>
          <w:tcPr>
            <w:tcW w:w="1531" w:type="dxa"/>
          </w:tcPr>
          <w:p w14:paraId="5AADB75D" w14:textId="77777777" w:rsidR="0048679D" w:rsidRPr="00A538DD" w:rsidRDefault="0048679D">
            <w:pPr>
              <w:spacing w:before="0"/>
              <w:jc w:val="right"/>
            </w:pPr>
            <w:r w:rsidRPr="00A538DD">
              <w:t>94</w:t>
            </w:r>
          </w:p>
        </w:tc>
      </w:tr>
      <w:tr w:rsidR="00000000" w:rsidRPr="00A538DD" w14:paraId="10B3B715" w14:textId="77777777">
        <w:tblPrEx>
          <w:tblCellMar>
            <w:top w:w="0" w:type="dxa"/>
            <w:bottom w:w="0" w:type="dxa"/>
          </w:tblCellMar>
        </w:tblPrEx>
        <w:trPr>
          <w:cantSplit/>
        </w:trPr>
        <w:tc>
          <w:tcPr>
            <w:tcW w:w="2835" w:type="dxa"/>
          </w:tcPr>
          <w:p w14:paraId="6D295246" w14:textId="77777777" w:rsidR="0048679D" w:rsidRPr="00A538DD" w:rsidRDefault="0048679D">
            <w:pPr>
              <w:spacing w:before="0"/>
            </w:pPr>
            <w:r w:rsidRPr="00A538DD">
              <w:t>Valutasvappar, positivt värde</w:t>
            </w:r>
          </w:p>
        </w:tc>
        <w:tc>
          <w:tcPr>
            <w:tcW w:w="1531" w:type="dxa"/>
          </w:tcPr>
          <w:p w14:paraId="65462803" w14:textId="77777777" w:rsidR="0048679D" w:rsidRPr="00A538DD" w:rsidRDefault="0048679D">
            <w:pPr>
              <w:spacing w:before="0"/>
              <w:jc w:val="right"/>
            </w:pPr>
            <w:r w:rsidRPr="00A538DD">
              <w:t>–78</w:t>
            </w:r>
          </w:p>
        </w:tc>
        <w:tc>
          <w:tcPr>
            <w:tcW w:w="1531" w:type="dxa"/>
          </w:tcPr>
          <w:p w14:paraId="4F79DA2C" w14:textId="77777777" w:rsidR="0048679D" w:rsidRPr="00A538DD" w:rsidRDefault="0048679D">
            <w:pPr>
              <w:spacing w:before="0"/>
              <w:jc w:val="right"/>
            </w:pPr>
            <w:r w:rsidRPr="00A538DD">
              <w:t>–78</w:t>
            </w:r>
          </w:p>
        </w:tc>
      </w:tr>
      <w:tr w:rsidR="00000000" w:rsidRPr="00A538DD" w14:paraId="5D3F28CA"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59836616"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20F04272" w14:textId="77777777" w:rsidR="0048679D" w:rsidRPr="00A538DD" w:rsidRDefault="0048679D">
            <w:pPr>
              <w:spacing w:before="0"/>
              <w:jc w:val="right"/>
            </w:pPr>
            <w:r w:rsidRPr="00A538DD">
              <w:t>85</w:t>
            </w:r>
          </w:p>
        </w:tc>
        <w:tc>
          <w:tcPr>
            <w:tcW w:w="1531" w:type="dxa"/>
            <w:tcBorders>
              <w:top w:val="single" w:sz="4" w:space="0" w:color="auto"/>
              <w:bottom w:val="single" w:sz="4" w:space="0" w:color="auto"/>
            </w:tcBorders>
            <w:vAlign w:val="center"/>
          </w:tcPr>
          <w:p w14:paraId="3C31CAD5" w14:textId="77777777" w:rsidR="0048679D" w:rsidRPr="00A538DD" w:rsidRDefault="0048679D">
            <w:pPr>
              <w:spacing w:before="0"/>
              <w:jc w:val="right"/>
            </w:pPr>
            <w:r w:rsidRPr="00A538DD">
              <w:t>16</w:t>
            </w:r>
          </w:p>
        </w:tc>
      </w:tr>
    </w:tbl>
    <w:p w14:paraId="5B0CBE4C" w14:textId="77777777" w:rsidR="0048679D" w:rsidRPr="00A538DD" w:rsidRDefault="0048679D">
      <w:r w:rsidRPr="00A538DD">
        <w:t>Under denna post redovisas derivatinstrument med negativt nettomarknad</w:t>
      </w:r>
      <w:r w:rsidRPr="00A538DD">
        <w:t>s</w:t>
      </w:r>
      <w:r w:rsidRPr="00A538DD">
        <w:t xml:space="preserve">värde. </w:t>
      </w:r>
    </w:p>
    <w:p w14:paraId="12ED5F8D" w14:textId="77777777" w:rsidR="0048679D" w:rsidRPr="00A538DD" w:rsidRDefault="0048679D">
      <w:r w:rsidRPr="00A538DD">
        <w:t>Derivatkontraktens nominella belopp, som redovisas inom linjen se not 37, framgår nedan:</w:t>
      </w:r>
    </w:p>
    <w:tbl>
      <w:tblPr>
        <w:tblW w:w="0" w:type="auto"/>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2FA72009" w14:textId="77777777">
        <w:tblPrEx>
          <w:tblCellMar>
            <w:top w:w="0" w:type="dxa"/>
            <w:bottom w:w="0" w:type="dxa"/>
          </w:tblCellMar>
        </w:tblPrEx>
        <w:trPr>
          <w:cantSplit/>
          <w:trHeight w:val="369"/>
        </w:trPr>
        <w:tc>
          <w:tcPr>
            <w:tcW w:w="2835" w:type="dxa"/>
            <w:tcBorders>
              <w:top w:val="single" w:sz="4" w:space="0" w:color="auto"/>
              <w:bottom w:val="single" w:sz="4" w:space="0" w:color="auto"/>
            </w:tcBorders>
          </w:tcPr>
          <w:p w14:paraId="377753F4"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77DC862A" w14:textId="77777777" w:rsidR="0048679D" w:rsidRPr="00A538DD" w:rsidRDefault="0048679D">
            <w:pPr>
              <w:spacing w:before="0"/>
              <w:jc w:val="right"/>
            </w:pPr>
            <w:r w:rsidRPr="00A538DD">
              <w:t>2004-12-31</w:t>
            </w:r>
          </w:p>
        </w:tc>
        <w:tc>
          <w:tcPr>
            <w:tcW w:w="1531" w:type="dxa"/>
            <w:tcBorders>
              <w:top w:val="single" w:sz="4" w:space="0" w:color="auto"/>
              <w:bottom w:val="single" w:sz="4" w:space="0" w:color="auto"/>
            </w:tcBorders>
            <w:vAlign w:val="center"/>
          </w:tcPr>
          <w:p w14:paraId="6213E0E2" w14:textId="77777777" w:rsidR="0048679D" w:rsidRPr="00A538DD" w:rsidRDefault="0048679D">
            <w:pPr>
              <w:spacing w:before="0"/>
              <w:jc w:val="right"/>
            </w:pPr>
            <w:r w:rsidRPr="00A538DD">
              <w:t>2003-12-31</w:t>
            </w:r>
          </w:p>
        </w:tc>
      </w:tr>
      <w:tr w:rsidR="00000000" w:rsidRPr="00A538DD" w14:paraId="1CDBAD4E" w14:textId="77777777">
        <w:tblPrEx>
          <w:tblCellMar>
            <w:top w:w="0" w:type="dxa"/>
            <w:bottom w:w="0" w:type="dxa"/>
          </w:tblCellMar>
        </w:tblPrEx>
        <w:trPr>
          <w:cantSplit/>
        </w:trPr>
        <w:tc>
          <w:tcPr>
            <w:tcW w:w="2835" w:type="dxa"/>
          </w:tcPr>
          <w:p w14:paraId="3984BC42" w14:textId="77777777" w:rsidR="0048679D" w:rsidRPr="00A538DD" w:rsidRDefault="0048679D">
            <w:pPr>
              <w:spacing w:before="0"/>
            </w:pPr>
            <w:r w:rsidRPr="00A538DD">
              <w:t>Guldterminer, negativt vä</w:t>
            </w:r>
            <w:r w:rsidRPr="00A538DD">
              <w:t>r</w:t>
            </w:r>
            <w:r w:rsidRPr="00A538DD">
              <w:t>de</w:t>
            </w:r>
          </w:p>
        </w:tc>
        <w:tc>
          <w:tcPr>
            <w:tcW w:w="1531" w:type="dxa"/>
          </w:tcPr>
          <w:p w14:paraId="3436F24A" w14:textId="77777777" w:rsidR="0048679D" w:rsidRPr="00A538DD" w:rsidRDefault="0048679D">
            <w:pPr>
              <w:spacing w:before="0"/>
              <w:jc w:val="right"/>
            </w:pPr>
            <w:r w:rsidRPr="00A538DD">
              <w:t>683</w:t>
            </w:r>
          </w:p>
        </w:tc>
        <w:tc>
          <w:tcPr>
            <w:tcW w:w="1531" w:type="dxa"/>
          </w:tcPr>
          <w:p w14:paraId="3AF9D135" w14:textId="77777777" w:rsidR="0048679D" w:rsidRPr="00A538DD" w:rsidRDefault="0048679D">
            <w:pPr>
              <w:spacing w:before="0"/>
              <w:jc w:val="right"/>
            </w:pPr>
            <w:r w:rsidRPr="00A538DD">
              <w:t>–</w:t>
            </w:r>
          </w:p>
        </w:tc>
      </w:tr>
      <w:tr w:rsidR="00000000" w:rsidRPr="00A538DD" w14:paraId="2B4E1D28" w14:textId="77777777">
        <w:tblPrEx>
          <w:tblCellMar>
            <w:top w:w="0" w:type="dxa"/>
            <w:bottom w:w="0" w:type="dxa"/>
          </w:tblCellMar>
        </w:tblPrEx>
        <w:trPr>
          <w:cantSplit/>
        </w:trPr>
        <w:tc>
          <w:tcPr>
            <w:tcW w:w="2835" w:type="dxa"/>
          </w:tcPr>
          <w:p w14:paraId="32945504" w14:textId="77777777" w:rsidR="0048679D" w:rsidRPr="00A538DD" w:rsidRDefault="0048679D">
            <w:pPr>
              <w:spacing w:before="0"/>
            </w:pPr>
            <w:r w:rsidRPr="00A538DD">
              <w:t>Guldterminer, positivt vä</w:t>
            </w:r>
            <w:r w:rsidRPr="00A538DD">
              <w:t>r</w:t>
            </w:r>
            <w:r w:rsidRPr="00A538DD">
              <w:t>de</w:t>
            </w:r>
          </w:p>
        </w:tc>
        <w:tc>
          <w:tcPr>
            <w:tcW w:w="1531" w:type="dxa"/>
          </w:tcPr>
          <w:p w14:paraId="7F8E3F75" w14:textId="77777777" w:rsidR="0048679D" w:rsidRPr="00A538DD" w:rsidRDefault="0048679D">
            <w:pPr>
              <w:spacing w:before="0"/>
              <w:jc w:val="right"/>
            </w:pPr>
            <w:r w:rsidRPr="00A538DD">
              <w:t>479</w:t>
            </w:r>
          </w:p>
        </w:tc>
        <w:tc>
          <w:tcPr>
            <w:tcW w:w="1531" w:type="dxa"/>
          </w:tcPr>
          <w:p w14:paraId="0F2576E0" w14:textId="77777777" w:rsidR="0048679D" w:rsidRPr="00A538DD" w:rsidRDefault="0048679D">
            <w:pPr>
              <w:spacing w:before="0"/>
              <w:jc w:val="right"/>
            </w:pPr>
            <w:r w:rsidRPr="00A538DD">
              <w:t>–</w:t>
            </w:r>
          </w:p>
        </w:tc>
      </w:tr>
      <w:tr w:rsidR="00000000" w:rsidRPr="00A538DD" w14:paraId="2BA76881" w14:textId="77777777">
        <w:tblPrEx>
          <w:tblCellMar>
            <w:top w:w="0" w:type="dxa"/>
            <w:bottom w:w="0" w:type="dxa"/>
          </w:tblCellMar>
        </w:tblPrEx>
        <w:trPr>
          <w:cantSplit/>
        </w:trPr>
        <w:tc>
          <w:tcPr>
            <w:tcW w:w="2835" w:type="dxa"/>
          </w:tcPr>
          <w:p w14:paraId="6EC160B2" w14:textId="77777777" w:rsidR="0048679D" w:rsidRPr="00A538DD" w:rsidRDefault="0048679D">
            <w:pPr>
              <w:spacing w:before="0"/>
            </w:pPr>
            <w:r w:rsidRPr="00A538DD">
              <w:t>Valutasvappar, negativt värde</w:t>
            </w:r>
          </w:p>
        </w:tc>
        <w:tc>
          <w:tcPr>
            <w:tcW w:w="1531" w:type="dxa"/>
          </w:tcPr>
          <w:p w14:paraId="0BA76C5A" w14:textId="77777777" w:rsidR="0048679D" w:rsidRPr="00A538DD" w:rsidRDefault="0048679D">
            <w:pPr>
              <w:spacing w:before="0"/>
              <w:jc w:val="right"/>
            </w:pPr>
            <w:r w:rsidRPr="00A538DD">
              <w:t>1 618</w:t>
            </w:r>
          </w:p>
        </w:tc>
        <w:tc>
          <w:tcPr>
            <w:tcW w:w="1531" w:type="dxa"/>
          </w:tcPr>
          <w:p w14:paraId="30F46A86" w14:textId="77777777" w:rsidR="0048679D" w:rsidRPr="00A538DD" w:rsidRDefault="0048679D">
            <w:pPr>
              <w:spacing w:before="0"/>
              <w:jc w:val="right"/>
            </w:pPr>
            <w:r w:rsidRPr="00A538DD">
              <w:t>5 051</w:t>
            </w:r>
          </w:p>
        </w:tc>
      </w:tr>
      <w:tr w:rsidR="00000000" w:rsidRPr="00A538DD" w14:paraId="2832A9CD" w14:textId="77777777">
        <w:tblPrEx>
          <w:tblCellMar>
            <w:top w:w="0" w:type="dxa"/>
            <w:bottom w:w="0" w:type="dxa"/>
          </w:tblCellMar>
        </w:tblPrEx>
        <w:trPr>
          <w:cantSplit/>
        </w:trPr>
        <w:tc>
          <w:tcPr>
            <w:tcW w:w="2835" w:type="dxa"/>
          </w:tcPr>
          <w:p w14:paraId="5060DDD3" w14:textId="77777777" w:rsidR="0048679D" w:rsidRPr="00A538DD" w:rsidRDefault="0048679D">
            <w:pPr>
              <w:spacing w:before="0"/>
            </w:pPr>
            <w:r w:rsidRPr="00A538DD">
              <w:t>Valutasvappar, positivt värde</w:t>
            </w:r>
          </w:p>
        </w:tc>
        <w:tc>
          <w:tcPr>
            <w:tcW w:w="1531" w:type="dxa"/>
          </w:tcPr>
          <w:p w14:paraId="2F2AD400" w14:textId="77777777" w:rsidR="0048679D" w:rsidRPr="00A538DD" w:rsidRDefault="0048679D">
            <w:pPr>
              <w:spacing w:before="0"/>
              <w:jc w:val="right"/>
            </w:pPr>
            <w:r w:rsidRPr="00A538DD">
              <w:t>4 821</w:t>
            </w:r>
          </w:p>
        </w:tc>
        <w:tc>
          <w:tcPr>
            <w:tcW w:w="1531" w:type="dxa"/>
          </w:tcPr>
          <w:p w14:paraId="1913D081" w14:textId="77777777" w:rsidR="0048679D" w:rsidRPr="00A538DD" w:rsidRDefault="0048679D">
            <w:pPr>
              <w:spacing w:before="0"/>
              <w:jc w:val="right"/>
            </w:pPr>
            <w:r w:rsidRPr="00A538DD">
              <w:t>2 696</w:t>
            </w:r>
          </w:p>
        </w:tc>
      </w:tr>
      <w:tr w:rsidR="00000000" w:rsidRPr="00A538DD" w14:paraId="33B1B3C7"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3AA8D525"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7A05C4B4" w14:textId="77777777" w:rsidR="0048679D" w:rsidRPr="00A538DD" w:rsidRDefault="0048679D">
            <w:pPr>
              <w:spacing w:before="0"/>
              <w:jc w:val="right"/>
            </w:pPr>
            <w:r w:rsidRPr="00A538DD">
              <w:t>7 601</w:t>
            </w:r>
          </w:p>
        </w:tc>
        <w:tc>
          <w:tcPr>
            <w:tcW w:w="1531" w:type="dxa"/>
            <w:tcBorders>
              <w:top w:val="single" w:sz="4" w:space="0" w:color="auto"/>
              <w:bottom w:val="single" w:sz="4" w:space="0" w:color="auto"/>
            </w:tcBorders>
            <w:vAlign w:val="center"/>
          </w:tcPr>
          <w:p w14:paraId="4A582C8B" w14:textId="77777777" w:rsidR="0048679D" w:rsidRPr="00A538DD" w:rsidRDefault="0048679D">
            <w:pPr>
              <w:spacing w:before="0"/>
              <w:jc w:val="right"/>
            </w:pPr>
            <w:r w:rsidRPr="00A538DD">
              <w:t>7 747</w:t>
            </w:r>
          </w:p>
        </w:tc>
      </w:tr>
    </w:tbl>
    <w:p w14:paraId="434AA69E" w14:textId="77777777" w:rsidR="0048679D" w:rsidRPr="00A538DD" w:rsidRDefault="0048679D"/>
    <w:p w14:paraId="21E6E69F" w14:textId="77777777" w:rsidR="0048679D" w:rsidRPr="00A538DD" w:rsidRDefault="0048679D">
      <w:pPr>
        <w:rPr>
          <w:b/>
        </w:rPr>
      </w:pPr>
      <w:r w:rsidRPr="00A538DD">
        <w:rPr>
          <w:b/>
        </w:rPr>
        <w:t>Not 19 Upplupna kostnader och förutbetalda intäkter</w:t>
      </w:r>
    </w:p>
    <w:p w14:paraId="322A38D4" w14:textId="77777777" w:rsidR="0048679D" w:rsidRPr="00A538DD" w:rsidRDefault="0048679D">
      <w:r w:rsidRPr="00A538DD">
        <w:t xml:space="preserve">Under denna post redovisas upplupna kostnader och förutbetalda intäkter. </w:t>
      </w:r>
    </w:p>
    <w:p w14:paraId="18D2F968" w14:textId="77777777" w:rsidR="0048679D" w:rsidRPr="00A538DD" w:rsidRDefault="0048679D"/>
    <w:p w14:paraId="70B6BCD5" w14:textId="77777777" w:rsidR="0048679D" w:rsidRPr="00A538DD" w:rsidRDefault="0048679D">
      <w:pPr>
        <w:rPr>
          <w:b/>
        </w:rPr>
      </w:pPr>
      <w:r w:rsidRPr="00A538DD">
        <w:rPr>
          <w:b/>
        </w:rPr>
        <w:t>Not 20 Övriga skulder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35A89E76" w14:textId="77777777">
        <w:tblPrEx>
          <w:tblCellMar>
            <w:top w:w="0" w:type="dxa"/>
            <w:bottom w:w="0" w:type="dxa"/>
          </w:tblCellMar>
        </w:tblPrEx>
        <w:trPr>
          <w:cantSplit/>
          <w:trHeight w:val="369"/>
        </w:trPr>
        <w:tc>
          <w:tcPr>
            <w:tcW w:w="2835" w:type="dxa"/>
            <w:tcBorders>
              <w:top w:val="single" w:sz="4" w:space="0" w:color="auto"/>
              <w:bottom w:val="single" w:sz="4" w:space="0" w:color="auto"/>
            </w:tcBorders>
          </w:tcPr>
          <w:p w14:paraId="2D771E1B"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4DCACCD9" w14:textId="77777777" w:rsidR="0048679D" w:rsidRPr="00A538DD" w:rsidRDefault="0048679D">
            <w:pPr>
              <w:spacing w:before="0"/>
              <w:jc w:val="right"/>
            </w:pPr>
            <w:r w:rsidRPr="00A538DD">
              <w:t>2004-12-31</w:t>
            </w:r>
          </w:p>
        </w:tc>
        <w:tc>
          <w:tcPr>
            <w:tcW w:w="1531" w:type="dxa"/>
            <w:tcBorders>
              <w:top w:val="single" w:sz="4" w:space="0" w:color="auto"/>
              <w:bottom w:val="single" w:sz="4" w:space="0" w:color="auto"/>
            </w:tcBorders>
            <w:vAlign w:val="center"/>
          </w:tcPr>
          <w:p w14:paraId="78216EE7" w14:textId="77777777" w:rsidR="0048679D" w:rsidRPr="00A538DD" w:rsidRDefault="0048679D">
            <w:pPr>
              <w:spacing w:before="0"/>
              <w:jc w:val="right"/>
            </w:pPr>
            <w:r w:rsidRPr="00A538DD">
              <w:t>2003-12-31</w:t>
            </w:r>
          </w:p>
        </w:tc>
      </w:tr>
      <w:tr w:rsidR="00000000" w:rsidRPr="00A538DD" w14:paraId="53EE1E34" w14:textId="77777777">
        <w:tblPrEx>
          <w:tblCellMar>
            <w:top w:w="0" w:type="dxa"/>
            <w:bottom w:w="0" w:type="dxa"/>
          </w:tblCellMar>
        </w:tblPrEx>
        <w:trPr>
          <w:cantSplit/>
        </w:trPr>
        <w:tc>
          <w:tcPr>
            <w:tcW w:w="2835" w:type="dxa"/>
            <w:tcBorders>
              <w:top w:val="single" w:sz="4" w:space="0" w:color="auto"/>
            </w:tcBorders>
          </w:tcPr>
          <w:p w14:paraId="20D3E92A" w14:textId="77777777" w:rsidR="0048679D" w:rsidRPr="00A538DD" w:rsidRDefault="0048679D">
            <w:pPr>
              <w:spacing w:before="0"/>
            </w:pPr>
            <w:r w:rsidRPr="00A538DD">
              <w:t>Leverantörsskuld</w:t>
            </w:r>
          </w:p>
        </w:tc>
        <w:tc>
          <w:tcPr>
            <w:tcW w:w="1531" w:type="dxa"/>
            <w:tcBorders>
              <w:top w:val="single" w:sz="4" w:space="0" w:color="auto"/>
            </w:tcBorders>
          </w:tcPr>
          <w:p w14:paraId="7CA4B0FE" w14:textId="77777777" w:rsidR="0048679D" w:rsidRPr="00A538DD" w:rsidRDefault="0048679D">
            <w:pPr>
              <w:spacing w:before="0"/>
              <w:jc w:val="right"/>
            </w:pPr>
            <w:r w:rsidRPr="00A538DD">
              <w:t>47</w:t>
            </w:r>
          </w:p>
        </w:tc>
        <w:tc>
          <w:tcPr>
            <w:tcW w:w="1531" w:type="dxa"/>
            <w:tcBorders>
              <w:top w:val="single" w:sz="4" w:space="0" w:color="auto"/>
            </w:tcBorders>
          </w:tcPr>
          <w:p w14:paraId="5526FE14" w14:textId="77777777" w:rsidR="0048679D" w:rsidRPr="00A538DD" w:rsidRDefault="0048679D">
            <w:pPr>
              <w:spacing w:before="0"/>
              <w:jc w:val="right"/>
            </w:pPr>
            <w:r w:rsidRPr="00A538DD">
              <w:t>55</w:t>
            </w:r>
          </w:p>
        </w:tc>
      </w:tr>
      <w:tr w:rsidR="00000000" w:rsidRPr="00A538DD" w14:paraId="1D985830" w14:textId="77777777">
        <w:tblPrEx>
          <w:tblCellMar>
            <w:top w:w="0" w:type="dxa"/>
            <w:bottom w:w="0" w:type="dxa"/>
          </w:tblCellMar>
        </w:tblPrEx>
        <w:trPr>
          <w:cantSplit/>
        </w:trPr>
        <w:tc>
          <w:tcPr>
            <w:tcW w:w="2835" w:type="dxa"/>
            <w:tcBorders>
              <w:bottom w:val="single" w:sz="4" w:space="0" w:color="auto"/>
            </w:tcBorders>
          </w:tcPr>
          <w:p w14:paraId="7109A208" w14:textId="77777777" w:rsidR="0048679D" w:rsidRPr="00A538DD" w:rsidRDefault="0048679D">
            <w:pPr>
              <w:spacing w:before="0"/>
            </w:pPr>
            <w:r w:rsidRPr="00A538DD">
              <w:t>Övrigt</w:t>
            </w:r>
          </w:p>
        </w:tc>
        <w:tc>
          <w:tcPr>
            <w:tcW w:w="1531" w:type="dxa"/>
          </w:tcPr>
          <w:p w14:paraId="1999F163" w14:textId="77777777" w:rsidR="0048679D" w:rsidRPr="00A538DD" w:rsidRDefault="0048679D">
            <w:pPr>
              <w:spacing w:before="0"/>
              <w:jc w:val="right"/>
            </w:pPr>
            <w:r w:rsidRPr="00A538DD">
              <w:t>22</w:t>
            </w:r>
          </w:p>
        </w:tc>
        <w:tc>
          <w:tcPr>
            <w:tcW w:w="1531" w:type="dxa"/>
          </w:tcPr>
          <w:p w14:paraId="41CE2CC5" w14:textId="77777777" w:rsidR="0048679D" w:rsidRPr="00A538DD" w:rsidRDefault="0048679D">
            <w:pPr>
              <w:spacing w:before="0"/>
              <w:jc w:val="right"/>
            </w:pPr>
            <w:r w:rsidRPr="00A538DD">
              <w:t>16</w:t>
            </w:r>
          </w:p>
        </w:tc>
      </w:tr>
      <w:tr w:rsidR="00000000" w:rsidRPr="00A538DD" w14:paraId="5A7F597A"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787BDC03"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42B4503B" w14:textId="77777777" w:rsidR="0048679D" w:rsidRPr="00A538DD" w:rsidRDefault="0048679D">
            <w:pPr>
              <w:spacing w:before="0"/>
              <w:jc w:val="right"/>
            </w:pPr>
            <w:r w:rsidRPr="00A538DD">
              <w:t>69</w:t>
            </w:r>
          </w:p>
        </w:tc>
        <w:tc>
          <w:tcPr>
            <w:tcW w:w="1531" w:type="dxa"/>
            <w:tcBorders>
              <w:top w:val="single" w:sz="4" w:space="0" w:color="auto"/>
              <w:bottom w:val="single" w:sz="4" w:space="0" w:color="auto"/>
            </w:tcBorders>
            <w:vAlign w:val="center"/>
          </w:tcPr>
          <w:p w14:paraId="1A76CC11" w14:textId="77777777" w:rsidR="0048679D" w:rsidRPr="00A538DD" w:rsidRDefault="0048679D">
            <w:pPr>
              <w:spacing w:before="0"/>
              <w:jc w:val="right"/>
            </w:pPr>
            <w:r w:rsidRPr="00A538DD">
              <w:t>71</w:t>
            </w:r>
          </w:p>
        </w:tc>
      </w:tr>
    </w:tbl>
    <w:p w14:paraId="62988B17" w14:textId="77777777" w:rsidR="0048679D" w:rsidRPr="00A538DD" w:rsidRDefault="0048679D"/>
    <w:p w14:paraId="111CCF2B" w14:textId="77777777" w:rsidR="0048679D" w:rsidRPr="00A538DD" w:rsidRDefault="0048679D">
      <w:pPr>
        <w:rPr>
          <w:b/>
        </w:rPr>
      </w:pPr>
      <w:r w:rsidRPr="00A538DD">
        <w:rPr>
          <w:b/>
        </w:rPr>
        <w:t>Not 21 Avsättningar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3D23E726" w14:textId="77777777">
        <w:tblPrEx>
          <w:tblCellMar>
            <w:top w:w="0" w:type="dxa"/>
            <w:bottom w:w="0" w:type="dxa"/>
          </w:tblCellMar>
        </w:tblPrEx>
        <w:trPr>
          <w:cantSplit/>
          <w:trHeight w:val="369"/>
        </w:trPr>
        <w:tc>
          <w:tcPr>
            <w:tcW w:w="2835" w:type="dxa"/>
            <w:tcBorders>
              <w:top w:val="single" w:sz="4" w:space="0" w:color="auto"/>
              <w:bottom w:val="single" w:sz="4" w:space="0" w:color="auto"/>
            </w:tcBorders>
          </w:tcPr>
          <w:p w14:paraId="194467FC"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7055ED56" w14:textId="77777777" w:rsidR="0048679D" w:rsidRPr="00A538DD" w:rsidRDefault="0048679D">
            <w:pPr>
              <w:spacing w:before="0"/>
              <w:jc w:val="right"/>
            </w:pPr>
            <w:r w:rsidRPr="00A538DD">
              <w:t>2004-12-31</w:t>
            </w:r>
          </w:p>
        </w:tc>
        <w:tc>
          <w:tcPr>
            <w:tcW w:w="1531" w:type="dxa"/>
            <w:tcBorders>
              <w:top w:val="single" w:sz="4" w:space="0" w:color="auto"/>
              <w:bottom w:val="single" w:sz="4" w:space="0" w:color="auto"/>
            </w:tcBorders>
            <w:vAlign w:val="center"/>
          </w:tcPr>
          <w:p w14:paraId="2B7EDE53" w14:textId="77777777" w:rsidR="0048679D" w:rsidRPr="00A538DD" w:rsidRDefault="0048679D">
            <w:pPr>
              <w:spacing w:before="0"/>
              <w:jc w:val="right"/>
            </w:pPr>
            <w:r w:rsidRPr="00A538DD">
              <w:t>2003-12-31</w:t>
            </w:r>
          </w:p>
        </w:tc>
      </w:tr>
      <w:tr w:rsidR="00000000" w:rsidRPr="00A538DD" w14:paraId="40D72986" w14:textId="77777777">
        <w:tblPrEx>
          <w:tblCellMar>
            <w:top w:w="0" w:type="dxa"/>
            <w:bottom w:w="0" w:type="dxa"/>
          </w:tblCellMar>
        </w:tblPrEx>
        <w:trPr>
          <w:cantSplit/>
        </w:trPr>
        <w:tc>
          <w:tcPr>
            <w:tcW w:w="2835" w:type="dxa"/>
            <w:tcBorders>
              <w:top w:val="single" w:sz="4" w:space="0" w:color="auto"/>
            </w:tcBorders>
          </w:tcPr>
          <w:p w14:paraId="25678435" w14:textId="77777777" w:rsidR="0048679D" w:rsidRPr="00A538DD" w:rsidRDefault="0048679D">
            <w:pPr>
              <w:spacing w:before="0"/>
            </w:pPr>
            <w:r w:rsidRPr="00A538DD">
              <w:t>Pensionsskuld</w:t>
            </w:r>
          </w:p>
        </w:tc>
        <w:tc>
          <w:tcPr>
            <w:tcW w:w="1531" w:type="dxa"/>
            <w:tcBorders>
              <w:top w:val="single" w:sz="4" w:space="0" w:color="auto"/>
            </w:tcBorders>
          </w:tcPr>
          <w:p w14:paraId="0F47B235" w14:textId="77777777" w:rsidR="0048679D" w:rsidRPr="00A538DD" w:rsidRDefault="0048679D">
            <w:pPr>
              <w:spacing w:before="0"/>
              <w:jc w:val="right"/>
            </w:pPr>
            <w:r w:rsidRPr="00A538DD">
              <w:t>171</w:t>
            </w:r>
          </w:p>
        </w:tc>
        <w:tc>
          <w:tcPr>
            <w:tcW w:w="1531" w:type="dxa"/>
            <w:tcBorders>
              <w:top w:val="single" w:sz="4" w:space="0" w:color="auto"/>
            </w:tcBorders>
          </w:tcPr>
          <w:p w14:paraId="4C8C63A2" w14:textId="77777777" w:rsidR="0048679D" w:rsidRPr="00A538DD" w:rsidRDefault="0048679D">
            <w:pPr>
              <w:spacing w:before="0"/>
              <w:jc w:val="right"/>
            </w:pPr>
            <w:r w:rsidRPr="00A538DD">
              <w:t>184</w:t>
            </w:r>
          </w:p>
        </w:tc>
      </w:tr>
      <w:tr w:rsidR="00000000" w:rsidRPr="00A538DD" w14:paraId="2A9F1706" w14:textId="77777777">
        <w:tblPrEx>
          <w:tblCellMar>
            <w:top w:w="0" w:type="dxa"/>
            <w:bottom w:w="0" w:type="dxa"/>
          </w:tblCellMar>
        </w:tblPrEx>
        <w:trPr>
          <w:cantSplit/>
        </w:trPr>
        <w:tc>
          <w:tcPr>
            <w:tcW w:w="2835" w:type="dxa"/>
            <w:tcBorders>
              <w:bottom w:val="single" w:sz="4" w:space="0" w:color="auto"/>
            </w:tcBorders>
          </w:tcPr>
          <w:p w14:paraId="1960D432" w14:textId="77777777" w:rsidR="0048679D" w:rsidRPr="00A538DD" w:rsidRDefault="0048679D">
            <w:pPr>
              <w:spacing w:before="0"/>
            </w:pPr>
            <w:r w:rsidRPr="00A538DD">
              <w:t>Övriga avsättningar</w:t>
            </w:r>
          </w:p>
        </w:tc>
        <w:tc>
          <w:tcPr>
            <w:tcW w:w="1531" w:type="dxa"/>
          </w:tcPr>
          <w:p w14:paraId="32B945D3" w14:textId="77777777" w:rsidR="0048679D" w:rsidRPr="00A538DD" w:rsidRDefault="0048679D">
            <w:pPr>
              <w:spacing w:before="0"/>
              <w:jc w:val="right"/>
            </w:pPr>
            <w:r w:rsidRPr="00A538DD">
              <w:t>133</w:t>
            </w:r>
          </w:p>
        </w:tc>
        <w:tc>
          <w:tcPr>
            <w:tcW w:w="1531" w:type="dxa"/>
          </w:tcPr>
          <w:p w14:paraId="08B88A52" w14:textId="77777777" w:rsidR="0048679D" w:rsidRPr="00A538DD" w:rsidRDefault="0048679D">
            <w:pPr>
              <w:spacing w:before="0"/>
              <w:jc w:val="right"/>
            </w:pPr>
            <w:r w:rsidRPr="00A538DD">
              <w:t>212</w:t>
            </w:r>
          </w:p>
        </w:tc>
      </w:tr>
      <w:tr w:rsidR="00000000" w:rsidRPr="00A538DD" w14:paraId="0334A6A1"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3443139A"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0C53CD4C" w14:textId="77777777" w:rsidR="0048679D" w:rsidRPr="00A538DD" w:rsidRDefault="0048679D">
            <w:pPr>
              <w:spacing w:before="0"/>
              <w:jc w:val="right"/>
            </w:pPr>
            <w:r w:rsidRPr="00A538DD">
              <w:t>304</w:t>
            </w:r>
          </w:p>
        </w:tc>
        <w:tc>
          <w:tcPr>
            <w:tcW w:w="1531" w:type="dxa"/>
            <w:tcBorders>
              <w:top w:val="single" w:sz="4" w:space="0" w:color="auto"/>
              <w:bottom w:val="single" w:sz="4" w:space="0" w:color="auto"/>
            </w:tcBorders>
            <w:vAlign w:val="center"/>
          </w:tcPr>
          <w:p w14:paraId="05F781A1" w14:textId="77777777" w:rsidR="0048679D" w:rsidRPr="00A538DD" w:rsidRDefault="0048679D">
            <w:pPr>
              <w:spacing w:before="0"/>
              <w:jc w:val="right"/>
            </w:pPr>
            <w:r w:rsidRPr="00A538DD">
              <w:t>396</w:t>
            </w:r>
          </w:p>
        </w:tc>
      </w:tr>
    </w:tbl>
    <w:p w14:paraId="15E91741" w14:textId="77777777" w:rsidR="0048679D" w:rsidRPr="00A538DD" w:rsidRDefault="0048679D"/>
    <w:p w14:paraId="2A2DC4E6" w14:textId="77777777" w:rsidR="0048679D" w:rsidRPr="00A538DD" w:rsidRDefault="0048679D">
      <w:r w:rsidRPr="00A538DD">
        <w:t>Pensionsskulden avser pensionärer och har beräknats av Statens pension</w:t>
      </w:r>
      <w:r w:rsidRPr="00A538DD">
        <w:t>s</w:t>
      </w:r>
      <w:r w:rsidRPr="00A538DD">
        <w:t xml:space="preserve">verk, SPV. </w:t>
      </w:r>
    </w:p>
    <w:p w14:paraId="38E78372" w14:textId="77777777" w:rsidR="0048679D" w:rsidRPr="00A538DD" w:rsidRDefault="0048679D"/>
    <w:p w14:paraId="24AA88BA" w14:textId="77777777" w:rsidR="0048679D" w:rsidRPr="00A538DD" w:rsidRDefault="0048679D">
      <w:r w:rsidRPr="00A538DD">
        <w:t>I posten övriga avsättningar ingår 123 miljoner kronor för ännu ej utbetalt kapitaltillskott till Pengar i Sverige AB samt bedömd kostnad för att hantera hyresavtalet för kontoret i Malmö i samband med att kontoret avvecklas u</w:t>
      </w:r>
      <w:r w:rsidRPr="00A538DD">
        <w:t>n</w:t>
      </w:r>
      <w:r w:rsidRPr="00A538DD">
        <w:t>der 2005. Vidare ingår 7 miljoner kronor avseende åtagande att till Statens fastighetsverk lämna ersättning för eftersatt underhåll av byggnader Tumba Kulturfastigheter donerade under 2002. Dessutom ingår 3 miljoner kronor avseende medel för kompetensutveckling och kompetensväxling som besl</w:t>
      </w:r>
      <w:r w:rsidRPr="00A538DD">
        <w:t>u</w:t>
      </w:r>
      <w:r w:rsidRPr="00A538DD">
        <w:t>tades i samband med att avgiften till Trygghetsstiftelsen sänktes.</w:t>
      </w:r>
    </w:p>
    <w:p w14:paraId="3D4C1905" w14:textId="77777777" w:rsidR="0048679D" w:rsidRPr="00A538DD" w:rsidRDefault="0048679D"/>
    <w:p w14:paraId="2B68994D" w14:textId="77777777" w:rsidR="0048679D" w:rsidRPr="00A538DD" w:rsidRDefault="0048679D">
      <w:pPr>
        <w:rPr>
          <w:b/>
        </w:rPr>
      </w:pPr>
      <w:r w:rsidRPr="00A538DD">
        <w:rPr>
          <w:b/>
        </w:rPr>
        <w:t>Not 22 Värderegleringskonton</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3700B9B1" w14:textId="77777777">
        <w:tblPrEx>
          <w:tblCellMar>
            <w:top w:w="0" w:type="dxa"/>
            <w:bottom w:w="0" w:type="dxa"/>
          </w:tblCellMar>
        </w:tblPrEx>
        <w:trPr>
          <w:cantSplit/>
          <w:trHeight w:val="369"/>
        </w:trPr>
        <w:tc>
          <w:tcPr>
            <w:tcW w:w="2835" w:type="dxa"/>
            <w:tcBorders>
              <w:top w:val="single" w:sz="4" w:space="0" w:color="auto"/>
            </w:tcBorders>
          </w:tcPr>
          <w:p w14:paraId="66CDF98F" w14:textId="77777777" w:rsidR="0048679D" w:rsidRPr="00A538DD" w:rsidRDefault="0048679D">
            <w:pPr>
              <w:spacing w:before="0"/>
            </w:pPr>
          </w:p>
        </w:tc>
        <w:tc>
          <w:tcPr>
            <w:tcW w:w="1531" w:type="dxa"/>
            <w:tcBorders>
              <w:top w:val="single" w:sz="4" w:space="0" w:color="auto"/>
            </w:tcBorders>
            <w:vAlign w:val="center"/>
          </w:tcPr>
          <w:p w14:paraId="06EBD3F2"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202E9B18" w14:textId="77777777" w:rsidR="0048679D" w:rsidRPr="00A538DD" w:rsidRDefault="0048679D">
            <w:pPr>
              <w:spacing w:before="0"/>
              <w:jc w:val="right"/>
            </w:pPr>
            <w:r w:rsidRPr="00A538DD">
              <w:t>2003-12-31</w:t>
            </w:r>
          </w:p>
        </w:tc>
      </w:tr>
      <w:tr w:rsidR="00000000" w:rsidRPr="00A538DD" w14:paraId="7F3A87B2" w14:textId="77777777">
        <w:tblPrEx>
          <w:tblCellMar>
            <w:top w:w="0" w:type="dxa"/>
            <w:bottom w:w="0" w:type="dxa"/>
          </w:tblCellMar>
        </w:tblPrEx>
        <w:trPr>
          <w:cantSplit/>
        </w:trPr>
        <w:tc>
          <w:tcPr>
            <w:tcW w:w="2835" w:type="dxa"/>
            <w:tcBorders>
              <w:top w:val="single" w:sz="4" w:space="0" w:color="auto"/>
            </w:tcBorders>
          </w:tcPr>
          <w:p w14:paraId="31E08A34" w14:textId="77777777" w:rsidR="0048679D" w:rsidRPr="00A538DD" w:rsidRDefault="0048679D">
            <w:pPr>
              <w:spacing w:before="0"/>
            </w:pPr>
            <w:r w:rsidRPr="00A538DD">
              <w:t>Priseffekt</w:t>
            </w:r>
          </w:p>
        </w:tc>
        <w:tc>
          <w:tcPr>
            <w:tcW w:w="1531" w:type="dxa"/>
            <w:tcBorders>
              <w:top w:val="single" w:sz="4" w:space="0" w:color="auto"/>
            </w:tcBorders>
          </w:tcPr>
          <w:p w14:paraId="0E22AAA3" w14:textId="77777777" w:rsidR="0048679D" w:rsidRPr="00A538DD" w:rsidRDefault="0048679D">
            <w:pPr>
              <w:spacing w:before="0"/>
              <w:jc w:val="right"/>
            </w:pPr>
            <w:r w:rsidRPr="00A538DD">
              <w:t>1 500</w:t>
            </w:r>
          </w:p>
        </w:tc>
        <w:tc>
          <w:tcPr>
            <w:tcW w:w="1531" w:type="dxa"/>
            <w:tcBorders>
              <w:top w:val="single" w:sz="4" w:space="0" w:color="auto"/>
            </w:tcBorders>
          </w:tcPr>
          <w:p w14:paraId="62F8D61A" w14:textId="77777777" w:rsidR="0048679D" w:rsidRPr="00A538DD" w:rsidRDefault="0048679D">
            <w:pPr>
              <w:spacing w:before="0"/>
              <w:jc w:val="right"/>
            </w:pPr>
            <w:r w:rsidRPr="00A538DD">
              <w:t>–</w:t>
            </w:r>
          </w:p>
        </w:tc>
      </w:tr>
      <w:tr w:rsidR="00000000" w:rsidRPr="00A538DD" w14:paraId="34B8507A" w14:textId="77777777">
        <w:tblPrEx>
          <w:tblCellMar>
            <w:top w:w="0" w:type="dxa"/>
            <w:bottom w:w="0" w:type="dxa"/>
          </w:tblCellMar>
        </w:tblPrEx>
        <w:trPr>
          <w:cantSplit/>
        </w:trPr>
        <w:tc>
          <w:tcPr>
            <w:tcW w:w="2835" w:type="dxa"/>
          </w:tcPr>
          <w:p w14:paraId="0374B938" w14:textId="77777777" w:rsidR="0048679D" w:rsidRPr="00A538DD" w:rsidRDefault="0048679D">
            <w:pPr>
              <w:spacing w:before="0"/>
            </w:pPr>
            <w:r w:rsidRPr="00A538DD">
              <w:t>Valutakurseffekt</w:t>
            </w:r>
          </w:p>
        </w:tc>
        <w:tc>
          <w:tcPr>
            <w:tcW w:w="1531" w:type="dxa"/>
          </w:tcPr>
          <w:p w14:paraId="2FF24F12" w14:textId="77777777" w:rsidR="0048679D" w:rsidRPr="00A538DD" w:rsidRDefault="0048679D">
            <w:pPr>
              <w:spacing w:before="0"/>
              <w:jc w:val="right"/>
            </w:pPr>
            <w:r w:rsidRPr="00A538DD">
              <w:t>23</w:t>
            </w:r>
          </w:p>
        </w:tc>
        <w:tc>
          <w:tcPr>
            <w:tcW w:w="1531" w:type="dxa"/>
          </w:tcPr>
          <w:p w14:paraId="7DD02214" w14:textId="77777777" w:rsidR="0048679D" w:rsidRPr="00A538DD" w:rsidRDefault="0048679D">
            <w:pPr>
              <w:spacing w:before="0"/>
              <w:jc w:val="right"/>
            </w:pPr>
            <w:r w:rsidRPr="00A538DD">
              <w:t>–</w:t>
            </w:r>
          </w:p>
        </w:tc>
      </w:tr>
      <w:tr w:rsidR="00000000" w:rsidRPr="00A538DD" w14:paraId="69BBFD96" w14:textId="77777777">
        <w:tblPrEx>
          <w:tblCellMar>
            <w:top w:w="0" w:type="dxa"/>
            <w:bottom w:w="0" w:type="dxa"/>
          </w:tblCellMar>
        </w:tblPrEx>
        <w:trPr>
          <w:cantSplit/>
        </w:trPr>
        <w:tc>
          <w:tcPr>
            <w:tcW w:w="2835" w:type="dxa"/>
            <w:tcBorders>
              <w:bottom w:val="single" w:sz="4" w:space="0" w:color="auto"/>
            </w:tcBorders>
          </w:tcPr>
          <w:p w14:paraId="1DF431DD" w14:textId="77777777" w:rsidR="0048679D" w:rsidRPr="00A538DD" w:rsidRDefault="0048679D">
            <w:pPr>
              <w:spacing w:before="0"/>
            </w:pPr>
            <w:r w:rsidRPr="00A538DD">
              <w:t>Guldvärderingseffekt</w:t>
            </w:r>
          </w:p>
        </w:tc>
        <w:tc>
          <w:tcPr>
            <w:tcW w:w="1531" w:type="dxa"/>
            <w:tcBorders>
              <w:bottom w:val="single" w:sz="4" w:space="0" w:color="auto"/>
            </w:tcBorders>
          </w:tcPr>
          <w:p w14:paraId="3C29A116" w14:textId="77777777" w:rsidR="0048679D" w:rsidRPr="00A538DD" w:rsidRDefault="0048679D">
            <w:pPr>
              <w:spacing w:before="0"/>
              <w:jc w:val="right"/>
            </w:pPr>
            <w:r w:rsidRPr="00A538DD">
              <w:t>–</w:t>
            </w:r>
          </w:p>
        </w:tc>
        <w:tc>
          <w:tcPr>
            <w:tcW w:w="1531" w:type="dxa"/>
            <w:tcBorders>
              <w:bottom w:val="single" w:sz="4" w:space="0" w:color="auto"/>
            </w:tcBorders>
          </w:tcPr>
          <w:p w14:paraId="24158C81" w14:textId="77777777" w:rsidR="0048679D" w:rsidRPr="00A538DD" w:rsidRDefault="0048679D">
            <w:pPr>
              <w:spacing w:before="0"/>
              <w:jc w:val="right"/>
            </w:pPr>
            <w:r w:rsidRPr="00A538DD">
              <w:t>–</w:t>
            </w:r>
          </w:p>
        </w:tc>
      </w:tr>
      <w:tr w:rsidR="00000000" w:rsidRPr="00A538DD" w14:paraId="23B9FDD2" w14:textId="77777777">
        <w:tblPrEx>
          <w:tblCellMar>
            <w:top w:w="0" w:type="dxa"/>
            <w:bottom w:w="0" w:type="dxa"/>
          </w:tblCellMar>
        </w:tblPrEx>
        <w:trPr>
          <w:cantSplit/>
        </w:trPr>
        <w:tc>
          <w:tcPr>
            <w:tcW w:w="2835" w:type="dxa"/>
            <w:tcBorders>
              <w:top w:val="single" w:sz="4" w:space="0" w:color="auto"/>
              <w:bottom w:val="single" w:sz="4" w:space="0" w:color="auto"/>
            </w:tcBorders>
          </w:tcPr>
          <w:p w14:paraId="6BFC63B1" w14:textId="77777777" w:rsidR="0048679D" w:rsidRPr="00A538DD" w:rsidRDefault="0048679D">
            <w:pPr>
              <w:spacing w:before="0"/>
            </w:pPr>
            <w:r w:rsidRPr="00A538DD">
              <w:t>Summa</w:t>
            </w:r>
          </w:p>
        </w:tc>
        <w:tc>
          <w:tcPr>
            <w:tcW w:w="1531" w:type="dxa"/>
            <w:tcBorders>
              <w:top w:val="single" w:sz="4" w:space="0" w:color="auto"/>
              <w:bottom w:val="single" w:sz="4" w:space="0" w:color="auto"/>
            </w:tcBorders>
          </w:tcPr>
          <w:p w14:paraId="4C897556" w14:textId="77777777" w:rsidR="0048679D" w:rsidRPr="00A538DD" w:rsidRDefault="0048679D">
            <w:pPr>
              <w:spacing w:before="0"/>
              <w:jc w:val="right"/>
            </w:pPr>
            <w:r w:rsidRPr="00A538DD">
              <w:t>1 523</w:t>
            </w:r>
          </w:p>
        </w:tc>
        <w:tc>
          <w:tcPr>
            <w:tcW w:w="1531" w:type="dxa"/>
            <w:tcBorders>
              <w:top w:val="single" w:sz="4" w:space="0" w:color="auto"/>
              <w:bottom w:val="single" w:sz="4" w:space="0" w:color="auto"/>
            </w:tcBorders>
          </w:tcPr>
          <w:p w14:paraId="50673DC8" w14:textId="77777777" w:rsidR="0048679D" w:rsidRPr="00A538DD" w:rsidRDefault="0048679D">
            <w:pPr>
              <w:spacing w:before="0"/>
              <w:jc w:val="right"/>
            </w:pPr>
            <w:r w:rsidRPr="00A538DD">
              <w:t>–</w:t>
            </w:r>
          </w:p>
        </w:tc>
      </w:tr>
    </w:tbl>
    <w:p w14:paraId="314B24CD" w14:textId="77777777" w:rsidR="0048679D" w:rsidRPr="00A538DD" w:rsidRDefault="0048679D"/>
    <w:p w14:paraId="2ACF9933" w14:textId="77777777" w:rsidR="0048679D" w:rsidRPr="00A538DD" w:rsidRDefault="0048679D">
      <w:r w:rsidRPr="00A538DD">
        <w:t>Från och med 2004 redovisas orealiserade vinster och förluster på särskilda värderegleringskonton. Om de orealiserade förlusterna överstiger de orealis</w:t>
      </w:r>
      <w:r w:rsidRPr="00A538DD">
        <w:t>e</w:t>
      </w:r>
      <w:r w:rsidRPr="00A538DD">
        <w:t>rade vinsterna vid årets slut redovisas skillnaden i resultaträkningen. Denna beräkning sker värdepapper för värdepapper samt valuta för valuta.</w:t>
      </w:r>
    </w:p>
    <w:p w14:paraId="7935135D" w14:textId="77777777" w:rsidR="0048679D" w:rsidRPr="00A538DD" w:rsidRDefault="0048679D">
      <w:pPr>
        <w:rPr>
          <w:b/>
        </w:rPr>
      </w:pPr>
    </w:p>
    <w:p w14:paraId="0434CED3" w14:textId="77777777" w:rsidR="0048679D" w:rsidRPr="00A538DD" w:rsidRDefault="0048679D">
      <w:pPr>
        <w:rPr>
          <w:b/>
        </w:rPr>
      </w:pPr>
      <w:r w:rsidRPr="00A538DD">
        <w:rPr>
          <w:b/>
        </w:rPr>
        <w:t>Not 23 Grundfond</w:t>
      </w:r>
    </w:p>
    <w:p w14:paraId="78EF27D3" w14:textId="77777777" w:rsidR="0048679D" w:rsidRPr="00A538DD" w:rsidRDefault="0048679D">
      <w:r w:rsidRPr="00A538DD">
        <w:t>Riksbanken ska enligt riksbankslagen ha en grundfond uppgående till 1 000 miljoner kronor.</w:t>
      </w:r>
    </w:p>
    <w:p w14:paraId="09D7CC2E" w14:textId="77777777" w:rsidR="0048679D" w:rsidRPr="00A538DD" w:rsidRDefault="0048679D">
      <w:pPr>
        <w:rPr>
          <w:b/>
        </w:rPr>
      </w:pPr>
      <w:r w:rsidRPr="00A538DD">
        <w:rPr>
          <w:b/>
        </w:rPr>
        <w:t>Not 24 Reserver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00A9EC57" w14:textId="77777777">
        <w:tblPrEx>
          <w:tblCellMar>
            <w:top w:w="0" w:type="dxa"/>
            <w:bottom w:w="0" w:type="dxa"/>
          </w:tblCellMar>
        </w:tblPrEx>
        <w:trPr>
          <w:cantSplit/>
          <w:trHeight w:val="369"/>
        </w:trPr>
        <w:tc>
          <w:tcPr>
            <w:tcW w:w="2835" w:type="dxa"/>
            <w:tcBorders>
              <w:top w:val="single" w:sz="4" w:space="0" w:color="auto"/>
            </w:tcBorders>
          </w:tcPr>
          <w:p w14:paraId="36C0C45F" w14:textId="77777777" w:rsidR="0048679D" w:rsidRPr="00A538DD" w:rsidRDefault="0048679D">
            <w:pPr>
              <w:spacing w:before="0"/>
            </w:pPr>
          </w:p>
        </w:tc>
        <w:tc>
          <w:tcPr>
            <w:tcW w:w="1531" w:type="dxa"/>
            <w:tcBorders>
              <w:top w:val="single" w:sz="4" w:space="0" w:color="auto"/>
            </w:tcBorders>
            <w:vAlign w:val="center"/>
          </w:tcPr>
          <w:p w14:paraId="1C3A4B2D" w14:textId="77777777" w:rsidR="0048679D" w:rsidRPr="00A538DD" w:rsidRDefault="0048679D">
            <w:pPr>
              <w:spacing w:before="0"/>
              <w:jc w:val="right"/>
            </w:pPr>
            <w:r w:rsidRPr="00A538DD">
              <w:t>2004-12-31</w:t>
            </w:r>
          </w:p>
        </w:tc>
        <w:tc>
          <w:tcPr>
            <w:tcW w:w="1531" w:type="dxa"/>
            <w:tcBorders>
              <w:top w:val="single" w:sz="4" w:space="0" w:color="auto"/>
            </w:tcBorders>
            <w:vAlign w:val="center"/>
          </w:tcPr>
          <w:p w14:paraId="0362CEF3" w14:textId="77777777" w:rsidR="0048679D" w:rsidRPr="00A538DD" w:rsidRDefault="0048679D">
            <w:pPr>
              <w:spacing w:before="0"/>
              <w:jc w:val="right"/>
            </w:pPr>
            <w:r w:rsidRPr="00A538DD">
              <w:t>2003-12-31</w:t>
            </w:r>
          </w:p>
        </w:tc>
      </w:tr>
      <w:tr w:rsidR="00000000" w:rsidRPr="00A538DD" w14:paraId="6E4CE8EB" w14:textId="77777777">
        <w:tblPrEx>
          <w:tblCellMar>
            <w:top w:w="0" w:type="dxa"/>
            <w:bottom w:w="0" w:type="dxa"/>
          </w:tblCellMar>
        </w:tblPrEx>
        <w:trPr>
          <w:cantSplit/>
        </w:trPr>
        <w:tc>
          <w:tcPr>
            <w:tcW w:w="2835" w:type="dxa"/>
            <w:tcBorders>
              <w:top w:val="single" w:sz="4" w:space="0" w:color="auto"/>
            </w:tcBorders>
          </w:tcPr>
          <w:p w14:paraId="11DC7197" w14:textId="77777777" w:rsidR="0048679D" w:rsidRPr="00A538DD" w:rsidRDefault="0048679D">
            <w:pPr>
              <w:spacing w:before="0"/>
            </w:pPr>
            <w:r w:rsidRPr="00A538DD">
              <w:t>Reservfond</w:t>
            </w:r>
          </w:p>
        </w:tc>
        <w:tc>
          <w:tcPr>
            <w:tcW w:w="1531" w:type="dxa"/>
            <w:tcBorders>
              <w:top w:val="single" w:sz="4" w:space="0" w:color="auto"/>
            </w:tcBorders>
          </w:tcPr>
          <w:p w14:paraId="50FE793C" w14:textId="77777777" w:rsidR="0048679D" w:rsidRPr="00A538DD" w:rsidRDefault="0048679D">
            <w:pPr>
              <w:spacing w:before="0"/>
              <w:jc w:val="right"/>
            </w:pPr>
            <w:r w:rsidRPr="00A538DD">
              <w:t>500</w:t>
            </w:r>
          </w:p>
        </w:tc>
        <w:tc>
          <w:tcPr>
            <w:tcW w:w="1531" w:type="dxa"/>
            <w:tcBorders>
              <w:top w:val="single" w:sz="4" w:space="0" w:color="auto"/>
            </w:tcBorders>
          </w:tcPr>
          <w:p w14:paraId="4D7DCDCC" w14:textId="77777777" w:rsidR="0048679D" w:rsidRPr="00A538DD" w:rsidRDefault="0048679D">
            <w:pPr>
              <w:spacing w:before="0"/>
              <w:jc w:val="right"/>
            </w:pPr>
            <w:r w:rsidRPr="00A538DD">
              <w:t>500</w:t>
            </w:r>
          </w:p>
        </w:tc>
      </w:tr>
      <w:tr w:rsidR="00000000" w:rsidRPr="00A538DD" w14:paraId="4AABFE88" w14:textId="77777777">
        <w:tblPrEx>
          <w:tblCellMar>
            <w:top w:w="0" w:type="dxa"/>
            <w:bottom w:w="0" w:type="dxa"/>
          </w:tblCellMar>
        </w:tblPrEx>
        <w:trPr>
          <w:cantSplit/>
        </w:trPr>
        <w:tc>
          <w:tcPr>
            <w:tcW w:w="2835" w:type="dxa"/>
          </w:tcPr>
          <w:p w14:paraId="17906919" w14:textId="77777777" w:rsidR="0048679D" w:rsidRPr="00A538DD" w:rsidRDefault="0048679D">
            <w:pPr>
              <w:spacing w:before="0"/>
            </w:pPr>
            <w:r w:rsidRPr="00A538DD">
              <w:t>Dispositionsfond</w:t>
            </w:r>
          </w:p>
        </w:tc>
        <w:tc>
          <w:tcPr>
            <w:tcW w:w="1531" w:type="dxa"/>
          </w:tcPr>
          <w:p w14:paraId="1A1CA2F3" w14:textId="77777777" w:rsidR="0048679D" w:rsidRPr="00A538DD" w:rsidRDefault="0048679D">
            <w:pPr>
              <w:spacing w:before="0"/>
              <w:jc w:val="right"/>
            </w:pPr>
            <w:r w:rsidRPr="00A538DD">
              <w:t>36 396</w:t>
            </w:r>
          </w:p>
        </w:tc>
        <w:tc>
          <w:tcPr>
            <w:tcW w:w="1531" w:type="dxa"/>
          </w:tcPr>
          <w:p w14:paraId="57A406F6" w14:textId="77777777" w:rsidR="0048679D" w:rsidRPr="00A538DD" w:rsidRDefault="0048679D">
            <w:pPr>
              <w:spacing w:before="0"/>
              <w:jc w:val="right"/>
            </w:pPr>
            <w:r w:rsidRPr="00A538DD">
              <w:t>49 056</w:t>
            </w:r>
          </w:p>
        </w:tc>
      </w:tr>
      <w:tr w:rsidR="00000000" w:rsidRPr="00A538DD" w14:paraId="395F1CB0" w14:textId="77777777">
        <w:tblPrEx>
          <w:tblCellMar>
            <w:top w:w="0" w:type="dxa"/>
            <w:bottom w:w="0" w:type="dxa"/>
          </w:tblCellMar>
        </w:tblPrEx>
        <w:trPr>
          <w:cantSplit/>
        </w:trPr>
        <w:tc>
          <w:tcPr>
            <w:tcW w:w="2835" w:type="dxa"/>
            <w:tcBorders>
              <w:bottom w:val="single" w:sz="4" w:space="0" w:color="auto"/>
            </w:tcBorders>
          </w:tcPr>
          <w:p w14:paraId="43508837" w14:textId="77777777" w:rsidR="0048679D" w:rsidRPr="00A538DD" w:rsidRDefault="0048679D">
            <w:pPr>
              <w:spacing w:before="0"/>
            </w:pPr>
            <w:r w:rsidRPr="00A538DD">
              <w:t>Resultatutjämningsfond</w:t>
            </w:r>
          </w:p>
        </w:tc>
        <w:tc>
          <w:tcPr>
            <w:tcW w:w="1531" w:type="dxa"/>
            <w:tcBorders>
              <w:bottom w:val="single" w:sz="4" w:space="0" w:color="auto"/>
            </w:tcBorders>
          </w:tcPr>
          <w:p w14:paraId="03867389" w14:textId="77777777" w:rsidR="0048679D" w:rsidRPr="00A538DD" w:rsidRDefault="0048679D">
            <w:pPr>
              <w:spacing w:before="0"/>
              <w:jc w:val="right"/>
            </w:pPr>
            <w:r w:rsidRPr="00A538DD">
              <w:t>28 421</w:t>
            </w:r>
          </w:p>
        </w:tc>
        <w:tc>
          <w:tcPr>
            <w:tcW w:w="1531" w:type="dxa"/>
            <w:tcBorders>
              <w:bottom w:val="single" w:sz="4" w:space="0" w:color="auto"/>
            </w:tcBorders>
          </w:tcPr>
          <w:p w14:paraId="580B022B" w14:textId="77777777" w:rsidR="0048679D" w:rsidRPr="00A538DD" w:rsidRDefault="0048679D">
            <w:pPr>
              <w:spacing w:before="0"/>
              <w:jc w:val="right"/>
            </w:pPr>
            <w:r w:rsidRPr="00A538DD">
              <w:t>31 141</w:t>
            </w:r>
          </w:p>
        </w:tc>
      </w:tr>
      <w:tr w:rsidR="00000000" w:rsidRPr="00A538DD" w14:paraId="329F0A93" w14:textId="77777777">
        <w:tblPrEx>
          <w:tblCellMar>
            <w:top w:w="0" w:type="dxa"/>
            <w:bottom w:w="0" w:type="dxa"/>
          </w:tblCellMar>
        </w:tblPrEx>
        <w:trPr>
          <w:cantSplit/>
        </w:trPr>
        <w:tc>
          <w:tcPr>
            <w:tcW w:w="2835" w:type="dxa"/>
            <w:tcBorders>
              <w:top w:val="single" w:sz="4" w:space="0" w:color="auto"/>
              <w:bottom w:val="single" w:sz="4" w:space="0" w:color="auto"/>
            </w:tcBorders>
          </w:tcPr>
          <w:p w14:paraId="10DC6974" w14:textId="77777777" w:rsidR="0048679D" w:rsidRPr="00A538DD" w:rsidRDefault="0048679D">
            <w:pPr>
              <w:spacing w:before="0"/>
            </w:pPr>
            <w:r w:rsidRPr="00A538DD">
              <w:t>Summa</w:t>
            </w:r>
          </w:p>
        </w:tc>
        <w:tc>
          <w:tcPr>
            <w:tcW w:w="1531" w:type="dxa"/>
            <w:tcBorders>
              <w:top w:val="single" w:sz="4" w:space="0" w:color="auto"/>
              <w:bottom w:val="single" w:sz="4" w:space="0" w:color="auto"/>
            </w:tcBorders>
          </w:tcPr>
          <w:p w14:paraId="72C62EA0" w14:textId="77777777" w:rsidR="0048679D" w:rsidRPr="00A538DD" w:rsidRDefault="0048679D">
            <w:pPr>
              <w:spacing w:before="0"/>
              <w:jc w:val="right"/>
            </w:pPr>
            <w:r w:rsidRPr="00A538DD">
              <w:t>65 317</w:t>
            </w:r>
          </w:p>
        </w:tc>
        <w:tc>
          <w:tcPr>
            <w:tcW w:w="1531" w:type="dxa"/>
            <w:tcBorders>
              <w:top w:val="single" w:sz="4" w:space="0" w:color="auto"/>
              <w:bottom w:val="single" w:sz="4" w:space="0" w:color="auto"/>
            </w:tcBorders>
          </w:tcPr>
          <w:p w14:paraId="37F7A5C3" w14:textId="77777777" w:rsidR="0048679D" w:rsidRPr="00A538DD" w:rsidRDefault="0048679D">
            <w:pPr>
              <w:spacing w:before="0"/>
              <w:jc w:val="right"/>
            </w:pPr>
            <w:r w:rsidRPr="00A538DD">
              <w:t>80 697</w:t>
            </w:r>
          </w:p>
        </w:tc>
      </w:tr>
    </w:tbl>
    <w:p w14:paraId="1A656FFD" w14:textId="77777777" w:rsidR="0048679D" w:rsidRPr="00A538DD" w:rsidRDefault="0048679D">
      <w:pPr>
        <w:spacing w:before="0"/>
      </w:pPr>
    </w:p>
    <w:p w14:paraId="4085F46F" w14:textId="77777777" w:rsidR="0048679D" w:rsidRPr="00A538DD" w:rsidRDefault="0048679D">
      <w:pPr>
        <w:spacing w:before="0"/>
      </w:pPr>
      <w:r w:rsidRPr="00A538DD">
        <w:t xml:space="preserve">Riksbanken ska enligt riksbankslagen ha en reservfond uppgående till 500 miljoner kronor samt en dispositionsfond. </w:t>
      </w:r>
    </w:p>
    <w:p w14:paraId="6DFF10A7" w14:textId="77777777" w:rsidR="0048679D" w:rsidRPr="00A538DD" w:rsidRDefault="0048679D">
      <w:pPr>
        <w:pStyle w:val="Normaltindrag"/>
      </w:pPr>
      <w:r w:rsidRPr="00A538DD">
        <w:t>Dispositionsfonden och resultatutjämningsfonden används sedan 1988 e</w:t>
      </w:r>
      <w:r w:rsidRPr="00A538DD">
        <w:t>n</w:t>
      </w:r>
      <w:r w:rsidRPr="00A538DD">
        <w:t>ligt riktlinjerna för Riksbankens vinstdisposition som fastställdes samma år. Därutöver har dispositionsfonden använts till att föra uppskrivningsbelopp vid uppskrivning av tillgångar. Riksbankens guldinnehav skrevs upp till mar</w:t>
      </w:r>
      <w:r w:rsidRPr="00A538DD">
        <w:t>k</w:t>
      </w:r>
      <w:r w:rsidRPr="00A538DD">
        <w:t>nadsvärdet 1998-12-31 och anläggningstillgångarna aktiverades 1994 i b</w:t>
      </w:r>
      <w:r w:rsidRPr="00A538DD">
        <w:t>a</w:t>
      </w:r>
      <w:r w:rsidRPr="00A538DD">
        <w:t>lansräkningen till anskaffningsvärdet minskat med avskrivningar. Under 2004 har omföring gjorts mellan delposterna uppskrivning av anläggningstillgångar och vinstdisposition med 2 miljoner kronor till följd av å</w:t>
      </w:r>
      <w:r w:rsidRPr="00A538DD">
        <w:t>rets avskrivningar avseende de uppskrivna anläggningstillgångarna. Värdet på BIS-aktierna skrevs upp 1996 för att motsvara marknadsvärdet på det guld som erlades som likvid för aktietilldelningen samma år. Ovan nämnda dispositioner och uppskrivningar framgår av tabellen nedan:</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30099B5E" w14:textId="77777777">
        <w:tblPrEx>
          <w:tblCellMar>
            <w:top w:w="0" w:type="dxa"/>
            <w:bottom w:w="0" w:type="dxa"/>
          </w:tblCellMar>
        </w:tblPrEx>
        <w:trPr>
          <w:cantSplit/>
        </w:trPr>
        <w:tc>
          <w:tcPr>
            <w:tcW w:w="2835" w:type="dxa"/>
            <w:tcBorders>
              <w:top w:val="single" w:sz="4" w:space="0" w:color="auto"/>
              <w:bottom w:val="single" w:sz="4" w:space="0" w:color="auto"/>
            </w:tcBorders>
          </w:tcPr>
          <w:p w14:paraId="6D2EB7B3" w14:textId="77777777" w:rsidR="0048679D" w:rsidRPr="00A538DD" w:rsidRDefault="0048679D">
            <w:pPr>
              <w:spacing w:before="0"/>
            </w:pPr>
          </w:p>
        </w:tc>
        <w:tc>
          <w:tcPr>
            <w:tcW w:w="1531" w:type="dxa"/>
            <w:tcBorders>
              <w:top w:val="single" w:sz="4" w:space="0" w:color="auto"/>
              <w:bottom w:val="single" w:sz="4" w:space="0" w:color="auto"/>
            </w:tcBorders>
            <w:vAlign w:val="center"/>
          </w:tcPr>
          <w:p w14:paraId="344A308F" w14:textId="77777777" w:rsidR="0048679D" w:rsidRPr="00A538DD" w:rsidRDefault="0048679D">
            <w:pPr>
              <w:spacing w:before="0"/>
              <w:jc w:val="right"/>
            </w:pPr>
            <w:r w:rsidRPr="00A538DD">
              <w:t>2004-12-31</w:t>
            </w:r>
          </w:p>
        </w:tc>
        <w:tc>
          <w:tcPr>
            <w:tcW w:w="1531" w:type="dxa"/>
            <w:tcBorders>
              <w:top w:val="single" w:sz="4" w:space="0" w:color="auto"/>
              <w:bottom w:val="single" w:sz="4" w:space="0" w:color="auto"/>
            </w:tcBorders>
            <w:vAlign w:val="center"/>
          </w:tcPr>
          <w:p w14:paraId="1D35B265" w14:textId="77777777" w:rsidR="0048679D" w:rsidRPr="00A538DD" w:rsidRDefault="0048679D">
            <w:pPr>
              <w:spacing w:before="0"/>
              <w:jc w:val="right"/>
            </w:pPr>
            <w:r w:rsidRPr="00A538DD">
              <w:t>2003-12-31</w:t>
            </w:r>
          </w:p>
        </w:tc>
      </w:tr>
      <w:tr w:rsidR="00000000" w:rsidRPr="00A538DD" w14:paraId="3398A1C0" w14:textId="77777777">
        <w:tblPrEx>
          <w:tblCellMar>
            <w:top w:w="0" w:type="dxa"/>
            <w:bottom w:w="0" w:type="dxa"/>
          </w:tblCellMar>
        </w:tblPrEx>
        <w:trPr>
          <w:cantSplit/>
        </w:trPr>
        <w:tc>
          <w:tcPr>
            <w:tcW w:w="2835" w:type="dxa"/>
            <w:tcBorders>
              <w:top w:val="single" w:sz="4" w:space="0" w:color="auto"/>
            </w:tcBorders>
          </w:tcPr>
          <w:p w14:paraId="7B9A3458" w14:textId="77777777" w:rsidR="0048679D" w:rsidRPr="00A538DD" w:rsidRDefault="0048679D">
            <w:pPr>
              <w:spacing w:before="0"/>
            </w:pPr>
            <w:r w:rsidRPr="00A538DD">
              <w:t>Vinstdisposition:</w:t>
            </w:r>
          </w:p>
        </w:tc>
        <w:tc>
          <w:tcPr>
            <w:tcW w:w="1531" w:type="dxa"/>
            <w:tcBorders>
              <w:top w:val="single" w:sz="4" w:space="0" w:color="auto"/>
            </w:tcBorders>
          </w:tcPr>
          <w:p w14:paraId="65D713F2" w14:textId="77777777" w:rsidR="0048679D" w:rsidRPr="00A538DD" w:rsidRDefault="0048679D">
            <w:pPr>
              <w:spacing w:before="0"/>
              <w:jc w:val="right"/>
            </w:pPr>
          </w:p>
        </w:tc>
        <w:tc>
          <w:tcPr>
            <w:tcW w:w="1531" w:type="dxa"/>
            <w:tcBorders>
              <w:top w:val="single" w:sz="4" w:space="0" w:color="auto"/>
            </w:tcBorders>
          </w:tcPr>
          <w:p w14:paraId="07250E0C" w14:textId="77777777" w:rsidR="0048679D" w:rsidRPr="00A538DD" w:rsidRDefault="0048679D">
            <w:pPr>
              <w:spacing w:before="0"/>
              <w:jc w:val="right"/>
            </w:pPr>
          </w:p>
        </w:tc>
      </w:tr>
      <w:tr w:rsidR="00000000" w:rsidRPr="00A538DD" w14:paraId="77D58BB1" w14:textId="77777777">
        <w:tblPrEx>
          <w:tblCellMar>
            <w:top w:w="0" w:type="dxa"/>
            <w:bottom w:w="0" w:type="dxa"/>
          </w:tblCellMar>
        </w:tblPrEx>
        <w:trPr>
          <w:cantSplit/>
        </w:trPr>
        <w:tc>
          <w:tcPr>
            <w:tcW w:w="2835" w:type="dxa"/>
          </w:tcPr>
          <w:p w14:paraId="01820FDB" w14:textId="77777777" w:rsidR="0048679D" w:rsidRPr="00A538DD" w:rsidRDefault="0048679D">
            <w:pPr>
              <w:spacing w:before="0"/>
            </w:pPr>
            <w:r w:rsidRPr="00A538DD">
              <w:t xml:space="preserve">     Valutakurseffekter</w:t>
            </w:r>
          </w:p>
        </w:tc>
        <w:tc>
          <w:tcPr>
            <w:tcW w:w="1531" w:type="dxa"/>
          </w:tcPr>
          <w:p w14:paraId="75A6F482" w14:textId="77777777" w:rsidR="0048679D" w:rsidRPr="00A538DD" w:rsidRDefault="0048679D">
            <w:pPr>
              <w:spacing w:before="0"/>
              <w:jc w:val="right"/>
            </w:pPr>
            <w:r w:rsidRPr="00A538DD">
              <w:t>11 938</w:t>
            </w:r>
          </w:p>
        </w:tc>
        <w:tc>
          <w:tcPr>
            <w:tcW w:w="1531" w:type="dxa"/>
          </w:tcPr>
          <w:p w14:paraId="20FF2906" w14:textId="77777777" w:rsidR="0048679D" w:rsidRPr="00A538DD" w:rsidRDefault="0048679D">
            <w:pPr>
              <w:spacing w:before="0"/>
              <w:jc w:val="right"/>
            </w:pPr>
            <w:r w:rsidRPr="00A538DD">
              <w:t>24 418</w:t>
            </w:r>
          </w:p>
        </w:tc>
      </w:tr>
      <w:tr w:rsidR="00000000" w:rsidRPr="00A538DD" w14:paraId="45E8B00F" w14:textId="77777777">
        <w:tblPrEx>
          <w:tblCellMar>
            <w:top w:w="0" w:type="dxa"/>
            <w:bottom w:w="0" w:type="dxa"/>
          </w:tblCellMar>
        </w:tblPrEx>
        <w:trPr>
          <w:cantSplit/>
        </w:trPr>
        <w:tc>
          <w:tcPr>
            <w:tcW w:w="2835" w:type="dxa"/>
          </w:tcPr>
          <w:p w14:paraId="565CEE33" w14:textId="77777777" w:rsidR="0048679D" w:rsidRPr="00A538DD" w:rsidRDefault="0048679D">
            <w:pPr>
              <w:spacing w:before="0"/>
            </w:pPr>
            <w:r w:rsidRPr="00A538DD">
              <w:t xml:space="preserve">     Guldvärderingseffekter</w:t>
            </w:r>
          </w:p>
        </w:tc>
        <w:tc>
          <w:tcPr>
            <w:tcW w:w="1531" w:type="dxa"/>
          </w:tcPr>
          <w:p w14:paraId="462AFFC1" w14:textId="77777777" w:rsidR="0048679D" w:rsidRPr="00A538DD" w:rsidRDefault="0048679D">
            <w:pPr>
              <w:spacing w:before="0"/>
              <w:jc w:val="right"/>
            </w:pPr>
            <w:r w:rsidRPr="00A538DD">
              <w:t>4 196</w:t>
            </w:r>
          </w:p>
        </w:tc>
        <w:tc>
          <w:tcPr>
            <w:tcW w:w="1531" w:type="dxa"/>
          </w:tcPr>
          <w:p w14:paraId="7AA27829" w14:textId="77777777" w:rsidR="0048679D" w:rsidRPr="00A538DD" w:rsidRDefault="0048679D">
            <w:pPr>
              <w:spacing w:before="0"/>
              <w:jc w:val="right"/>
            </w:pPr>
            <w:r w:rsidRPr="00A538DD">
              <w:t>4 376</w:t>
            </w:r>
          </w:p>
        </w:tc>
      </w:tr>
      <w:tr w:rsidR="00000000" w:rsidRPr="00A538DD" w14:paraId="6105AD1B" w14:textId="77777777">
        <w:tblPrEx>
          <w:tblCellMar>
            <w:top w:w="0" w:type="dxa"/>
            <w:bottom w:w="0" w:type="dxa"/>
          </w:tblCellMar>
        </w:tblPrEx>
        <w:trPr>
          <w:cantSplit/>
        </w:trPr>
        <w:tc>
          <w:tcPr>
            <w:tcW w:w="2835" w:type="dxa"/>
          </w:tcPr>
          <w:p w14:paraId="0AB71056" w14:textId="77777777" w:rsidR="0048679D" w:rsidRPr="00A538DD" w:rsidRDefault="0048679D">
            <w:pPr>
              <w:spacing w:before="0"/>
            </w:pPr>
            <w:r w:rsidRPr="00A538DD">
              <w:t xml:space="preserve">     Övrig vinstdisposition</w:t>
            </w:r>
          </w:p>
        </w:tc>
        <w:tc>
          <w:tcPr>
            <w:tcW w:w="1531" w:type="dxa"/>
          </w:tcPr>
          <w:p w14:paraId="2BFA6166" w14:textId="77777777" w:rsidR="0048679D" w:rsidRPr="00A538DD" w:rsidRDefault="0048679D">
            <w:pPr>
              <w:spacing w:before="0"/>
              <w:jc w:val="right"/>
            </w:pPr>
            <w:r w:rsidRPr="00A538DD">
              <w:t>7 223</w:t>
            </w:r>
          </w:p>
        </w:tc>
        <w:tc>
          <w:tcPr>
            <w:tcW w:w="1531" w:type="dxa"/>
          </w:tcPr>
          <w:p w14:paraId="3F775BB3" w14:textId="77777777" w:rsidR="0048679D" w:rsidRPr="00A538DD" w:rsidRDefault="0048679D">
            <w:pPr>
              <w:spacing w:before="0"/>
              <w:jc w:val="right"/>
            </w:pPr>
            <w:r w:rsidRPr="00A538DD">
              <w:t>7 221</w:t>
            </w:r>
          </w:p>
        </w:tc>
      </w:tr>
      <w:tr w:rsidR="00000000" w:rsidRPr="00A538DD" w14:paraId="4593453F" w14:textId="77777777">
        <w:tblPrEx>
          <w:tblCellMar>
            <w:top w:w="0" w:type="dxa"/>
            <w:bottom w:w="0" w:type="dxa"/>
          </w:tblCellMar>
        </w:tblPrEx>
        <w:trPr>
          <w:cantSplit/>
        </w:trPr>
        <w:tc>
          <w:tcPr>
            <w:tcW w:w="2835" w:type="dxa"/>
          </w:tcPr>
          <w:p w14:paraId="31CEBECC" w14:textId="77777777" w:rsidR="0048679D" w:rsidRPr="00A538DD" w:rsidRDefault="0048679D">
            <w:pPr>
              <w:spacing w:before="0"/>
            </w:pPr>
            <w:r w:rsidRPr="00A538DD">
              <w:t>Uppskrivning av tillgångar:</w:t>
            </w:r>
          </w:p>
        </w:tc>
        <w:tc>
          <w:tcPr>
            <w:tcW w:w="1531" w:type="dxa"/>
          </w:tcPr>
          <w:p w14:paraId="637A77B7" w14:textId="77777777" w:rsidR="0048679D" w:rsidRPr="00A538DD" w:rsidRDefault="0048679D">
            <w:pPr>
              <w:spacing w:before="0"/>
              <w:jc w:val="right"/>
            </w:pPr>
          </w:p>
        </w:tc>
        <w:tc>
          <w:tcPr>
            <w:tcW w:w="1531" w:type="dxa"/>
          </w:tcPr>
          <w:p w14:paraId="6C4F9EFD" w14:textId="77777777" w:rsidR="0048679D" w:rsidRPr="00A538DD" w:rsidRDefault="0048679D">
            <w:pPr>
              <w:spacing w:before="0"/>
              <w:jc w:val="right"/>
            </w:pPr>
          </w:p>
        </w:tc>
      </w:tr>
      <w:tr w:rsidR="00000000" w:rsidRPr="00A538DD" w14:paraId="42730546" w14:textId="77777777">
        <w:tblPrEx>
          <w:tblCellMar>
            <w:top w:w="0" w:type="dxa"/>
            <w:bottom w:w="0" w:type="dxa"/>
          </w:tblCellMar>
        </w:tblPrEx>
        <w:trPr>
          <w:cantSplit/>
        </w:trPr>
        <w:tc>
          <w:tcPr>
            <w:tcW w:w="2835" w:type="dxa"/>
          </w:tcPr>
          <w:p w14:paraId="3DD46D1C" w14:textId="77777777" w:rsidR="0048679D" w:rsidRPr="00A538DD" w:rsidRDefault="0048679D">
            <w:pPr>
              <w:spacing w:before="0"/>
            </w:pPr>
            <w:r w:rsidRPr="00A538DD">
              <w:t xml:space="preserve">     Guldinnehav</w:t>
            </w:r>
          </w:p>
        </w:tc>
        <w:tc>
          <w:tcPr>
            <w:tcW w:w="1531" w:type="dxa"/>
          </w:tcPr>
          <w:p w14:paraId="196AA23E" w14:textId="77777777" w:rsidR="0048679D" w:rsidRPr="00A538DD" w:rsidRDefault="0048679D">
            <w:pPr>
              <w:spacing w:before="0"/>
              <w:jc w:val="right"/>
            </w:pPr>
            <w:r w:rsidRPr="00A538DD">
              <w:t>12 686</w:t>
            </w:r>
          </w:p>
        </w:tc>
        <w:tc>
          <w:tcPr>
            <w:tcW w:w="1531" w:type="dxa"/>
          </w:tcPr>
          <w:p w14:paraId="2ADEDA8C" w14:textId="77777777" w:rsidR="0048679D" w:rsidRPr="00A538DD" w:rsidRDefault="0048679D">
            <w:pPr>
              <w:spacing w:before="0"/>
              <w:jc w:val="right"/>
            </w:pPr>
            <w:r w:rsidRPr="00A538DD">
              <w:t>12 686</w:t>
            </w:r>
          </w:p>
        </w:tc>
      </w:tr>
      <w:tr w:rsidR="00000000" w:rsidRPr="00A538DD" w14:paraId="21DECFD3" w14:textId="77777777">
        <w:tblPrEx>
          <w:tblCellMar>
            <w:top w:w="0" w:type="dxa"/>
            <w:bottom w:w="0" w:type="dxa"/>
          </w:tblCellMar>
        </w:tblPrEx>
        <w:trPr>
          <w:cantSplit/>
        </w:trPr>
        <w:tc>
          <w:tcPr>
            <w:tcW w:w="2835" w:type="dxa"/>
          </w:tcPr>
          <w:p w14:paraId="519E3528" w14:textId="77777777" w:rsidR="0048679D" w:rsidRPr="00A538DD" w:rsidRDefault="0048679D">
            <w:pPr>
              <w:spacing w:before="0"/>
            </w:pPr>
            <w:r w:rsidRPr="00A538DD">
              <w:t xml:space="preserve">     Anläggningstillgångar</w:t>
            </w:r>
          </w:p>
        </w:tc>
        <w:tc>
          <w:tcPr>
            <w:tcW w:w="1531" w:type="dxa"/>
          </w:tcPr>
          <w:p w14:paraId="3D6A1A7F" w14:textId="77777777" w:rsidR="0048679D" w:rsidRPr="00A538DD" w:rsidRDefault="0048679D">
            <w:pPr>
              <w:spacing w:before="0"/>
              <w:jc w:val="right"/>
            </w:pPr>
            <w:r w:rsidRPr="00A538DD">
              <w:t>118</w:t>
            </w:r>
          </w:p>
        </w:tc>
        <w:tc>
          <w:tcPr>
            <w:tcW w:w="1531" w:type="dxa"/>
          </w:tcPr>
          <w:p w14:paraId="2A87413F" w14:textId="77777777" w:rsidR="0048679D" w:rsidRPr="00A538DD" w:rsidRDefault="0048679D">
            <w:pPr>
              <w:spacing w:before="0"/>
              <w:jc w:val="right"/>
            </w:pPr>
            <w:r w:rsidRPr="00A538DD">
              <w:t>120</w:t>
            </w:r>
          </w:p>
        </w:tc>
      </w:tr>
      <w:tr w:rsidR="00000000" w:rsidRPr="00A538DD" w14:paraId="7864B494" w14:textId="77777777">
        <w:tblPrEx>
          <w:tblCellMar>
            <w:top w:w="0" w:type="dxa"/>
            <w:bottom w:w="0" w:type="dxa"/>
          </w:tblCellMar>
        </w:tblPrEx>
        <w:trPr>
          <w:cantSplit/>
        </w:trPr>
        <w:tc>
          <w:tcPr>
            <w:tcW w:w="2835" w:type="dxa"/>
            <w:tcBorders>
              <w:bottom w:val="single" w:sz="4" w:space="0" w:color="auto"/>
            </w:tcBorders>
          </w:tcPr>
          <w:p w14:paraId="7BD7A57E" w14:textId="77777777" w:rsidR="0048679D" w:rsidRPr="00A538DD" w:rsidRDefault="0048679D">
            <w:pPr>
              <w:spacing w:before="0"/>
            </w:pPr>
            <w:r w:rsidRPr="00A538DD">
              <w:t xml:space="preserve">     BIS-aktier</w:t>
            </w:r>
          </w:p>
        </w:tc>
        <w:tc>
          <w:tcPr>
            <w:tcW w:w="1531" w:type="dxa"/>
          </w:tcPr>
          <w:p w14:paraId="1AF4DCCB" w14:textId="77777777" w:rsidR="0048679D" w:rsidRPr="00A538DD" w:rsidRDefault="0048679D">
            <w:pPr>
              <w:spacing w:before="0"/>
              <w:jc w:val="right"/>
            </w:pPr>
            <w:r w:rsidRPr="00A538DD">
              <w:t>235</w:t>
            </w:r>
          </w:p>
        </w:tc>
        <w:tc>
          <w:tcPr>
            <w:tcW w:w="1531" w:type="dxa"/>
          </w:tcPr>
          <w:p w14:paraId="3EC721B3" w14:textId="77777777" w:rsidR="0048679D" w:rsidRPr="00A538DD" w:rsidRDefault="0048679D">
            <w:pPr>
              <w:spacing w:before="0"/>
              <w:jc w:val="right"/>
            </w:pPr>
            <w:r w:rsidRPr="00A538DD">
              <w:t>235</w:t>
            </w:r>
          </w:p>
        </w:tc>
      </w:tr>
      <w:tr w:rsidR="00000000" w:rsidRPr="00A538DD" w14:paraId="07BA069A"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4A7088D4"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5A3DF89E" w14:textId="77777777" w:rsidR="0048679D" w:rsidRPr="00A538DD" w:rsidRDefault="0048679D">
            <w:pPr>
              <w:spacing w:before="0"/>
              <w:jc w:val="right"/>
            </w:pPr>
            <w:r w:rsidRPr="00A538DD">
              <w:t>36 396</w:t>
            </w:r>
          </w:p>
        </w:tc>
        <w:tc>
          <w:tcPr>
            <w:tcW w:w="1531" w:type="dxa"/>
            <w:tcBorders>
              <w:top w:val="single" w:sz="4" w:space="0" w:color="auto"/>
              <w:bottom w:val="single" w:sz="4" w:space="0" w:color="auto"/>
            </w:tcBorders>
            <w:vAlign w:val="center"/>
          </w:tcPr>
          <w:p w14:paraId="1677A9CE" w14:textId="77777777" w:rsidR="0048679D" w:rsidRPr="00A538DD" w:rsidRDefault="0048679D">
            <w:pPr>
              <w:spacing w:before="0"/>
              <w:jc w:val="right"/>
            </w:pPr>
            <w:r w:rsidRPr="00A538DD">
              <w:t>49 056</w:t>
            </w:r>
          </w:p>
        </w:tc>
      </w:tr>
    </w:tbl>
    <w:p w14:paraId="069BEF5B" w14:textId="77777777" w:rsidR="0048679D" w:rsidRPr="00A538DD" w:rsidRDefault="0048679D"/>
    <w:p w14:paraId="273A2C62" w14:textId="77777777" w:rsidR="0048679D" w:rsidRPr="00A538DD" w:rsidRDefault="0048679D">
      <w:r w:rsidRPr="00A538DD">
        <w:t>Förändringen av posterna grundfond, reserver och årets resultat förklaras av nedanstående tabell:</w:t>
      </w:r>
    </w:p>
    <w:tbl>
      <w:tblPr>
        <w:tblW w:w="0" w:type="auto"/>
        <w:tblInd w:w="-48" w:type="dxa"/>
        <w:tblLayout w:type="fixed"/>
        <w:tblCellMar>
          <w:left w:w="71" w:type="dxa"/>
          <w:right w:w="71" w:type="dxa"/>
        </w:tblCellMar>
        <w:tblLook w:val="0000" w:firstRow="0" w:lastRow="0" w:firstColumn="0" w:lastColumn="0" w:noHBand="0" w:noVBand="0"/>
      </w:tblPr>
      <w:tblGrid>
        <w:gridCol w:w="2211"/>
        <w:gridCol w:w="1021"/>
        <w:gridCol w:w="1021"/>
        <w:gridCol w:w="1191"/>
        <w:gridCol w:w="851"/>
      </w:tblGrid>
      <w:tr w:rsidR="00000000" w:rsidRPr="00A538DD" w14:paraId="4ACE3CB2" w14:textId="77777777">
        <w:tblPrEx>
          <w:tblCellMar>
            <w:top w:w="0" w:type="dxa"/>
            <w:bottom w:w="0" w:type="dxa"/>
          </w:tblCellMar>
        </w:tblPrEx>
        <w:trPr>
          <w:cantSplit/>
        </w:trPr>
        <w:tc>
          <w:tcPr>
            <w:tcW w:w="2211" w:type="dxa"/>
            <w:tcBorders>
              <w:top w:val="single" w:sz="4" w:space="0" w:color="auto"/>
            </w:tcBorders>
          </w:tcPr>
          <w:p w14:paraId="7DC57986" w14:textId="77777777" w:rsidR="0048679D" w:rsidRPr="00A538DD" w:rsidRDefault="0048679D">
            <w:pPr>
              <w:spacing w:before="0"/>
            </w:pPr>
          </w:p>
        </w:tc>
        <w:tc>
          <w:tcPr>
            <w:tcW w:w="1021" w:type="dxa"/>
            <w:tcBorders>
              <w:top w:val="single" w:sz="4" w:space="0" w:color="auto"/>
            </w:tcBorders>
          </w:tcPr>
          <w:p w14:paraId="1BD4064A" w14:textId="77777777" w:rsidR="0048679D" w:rsidRPr="00A538DD" w:rsidRDefault="0048679D">
            <w:pPr>
              <w:spacing w:before="0"/>
              <w:jc w:val="right"/>
            </w:pPr>
            <w:r w:rsidRPr="00A538DD">
              <w:t>Grundfond</w:t>
            </w:r>
          </w:p>
        </w:tc>
        <w:tc>
          <w:tcPr>
            <w:tcW w:w="1021" w:type="dxa"/>
            <w:tcBorders>
              <w:top w:val="single" w:sz="4" w:space="0" w:color="auto"/>
            </w:tcBorders>
          </w:tcPr>
          <w:p w14:paraId="3001FB0F" w14:textId="77777777" w:rsidR="0048679D" w:rsidRPr="00A538DD" w:rsidRDefault="0048679D">
            <w:pPr>
              <w:spacing w:before="0"/>
              <w:jc w:val="right"/>
            </w:pPr>
            <w:r w:rsidRPr="00A538DD">
              <w:t>Reserver</w:t>
            </w:r>
          </w:p>
        </w:tc>
        <w:tc>
          <w:tcPr>
            <w:tcW w:w="1191" w:type="dxa"/>
            <w:tcBorders>
              <w:top w:val="single" w:sz="4" w:space="0" w:color="auto"/>
              <w:bottom w:val="single" w:sz="4" w:space="0" w:color="auto"/>
            </w:tcBorders>
          </w:tcPr>
          <w:p w14:paraId="57092E70" w14:textId="77777777" w:rsidR="0048679D" w:rsidRPr="00A538DD" w:rsidRDefault="0048679D">
            <w:pPr>
              <w:spacing w:before="0"/>
              <w:jc w:val="right"/>
            </w:pPr>
            <w:r w:rsidRPr="00A538DD">
              <w:t>Årets resu</w:t>
            </w:r>
            <w:r w:rsidRPr="00A538DD">
              <w:t>l</w:t>
            </w:r>
            <w:r w:rsidRPr="00A538DD">
              <w:t>tat</w:t>
            </w:r>
          </w:p>
        </w:tc>
        <w:tc>
          <w:tcPr>
            <w:tcW w:w="851" w:type="dxa"/>
            <w:tcBorders>
              <w:top w:val="single" w:sz="4" w:space="0" w:color="auto"/>
              <w:left w:val="nil"/>
              <w:bottom w:val="single" w:sz="4" w:space="0" w:color="auto"/>
            </w:tcBorders>
          </w:tcPr>
          <w:p w14:paraId="16475D2D" w14:textId="77777777" w:rsidR="0048679D" w:rsidRPr="00A538DD" w:rsidRDefault="0048679D">
            <w:pPr>
              <w:spacing w:before="0"/>
              <w:jc w:val="right"/>
            </w:pPr>
            <w:r w:rsidRPr="00A538DD">
              <w:t>Summa</w:t>
            </w:r>
          </w:p>
        </w:tc>
      </w:tr>
      <w:tr w:rsidR="00000000" w:rsidRPr="00A538DD" w14:paraId="4267FAB6" w14:textId="77777777">
        <w:tblPrEx>
          <w:tblCellMar>
            <w:top w:w="0" w:type="dxa"/>
            <w:bottom w:w="0" w:type="dxa"/>
          </w:tblCellMar>
        </w:tblPrEx>
        <w:trPr>
          <w:cantSplit/>
        </w:trPr>
        <w:tc>
          <w:tcPr>
            <w:tcW w:w="2211" w:type="dxa"/>
            <w:tcBorders>
              <w:top w:val="single" w:sz="4" w:space="0" w:color="auto"/>
            </w:tcBorders>
          </w:tcPr>
          <w:p w14:paraId="64FB5F17" w14:textId="77777777" w:rsidR="0048679D" w:rsidRPr="00A538DD" w:rsidRDefault="0048679D">
            <w:pPr>
              <w:spacing w:before="0"/>
            </w:pPr>
            <w:r w:rsidRPr="00A538DD">
              <w:t>Saldo 31 december 2003</w:t>
            </w:r>
          </w:p>
        </w:tc>
        <w:tc>
          <w:tcPr>
            <w:tcW w:w="1021" w:type="dxa"/>
            <w:tcBorders>
              <w:top w:val="single" w:sz="4" w:space="0" w:color="auto"/>
            </w:tcBorders>
          </w:tcPr>
          <w:p w14:paraId="1A7BDAD0" w14:textId="77777777" w:rsidR="0048679D" w:rsidRPr="00A538DD" w:rsidRDefault="0048679D">
            <w:pPr>
              <w:spacing w:before="0"/>
              <w:jc w:val="right"/>
            </w:pPr>
            <w:r w:rsidRPr="00A538DD">
              <w:t>1 000</w:t>
            </w:r>
          </w:p>
        </w:tc>
        <w:tc>
          <w:tcPr>
            <w:tcW w:w="1021" w:type="dxa"/>
            <w:tcBorders>
              <w:top w:val="single" w:sz="4" w:space="0" w:color="auto"/>
            </w:tcBorders>
          </w:tcPr>
          <w:p w14:paraId="1C860ECB" w14:textId="77777777" w:rsidR="0048679D" w:rsidRPr="00A538DD" w:rsidRDefault="0048679D">
            <w:pPr>
              <w:spacing w:before="0"/>
              <w:jc w:val="right"/>
            </w:pPr>
            <w:r w:rsidRPr="00A538DD">
              <w:t>80 697</w:t>
            </w:r>
          </w:p>
        </w:tc>
        <w:tc>
          <w:tcPr>
            <w:tcW w:w="1191" w:type="dxa"/>
          </w:tcPr>
          <w:p w14:paraId="5DF2422F" w14:textId="77777777" w:rsidR="0048679D" w:rsidRPr="00A538DD" w:rsidRDefault="0048679D">
            <w:pPr>
              <w:spacing w:before="0"/>
              <w:jc w:val="right"/>
            </w:pPr>
            <w:r w:rsidRPr="00A538DD">
              <w:t>–9 280</w:t>
            </w:r>
          </w:p>
        </w:tc>
        <w:tc>
          <w:tcPr>
            <w:tcW w:w="851" w:type="dxa"/>
          </w:tcPr>
          <w:p w14:paraId="31E1E702" w14:textId="77777777" w:rsidR="0048679D" w:rsidRPr="00A538DD" w:rsidRDefault="0048679D">
            <w:pPr>
              <w:spacing w:before="0"/>
              <w:jc w:val="right"/>
            </w:pPr>
            <w:r w:rsidRPr="00A538DD">
              <w:t>72 417</w:t>
            </w:r>
          </w:p>
        </w:tc>
      </w:tr>
      <w:tr w:rsidR="00000000" w:rsidRPr="00A538DD" w14:paraId="3EDEA04C" w14:textId="77777777">
        <w:tblPrEx>
          <w:tblCellMar>
            <w:top w:w="0" w:type="dxa"/>
            <w:bottom w:w="0" w:type="dxa"/>
          </w:tblCellMar>
        </w:tblPrEx>
        <w:trPr>
          <w:cantSplit/>
        </w:trPr>
        <w:tc>
          <w:tcPr>
            <w:tcW w:w="2211" w:type="dxa"/>
          </w:tcPr>
          <w:p w14:paraId="2A0A00CB" w14:textId="77777777" w:rsidR="0048679D" w:rsidRPr="00A538DD" w:rsidRDefault="0048679D">
            <w:pPr>
              <w:spacing w:before="0"/>
            </w:pPr>
            <w:r w:rsidRPr="00A538DD">
              <w:t>Inleverans till statsve</w:t>
            </w:r>
            <w:r w:rsidRPr="00A538DD">
              <w:t>r</w:t>
            </w:r>
            <w:r w:rsidRPr="00A538DD">
              <w:t>ket</w:t>
            </w:r>
          </w:p>
        </w:tc>
        <w:tc>
          <w:tcPr>
            <w:tcW w:w="1021" w:type="dxa"/>
          </w:tcPr>
          <w:p w14:paraId="5CCD3C11" w14:textId="77777777" w:rsidR="0048679D" w:rsidRPr="00A538DD" w:rsidRDefault="0048679D">
            <w:pPr>
              <w:spacing w:before="0"/>
              <w:jc w:val="right"/>
            </w:pPr>
          </w:p>
        </w:tc>
        <w:tc>
          <w:tcPr>
            <w:tcW w:w="1021" w:type="dxa"/>
          </w:tcPr>
          <w:p w14:paraId="48864D97" w14:textId="77777777" w:rsidR="0048679D" w:rsidRPr="00A538DD" w:rsidRDefault="0048679D">
            <w:pPr>
              <w:spacing w:before="0"/>
              <w:jc w:val="right"/>
            </w:pPr>
          </w:p>
        </w:tc>
        <w:tc>
          <w:tcPr>
            <w:tcW w:w="1191" w:type="dxa"/>
          </w:tcPr>
          <w:p w14:paraId="635B6588" w14:textId="77777777" w:rsidR="0048679D" w:rsidRPr="00A538DD" w:rsidRDefault="0048679D">
            <w:pPr>
              <w:spacing w:before="0"/>
              <w:jc w:val="right"/>
            </w:pPr>
            <w:r w:rsidRPr="00A538DD">
              <w:t>–6 100</w:t>
            </w:r>
          </w:p>
        </w:tc>
        <w:tc>
          <w:tcPr>
            <w:tcW w:w="851" w:type="dxa"/>
          </w:tcPr>
          <w:p w14:paraId="4452FDC7" w14:textId="77777777" w:rsidR="0048679D" w:rsidRPr="00A538DD" w:rsidRDefault="0048679D">
            <w:pPr>
              <w:spacing w:before="0"/>
              <w:jc w:val="right"/>
            </w:pPr>
            <w:r w:rsidRPr="00A538DD">
              <w:t xml:space="preserve">–6 100 </w:t>
            </w:r>
          </w:p>
        </w:tc>
      </w:tr>
      <w:tr w:rsidR="00000000" w:rsidRPr="00A538DD" w14:paraId="64E557FA" w14:textId="77777777">
        <w:tblPrEx>
          <w:tblCellMar>
            <w:top w:w="0" w:type="dxa"/>
            <w:bottom w:w="0" w:type="dxa"/>
          </w:tblCellMar>
        </w:tblPrEx>
        <w:trPr>
          <w:cantSplit/>
        </w:trPr>
        <w:tc>
          <w:tcPr>
            <w:tcW w:w="2211" w:type="dxa"/>
          </w:tcPr>
          <w:p w14:paraId="7DB857C0" w14:textId="77777777" w:rsidR="0048679D" w:rsidRPr="00A538DD" w:rsidRDefault="0048679D">
            <w:pPr>
              <w:spacing w:before="0"/>
            </w:pPr>
            <w:r w:rsidRPr="00A538DD">
              <w:t>Överföring till/från</w:t>
            </w:r>
          </w:p>
          <w:p w14:paraId="240B6048" w14:textId="77777777" w:rsidR="0048679D" w:rsidRPr="00A538DD" w:rsidRDefault="0048679D">
            <w:pPr>
              <w:spacing w:before="0"/>
            </w:pPr>
            <w:r w:rsidRPr="00A538DD">
              <w:t xml:space="preserve">     Resultatutjämning</w:t>
            </w:r>
            <w:r w:rsidRPr="00A538DD">
              <w:t>s</w:t>
            </w:r>
            <w:r w:rsidRPr="00A538DD">
              <w:t>fond</w:t>
            </w:r>
          </w:p>
          <w:p w14:paraId="637963A0" w14:textId="77777777" w:rsidR="0048679D" w:rsidRPr="00A538DD" w:rsidRDefault="0048679D">
            <w:pPr>
              <w:spacing w:before="0"/>
            </w:pPr>
            <w:r w:rsidRPr="00A538DD">
              <w:t xml:space="preserve">     Dispositionsfond</w:t>
            </w:r>
          </w:p>
        </w:tc>
        <w:tc>
          <w:tcPr>
            <w:tcW w:w="1021" w:type="dxa"/>
          </w:tcPr>
          <w:p w14:paraId="42EFD72D" w14:textId="77777777" w:rsidR="0048679D" w:rsidRPr="00A538DD" w:rsidRDefault="0048679D">
            <w:pPr>
              <w:spacing w:before="0"/>
              <w:jc w:val="right"/>
            </w:pPr>
          </w:p>
          <w:p w14:paraId="061EC253" w14:textId="77777777" w:rsidR="0048679D" w:rsidRPr="00A538DD" w:rsidRDefault="0048679D">
            <w:pPr>
              <w:spacing w:before="0"/>
              <w:jc w:val="right"/>
            </w:pPr>
          </w:p>
        </w:tc>
        <w:tc>
          <w:tcPr>
            <w:tcW w:w="1021" w:type="dxa"/>
          </w:tcPr>
          <w:p w14:paraId="6511AFFC" w14:textId="77777777" w:rsidR="0048679D" w:rsidRPr="00A538DD" w:rsidRDefault="0048679D">
            <w:pPr>
              <w:spacing w:before="0"/>
              <w:jc w:val="right"/>
            </w:pPr>
          </w:p>
          <w:p w14:paraId="72993B79" w14:textId="77777777" w:rsidR="0048679D" w:rsidRPr="00A538DD" w:rsidRDefault="0048679D">
            <w:pPr>
              <w:spacing w:before="0"/>
              <w:jc w:val="right"/>
            </w:pPr>
            <w:r w:rsidRPr="00A538DD">
              <w:t>–2 720</w:t>
            </w:r>
          </w:p>
          <w:p w14:paraId="7B8B847E" w14:textId="77777777" w:rsidR="0048679D" w:rsidRPr="00A538DD" w:rsidRDefault="0048679D">
            <w:pPr>
              <w:spacing w:before="0"/>
              <w:jc w:val="right"/>
            </w:pPr>
            <w:r w:rsidRPr="00A538DD">
              <w:t>–12 660</w:t>
            </w:r>
          </w:p>
        </w:tc>
        <w:tc>
          <w:tcPr>
            <w:tcW w:w="1191" w:type="dxa"/>
          </w:tcPr>
          <w:p w14:paraId="3266D993" w14:textId="77777777" w:rsidR="0048679D" w:rsidRPr="00A538DD" w:rsidRDefault="0048679D">
            <w:pPr>
              <w:spacing w:before="0"/>
              <w:jc w:val="right"/>
            </w:pPr>
          </w:p>
          <w:p w14:paraId="2EB5A35C" w14:textId="77777777" w:rsidR="0048679D" w:rsidRPr="00A538DD" w:rsidRDefault="0048679D">
            <w:pPr>
              <w:spacing w:before="0"/>
              <w:jc w:val="right"/>
            </w:pPr>
            <w:r w:rsidRPr="00A538DD">
              <w:t>2 720</w:t>
            </w:r>
          </w:p>
          <w:p w14:paraId="0948DACA" w14:textId="77777777" w:rsidR="0048679D" w:rsidRPr="00A538DD" w:rsidRDefault="0048679D">
            <w:pPr>
              <w:spacing w:before="0"/>
              <w:jc w:val="right"/>
            </w:pPr>
            <w:r w:rsidRPr="00A538DD">
              <w:t>12 660</w:t>
            </w:r>
          </w:p>
        </w:tc>
        <w:tc>
          <w:tcPr>
            <w:tcW w:w="851" w:type="dxa"/>
          </w:tcPr>
          <w:p w14:paraId="4AFE2D1B" w14:textId="77777777" w:rsidR="0048679D" w:rsidRPr="00A538DD" w:rsidRDefault="0048679D">
            <w:pPr>
              <w:spacing w:before="0"/>
              <w:jc w:val="right"/>
            </w:pPr>
          </w:p>
          <w:p w14:paraId="141547B8" w14:textId="77777777" w:rsidR="0048679D" w:rsidRPr="00A538DD" w:rsidRDefault="0048679D">
            <w:pPr>
              <w:spacing w:before="0"/>
              <w:jc w:val="right"/>
            </w:pPr>
            <w:r w:rsidRPr="00A538DD">
              <w:t>0</w:t>
            </w:r>
          </w:p>
          <w:p w14:paraId="0F6D0855" w14:textId="77777777" w:rsidR="0048679D" w:rsidRPr="00A538DD" w:rsidRDefault="0048679D">
            <w:pPr>
              <w:spacing w:before="0"/>
              <w:jc w:val="right"/>
            </w:pPr>
            <w:r w:rsidRPr="00A538DD">
              <w:t>0</w:t>
            </w:r>
          </w:p>
        </w:tc>
      </w:tr>
      <w:tr w:rsidR="00000000" w:rsidRPr="00A538DD" w14:paraId="50285941" w14:textId="77777777">
        <w:tblPrEx>
          <w:tblCellMar>
            <w:top w:w="0" w:type="dxa"/>
            <w:bottom w:w="0" w:type="dxa"/>
          </w:tblCellMar>
        </w:tblPrEx>
        <w:trPr>
          <w:cantSplit/>
        </w:trPr>
        <w:tc>
          <w:tcPr>
            <w:tcW w:w="2211" w:type="dxa"/>
            <w:tcBorders>
              <w:bottom w:val="single" w:sz="4" w:space="0" w:color="auto"/>
            </w:tcBorders>
          </w:tcPr>
          <w:p w14:paraId="4D6D0D60" w14:textId="77777777" w:rsidR="0048679D" w:rsidRPr="00A538DD" w:rsidRDefault="0048679D">
            <w:pPr>
              <w:spacing w:before="0"/>
            </w:pPr>
            <w:r w:rsidRPr="00A538DD">
              <w:t>Årets resultat</w:t>
            </w:r>
          </w:p>
        </w:tc>
        <w:tc>
          <w:tcPr>
            <w:tcW w:w="1021" w:type="dxa"/>
          </w:tcPr>
          <w:p w14:paraId="6BA709DE" w14:textId="77777777" w:rsidR="0048679D" w:rsidRPr="00A538DD" w:rsidRDefault="0048679D">
            <w:pPr>
              <w:spacing w:before="0"/>
              <w:jc w:val="right"/>
            </w:pPr>
          </w:p>
        </w:tc>
        <w:tc>
          <w:tcPr>
            <w:tcW w:w="1021" w:type="dxa"/>
          </w:tcPr>
          <w:p w14:paraId="02327C5E" w14:textId="77777777" w:rsidR="0048679D" w:rsidRPr="00A538DD" w:rsidRDefault="0048679D">
            <w:pPr>
              <w:spacing w:before="0"/>
              <w:jc w:val="right"/>
            </w:pPr>
          </w:p>
        </w:tc>
        <w:tc>
          <w:tcPr>
            <w:tcW w:w="1191" w:type="dxa"/>
          </w:tcPr>
          <w:p w14:paraId="65D9D938" w14:textId="77777777" w:rsidR="0048679D" w:rsidRPr="00A538DD" w:rsidRDefault="0048679D">
            <w:pPr>
              <w:spacing w:before="0"/>
              <w:jc w:val="right"/>
            </w:pPr>
            <w:r w:rsidRPr="00A538DD">
              <w:t>–2 804</w:t>
            </w:r>
          </w:p>
        </w:tc>
        <w:tc>
          <w:tcPr>
            <w:tcW w:w="851" w:type="dxa"/>
          </w:tcPr>
          <w:p w14:paraId="716F2697" w14:textId="77777777" w:rsidR="0048679D" w:rsidRPr="00A538DD" w:rsidRDefault="0048679D">
            <w:pPr>
              <w:spacing w:before="0"/>
              <w:jc w:val="right"/>
            </w:pPr>
            <w:r w:rsidRPr="00A538DD">
              <w:t>–2 804</w:t>
            </w:r>
          </w:p>
        </w:tc>
      </w:tr>
      <w:tr w:rsidR="00000000" w:rsidRPr="00A538DD" w14:paraId="067FED87" w14:textId="77777777">
        <w:tblPrEx>
          <w:tblCellMar>
            <w:top w:w="0" w:type="dxa"/>
            <w:bottom w:w="0" w:type="dxa"/>
          </w:tblCellMar>
        </w:tblPrEx>
        <w:trPr>
          <w:cantSplit/>
          <w:trHeight w:val="357"/>
        </w:trPr>
        <w:tc>
          <w:tcPr>
            <w:tcW w:w="2211" w:type="dxa"/>
            <w:tcBorders>
              <w:top w:val="single" w:sz="4" w:space="0" w:color="auto"/>
              <w:bottom w:val="single" w:sz="4" w:space="0" w:color="auto"/>
            </w:tcBorders>
            <w:vAlign w:val="bottom"/>
          </w:tcPr>
          <w:p w14:paraId="36F4E9C1" w14:textId="77777777" w:rsidR="0048679D" w:rsidRPr="00A538DD" w:rsidRDefault="0048679D">
            <w:pPr>
              <w:spacing w:before="0" w:after="20"/>
            </w:pPr>
            <w:r w:rsidRPr="00A538DD">
              <w:t>Saldo 31 december 2004</w:t>
            </w:r>
          </w:p>
        </w:tc>
        <w:tc>
          <w:tcPr>
            <w:tcW w:w="1021" w:type="dxa"/>
            <w:tcBorders>
              <w:top w:val="single" w:sz="4" w:space="0" w:color="auto"/>
              <w:bottom w:val="single" w:sz="4" w:space="0" w:color="auto"/>
            </w:tcBorders>
            <w:vAlign w:val="bottom"/>
          </w:tcPr>
          <w:p w14:paraId="6CB87477" w14:textId="77777777" w:rsidR="0048679D" w:rsidRPr="00A538DD" w:rsidRDefault="0048679D">
            <w:pPr>
              <w:spacing w:before="0" w:after="20"/>
              <w:jc w:val="right"/>
            </w:pPr>
            <w:r w:rsidRPr="00A538DD">
              <w:t>1 000</w:t>
            </w:r>
          </w:p>
        </w:tc>
        <w:tc>
          <w:tcPr>
            <w:tcW w:w="1021" w:type="dxa"/>
            <w:tcBorders>
              <w:top w:val="single" w:sz="4" w:space="0" w:color="auto"/>
              <w:bottom w:val="single" w:sz="4" w:space="0" w:color="auto"/>
            </w:tcBorders>
            <w:vAlign w:val="bottom"/>
          </w:tcPr>
          <w:p w14:paraId="7B58F3E3" w14:textId="77777777" w:rsidR="0048679D" w:rsidRPr="00A538DD" w:rsidRDefault="0048679D">
            <w:pPr>
              <w:spacing w:before="0" w:after="20"/>
              <w:jc w:val="right"/>
            </w:pPr>
            <w:r w:rsidRPr="00A538DD">
              <w:t>65 317</w:t>
            </w:r>
          </w:p>
        </w:tc>
        <w:tc>
          <w:tcPr>
            <w:tcW w:w="1191" w:type="dxa"/>
            <w:tcBorders>
              <w:top w:val="single" w:sz="4" w:space="0" w:color="auto"/>
              <w:bottom w:val="single" w:sz="4" w:space="0" w:color="auto"/>
            </w:tcBorders>
            <w:vAlign w:val="bottom"/>
          </w:tcPr>
          <w:p w14:paraId="1E9132A5" w14:textId="77777777" w:rsidR="0048679D" w:rsidRPr="00A538DD" w:rsidRDefault="0048679D">
            <w:pPr>
              <w:spacing w:before="0" w:after="20"/>
              <w:jc w:val="right"/>
            </w:pPr>
            <w:r w:rsidRPr="00A538DD">
              <w:t>–2 804</w:t>
            </w:r>
          </w:p>
        </w:tc>
        <w:tc>
          <w:tcPr>
            <w:tcW w:w="851" w:type="dxa"/>
            <w:tcBorders>
              <w:top w:val="single" w:sz="4" w:space="0" w:color="auto"/>
              <w:bottom w:val="single" w:sz="4" w:space="0" w:color="auto"/>
            </w:tcBorders>
            <w:vAlign w:val="bottom"/>
          </w:tcPr>
          <w:p w14:paraId="43509C10" w14:textId="77777777" w:rsidR="0048679D" w:rsidRPr="00A538DD" w:rsidRDefault="0048679D">
            <w:pPr>
              <w:spacing w:before="0" w:after="20"/>
              <w:jc w:val="right"/>
            </w:pPr>
            <w:r w:rsidRPr="00A538DD">
              <w:t>63 513</w:t>
            </w:r>
          </w:p>
        </w:tc>
      </w:tr>
    </w:tbl>
    <w:p w14:paraId="74C8141B" w14:textId="77777777" w:rsidR="0048679D" w:rsidRPr="00A538DD" w:rsidRDefault="0048679D"/>
    <w:p w14:paraId="3AB83543" w14:textId="77777777" w:rsidR="0048679D" w:rsidRPr="00A538DD" w:rsidRDefault="0048679D">
      <w:pPr>
        <w:rPr>
          <w:b/>
        </w:rPr>
      </w:pPr>
      <w:r w:rsidRPr="00A538DD">
        <w:rPr>
          <w:b/>
        </w:rPr>
        <w:t>Not 25 Ränteintäkter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4B2B1FE5" w14:textId="77777777">
        <w:tblPrEx>
          <w:tblCellMar>
            <w:top w:w="0" w:type="dxa"/>
            <w:bottom w:w="0" w:type="dxa"/>
          </w:tblCellMar>
        </w:tblPrEx>
        <w:trPr>
          <w:cantSplit/>
          <w:trHeight w:val="369"/>
        </w:trPr>
        <w:tc>
          <w:tcPr>
            <w:tcW w:w="2835" w:type="dxa"/>
            <w:tcBorders>
              <w:top w:val="single" w:sz="4" w:space="0" w:color="auto"/>
            </w:tcBorders>
          </w:tcPr>
          <w:p w14:paraId="47E02315" w14:textId="77777777" w:rsidR="0048679D" w:rsidRPr="00A538DD" w:rsidRDefault="0048679D">
            <w:pPr>
              <w:spacing w:before="0"/>
              <w:jc w:val="left"/>
            </w:pPr>
          </w:p>
        </w:tc>
        <w:tc>
          <w:tcPr>
            <w:tcW w:w="1531" w:type="dxa"/>
            <w:tcBorders>
              <w:top w:val="single" w:sz="4" w:space="0" w:color="auto"/>
            </w:tcBorders>
            <w:vAlign w:val="center"/>
          </w:tcPr>
          <w:p w14:paraId="7CAEAB00" w14:textId="77777777" w:rsidR="0048679D" w:rsidRPr="00A538DD" w:rsidRDefault="0048679D">
            <w:pPr>
              <w:spacing w:before="0"/>
              <w:jc w:val="right"/>
            </w:pPr>
            <w:r w:rsidRPr="00A538DD">
              <w:t>2004</w:t>
            </w:r>
          </w:p>
        </w:tc>
        <w:tc>
          <w:tcPr>
            <w:tcW w:w="1531" w:type="dxa"/>
            <w:tcBorders>
              <w:top w:val="single" w:sz="4" w:space="0" w:color="auto"/>
            </w:tcBorders>
            <w:vAlign w:val="center"/>
          </w:tcPr>
          <w:p w14:paraId="53E31F0D" w14:textId="77777777" w:rsidR="0048679D" w:rsidRPr="00A538DD" w:rsidRDefault="0048679D">
            <w:pPr>
              <w:spacing w:before="0"/>
              <w:jc w:val="right"/>
            </w:pPr>
            <w:r w:rsidRPr="00A538DD">
              <w:t>2003</w:t>
            </w:r>
          </w:p>
        </w:tc>
      </w:tr>
      <w:tr w:rsidR="00000000" w:rsidRPr="00A538DD" w14:paraId="30B659DA" w14:textId="77777777">
        <w:tblPrEx>
          <w:tblCellMar>
            <w:top w:w="0" w:type="dxa"/>
            <w:bottom w:w="0" w:type="dxa"/>
          </w:tblCellMar>
        </w:tblPrEx>
        <w:trPr>
          <w:cantSplit/>
        </w:trPr>
        <w:tc>
          <w:tcPr>
            <w:tcW w:w="2835" w:type="dxa"/>
            <w:tcBorders>
              <w:top w:val="single" w:sz="4" w:space="0" w:color="auto"/>
            </w:tcBorders>
          </w:tcPr>
          <w:p w14:paraId="50737CCA" w14:textId="77777777" w:rsidR="0048679D" w:rsidRPr="00A538DD" w:rsidRDefault="0048679D">
            <w:pPr>
              <w:spacing w:before="0"/>
              <w:jc w:val="left"/>
            </w:pPr>
            <w:r w:rsidRPr="00A538DD">
              <w:t>Utländska tillgångar</w:t>
            </w:r>
          </w:p>
        </w:tc>
        <w:tc>
          <w:tcPr>
            <w:tcW w:w="1531" w:type="dxa"/>
            <w:tcBorders>
              <w:top w:val="single" w:sz="4" w:space="0" w:color="auto"/>
            </w:tcBorders>
          </w:tcPr>
          <w:p w14:paraId="79874119" w14:textId="77777777" w:rsidR="0048679D" w:rsidRPr="00A538DD" w:rsidRDefault="0048679D">
            <w:pPr>
              <w:spacing w:before="0"/>
              <w:jc w:val="right"/>
            </w:pPr>
            <w:r w:rsidRPr="00A538DD">
              <w:t>4 492</w:t>
            </w:r>
          </w:p>
        </w:tc>
        <w:tc>
          <w:tcPr>
            <w:tcW w:w="1531" w:type="dxa"/>
            <w:tcBorders>
              <w:top w:val="single" w:sz="4" w:space="0" w:color="auto"/>
            </w:tcBorders>
          </w:tcPr>
          <w:p w14:paraId="54D9559D" w14:textId="77777777" w:rsidR="0048679D" w:rsidRPr="00A538DD" w:rsidRDefault="0048679D">
            <w:pPr>
              <w:spacing w:before="0"/>
              <w:jc w:val="right"/>
            </w:pPr>
            <w:r w:rsidRPr="00A538DD">
              <w:t>4 702</w:t>
            </w:r>
          </w:p>
        </w:tc>
      </w:tr>
      <w:tr w:rsidR="00000000" w:rsidRPr="00A538DD" w14:paraId="748B2A71" w14:textId="77777777">
        <w:tblPrEx>
          <w:tblCellMar>
            <w:top w:w="0" w:type="dxa"/>
            <w:bottom w:w="0" w:type="dxa"/>
          </w:tblCellMar>
        </w:tblPrEx>
        <w:trPr>
          <w:cantSplit/>
        </w:trPr>
        <w:tc>
          <w:tcPr>
            <w:tcW w:w="2835" w:type="dxa"/>
          </w:tcPr>
          <w:p w14:paraId="5EA1D6A9" w14:textId="77777777" w:rsidR="0048679D" w:rsidRPr="00A538DD" w:rsidRDefault="0048679D">
            <w:pPr>
              <w:spacing w:before="0"/>
              <w:jc w:val="left"/>
            </w:pPr>
            <w:r w:rsidRPr="00A538DD">
              <w:t>Huvudsakliga refinansi</w:t>
            </w:r>
            <w:r w:rsidRPr="00A538DD">
              <w:t>e</w:t>
            </w:r>
            <w:r w:rsidRPr="00A538DD">
              <w:t>rings-transaktioner</w:t>
            </w:r>
          </w:p>
        </w:tc>
        <w:tc>
          <w:tcPr>
            <w:tcW w:w="1531" w:type="dxa"/>
          </w:tcPr>
          <w:p w14:paraId="01B502C4" w14:textId="77777777" w:rsidR="0048679D" w:rsidRPr="00A538DD" w:rsidRDefault="0048679D">
            <w:pPr>
              <w:spacing w:before="0"/>
              <w:jc w:val="right"/>
            </w:pPr>
          </w:p>
          <w:p w14:paraId="1837C5DD" w14:textId="77777777" w:rsidR="0048679D" w:rsidRPr="00A538DD" w:rsidRDefault="0048679D">
            <w:pPr>
              <w:spacing w:before="0"/>
              <w:jc w:val="right"/>
            </w:pPr>
            <w:r w:rsidRPr="00A538DD">
              <w:t>274</w:t>
            </w:r>
          </w:p>
        </w:tc>
        <w:tc>
          <w:tcPr>
            <w:tcW w:w="1531" w:type="dxa"/>
          </w:tcPr>
          <w:p w14:paraId="2EAE6CA8" w14:textId="77777777" w:rsidR="0048679D" w:rsidRPr="00A538DD" w:rsidRDefault="0048679D">
            <w:pPr>
              <w:spacing w:before="0"/>
              <w:jc w:val="right"/>
            </w:pPr>
            <w:r w:rsidRPr="00A538DD">
              <w:br/>
              <w:t>598</w:t>
            </w:r>
          </w:p>
        </w:tc>
      </w:tr>
      <w:tr w:rsidR="00000000" w:rsidRPr="00A538DD" w14:paraId="107B5D9E" w14:textId="77777777">
        <w:tblPrEx>
          <w:tblCellMar>
            <w:top w:w="0" w:type="dxa"/>
            <w:bottom w:w="0" w:type="dxa"/>
          </w:tblCellMar>
        </w:tblPrEx>
        <w:trPr>
          <w:cantSplit/>
        </w:trPr>
        <w:tc>
          <w:tcPr>
            <w:tcW w:w="2835" w:type="dxa"/>
            <w:tcBorders>
              <w:bottom w:val="single" w:sz="4" w:space="0" w:color="auto"/>
            </w:tcBorders>
          </w:tcPr>
          <w:p w14:paraId="19E820D9" w14:textId="77777777" w:rsidR="0048679D" w:rsidRPr="00A538DD" w:rsidRDefault="0048679D">
            <w:pPr>
              <w:spacing w:before="0"/>
              <w:jc w:val="left"/>
            </w:pPr>
            <w:r w:rsidRPr="00A538DD">
              <w:t>Övrigt</w:t>
            </w:r>
          </w:p>
        </w:tc>
        <w:tc>
          <w:tcPr>
            <w:tcW w:w="1531" w:type="dxa"/>
          </w:tcPr>
          <w:p w14:paraId="7940D89B" w14:textId="77777777" w:rsidR="0048679D" w:rsidRPr="00A538DD" w:rsidRDefault="0048679D">
            <w:pPr>
              <w:spacing w:before="0"/>
              <w:jc w:val="right"/>
            </w:pPr>
            <w:r w:rsidRPr="00A538DD">
              <w:t xml:space="preserve">12 </w:t>
            </w:r>
          </w:p>
        </w:tc>
        <w:tc>
          <w:tcPr>
            <w:tcW w:w="1531" w:type="dxa"/>
          </w:tcPr>
          <w:p w14:paraId="47C29FDB" w14:textId="77777777" w:rsidR="0048679D" w:rsidRPr="00A538DD" w:rsidRDefault="0048679D">
            <w:pPr>
              <w:spacing w:before="0"/>
              <w:jc w:val="right"/>
            </w:pPr>
            <w:r w:rsidRPr="00A538DD">
              <w:t>16</w:t>
            </w:r>
          </w:p>
        </w:tc>
      </w:tr>
      <w:tr w:rsidR="00000000" w:rsidRPr="00A538DD" w14:paraId="01880752"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67C32DB2" w14:textId="77777777" w:rsidR="0048679D" w:rsidRPr="00A538DD" w:rsidRDefault="0048679D">
            <w:pPr>
              <w:spacing w:before="0"/>
              <w:jc w:val="left"/>
            </w:pPr>
            <w:r w:rsidRPr="00A538DD">
              <w:t>Summa</w:t>
            </w:r>
          </w:p>
        </w:tc>
        <w:tc>
          <w:tcPr>
            <w:tcW w:w="1531" w:type="dxa"/>
            <w:tcBorders>
              <w:top w:val="single" w:sz="4" w:space="0" w:color="auto"/>
              <w:bottom w:val="single" w:sz="4" w:space="0" w:color="auto"/>
            </w:tcBorders>
            <w:vAlign w:val="center"/>
          </w:tcPr>
          <w:p w14:paraId="45BCE174" w14:textId="77777777" w:rsidR="0048679D" w:rsidRPr="00A538DD" w:rsidRDefault="0048679D">
            <w:pPr>
              <w:spacing w:before="0"/>
              <w:jc w:val="right"/>
            </w:pPr>
            <w:r w:rsidRPr="00A538DD">
              <w:t>4 778</w:t>
            </w:r>
          </w:p>
        </w:tc>
        <w:tc>
          <w:tcPr>
            <w:tcW w:w="1531" w:type="dxa"/>
            <w:tcBorders>
              <w:top w:val="single" w:sz="4" w:space="0" w:color="auto"/>
              <w:bottom w:val="single" w:sz="4" w:space="0" w:color="auto"/>
            </w:tcBorders>
            <w:vAlign w:val="center"/>
          </w:tcPr>
          <w:p w14:paraId="7A21E62B" w14:textId="77777777" w:rsidR="0048679D" w:rsidRPr="00A538DD" w:rsidRDefault="0048679D">
            <w:pPr>
              <w:spacing w:before="0"/>
              <w:jc w:val="right"/>
            </w:pPr>
            <w:r w:rsidRPr="00A538DD">
              <w:t>5 316</w:t>
            </w:r>
          </w:p>
        </w:tc>
      </w:tr>
    </w:tbl>
    <w:p w14:paraId="5A8D8677" w14:textId="77777777" w:rsidR="0048679D" w:rsidRPr="00A538DD" w:rsidRDefault="0048679D"/>
    <w:p w14:paraId="026C6D7C" w14:textId="77777777" w:rsidR="0048679D" w:rsidRPr="00A538DD" w:rsidRDefault="0048679D">
      <w:r w:rsidRPr="00A538DD">
        <w:t>Posten innefattar främst obligationsräntor samt erhållen ränta från de huvu</w:t>
      </w:r>
      <w:r w:rsidRPr="00A538DD">
        <w:t>d</w:t>
      </w:r>
      <w:r w:rsidRPr="00A538DD">
        <w:t>sakliga refinansieringstransaktionerna.</w:t>
      </w:r>
    </w:p>
    <w:p w14:paraId="14B0DC5B" w14:textId="77777777" w:rsidR="0048679D" w:rsidRPr="00A538DD" w:rsidRDefault="0048679D"/>
    <w:p w14:paraId="60024C47" w14:textId="77777777" w:rsidR="0048679D" w:rsidRPr="00A538DD" w:rsidRDefault="0048679D">
      <w:pPr>
        <w:rPr>
          <w:b/>
        </w:rPr>
      </w:pPr>
      <w:r w:rsidRPr="00A538DD">
        <w:rPr>
          <w:b/>
        </w:rPr>
        <w:t>Not 26 Räntekostnader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2AC34BC4" w14:textId="77777777">
        <w:tblPrEx>
          <w:tblCellMar>
            <w:top w:w="0" w:type="dxa"/>
            <w:bottom w:w="0" w:type="dxa"/>
          </w:tblCellMar>
        </w:tblPrEx>
        <w:trPr>
          <w:cantSplit/>
          <w:trHeight w:val="369"/>
        </w:trPr>
        <w:tc>
          <w:tcPr>
            <w:tcW w:w="2835" w:type="dxa"/>
            <w:tcBorders>
              <w:top w:val="single" w:sz="4" w:space="0" w:color="auto"/>
            </w:tcBorders>
          </w:tcPr>
          <w:p w14:paraId="533519A2" w14:textId="77777777" w:rsidR="0048679D" w:rsidRPr="00A538DD" w:rsidRDefault="0048679D">
            <w:pPr>
              <w:spacing w:before="0"/>
            </w:pPr>
          </w:p>
        </w:tc>
        <w:tc>
          <w:tcPr>
            <w:tcW w:w="1531" w:type="dxa"/>
            <w:tcBorders>
              <w:top w:val="single" w:sz="4" w:space="0" w:color="auto"/>
            </w:tcBorders>
            <w:vAlign w:val="center"/>
          </w:tcPr>
          <w:p w14:paraId="37252D86" w14:textId="77777777" w:rsidR="0048679D" w:rsidRPr="00A538DD" w:rsidRDefault="0048679D">
            <w:pPr>
              <w:jc w:val="right"/>
            </w:pPr>
            <w:r w:rsidRPr="00A538DD">
              <w:t>2004</w:t>
            </w:r>
          </w:p>
        </w:tc>
        <w:tc>
          <w:tcPr>
            <w:tcW w:w="1531" w:type="dxa"/>
            <w:tcBorders>
              <w:top w:val="single" w:sz="4" w:space="0" w:color="auto"/>
            </w:tcBorders>
            <w:vAlign w:val="center"/>
          </w:tcPr>
          <w:p w14:paraId="28504712" w14:textId="77777777" w:rsidR="0048679D" w:rsidRPr="00A538DD" w:rsidRDefault="0048679D">
            <w:pPr>
              <w:jc w:val="right"/>
            </w:pPr>
            <w:r w:rsidRPr="00A538DD">
              <w:t>2003</w:t>
            </w:r>
          </w:p>
        </w:tc>
      </w:tr>
      <w:tr w:rsidR="00000000" w:rsidRPr="00A538DD" w14:paraId="533445C5" w14:textId="77777777">
        <w:tblPrEx>
          <w:tblCellMar>
            <w:top w:w="0" w:type="dxa"/>
            <w:bottom w:w="0" w:type="dxa"/>
          </w:tblCellMar>
        </w:tblPrEx>
        <w:trPr>
          <w:cantSplit/>
        </w:trPr>
        <w:tc>
          <w:tcPr>
            <w:tcW w:w="2835" w:type="dxa"/>
            <w:tcBorders>
              <w:top w:val="single" w:sz="4" w:space="0" w:color="auto"/>
            </w:tcBorders>
          </w:tcPr>
          <w:p w14:paraId="213E69F5" w14:textId="77777777" w:rsidR="0048679D" w:rsidRPr="00A538DD" w:rsidRDefault="0048679D">
            <w:pPr>
              <w:spacing w:before="0"/>
            </w:pPr>
            <w:r w:rsidRPr="00A538DD">
              <w:t>Utländska skulder</w:t>
            </w:r>
          </w:p>
        </w:tc>
        <w:tc>
          <w:tcPr>
            <w:tcW w:w="1531" w:type="dxa"/>
            <w:tcBorders>
              <w:top w:val="single" w:sz="4" w:space="0" w:color="auto"/>
            </w:tcBorders>
          </w:tcPr>
          <w:p w14:paraId="7273A7FA" w14:textId="77777777" w:rsidR="0048679D" w:rsidRPr="00A538DD" w:rsidRDefault="0048679D">
            <w:pPr>
              <w:jc w:val="right"/>
            </w:pPr>
            <w:r w:rsidRPr="00A538DD">
              <w:t>–280</w:t>
            </w:r>
          </w:p>
        </w:tc>
        <w:tc>
          <w:tcPr>
            <w:tcW w:w="1531" w:type="dxa"/>
            <w:tcBorders>
              <w:top w:val="single" w:sz="4" w:space="0" w:color="auto"/>
            </w:tcBorders>
          </w:tcPr>
          <w:p w14:paraId="5A002911" w14:textId="77777777" w:rsidR="0048679D" w:rsidRPr="00A538DD" w:rsidRDefault="0048679D">
            <w:pPr>
              <w:jc w:val="right"/>
            </w:pPr>
            <w:r w:rsidRPr="00A538DD">
              <w:t>–112</w:t>
            </w:r>
          </w:p>
        </w:tc>
      </w:tr>
      <w:tr w:rsidR="00000000" w:rsidRPr="00A538DD" w14:paraId="0AB94523" w14:textId="77777777">
        <w:tblPrEx>
          <w:tblCellMar>
            <w:top w:w="0" w:type="dxa"/>
            <w:bottom w:w="0" w:type="dxa"/>
          </w:tblCellMar>
        </w:tblPrEx>
        <w:trPr>
          <w:cantSplit/>
        </w:trPr>
        <w:tc>
          <w:tcPr>
            <w:tcW w:w="2835" w:type="dxa"/>
            <w:tcBorders>
              <w:bottom w:val="single" w:sz="4" w:space="0" w:color="auto"/>
            </w:tcBorders>
          </w:tcPr>
          <w:p w14:paraId="1765732E" w14:textId="77777777" w:rsidR="0048679D" w:rsidRPr="00A538DD" w:rsidRDefault="0048679D">
            <w:pPr>
              <w:spacing w:before="0"/>
            </w:pPr>
            <w:r w:rsidRPr="00A538DD">
              <w:t>Inhemska skulder</w:t>
            </w:r>
          </w:p>
        </w:tc>
        <w:tc>
          <w:tcPr>
            <w:tcW w:w="1531" w:type="dxa"/>
          </w:tcPr>
          <w:p w14:paraId="2A0072AB" w14:textId="77777777" w:rsidR="0048679D" w:rsidRPr="00A538DD" w:rsidRDefault="0048679D">
            <w:pPr>
              <w:spacing w:before="0"/>
              <w:jc w:val="right"/>
            </w:pPr>
            <w:r w:rsidRPr="00A538DD">
              <w:t>–10</w:t>
            </w:r>
          </w:p>
        </w:tc>
        <w:tc>
          <w:tcPr>
            <w:tcW w:w="1531" w:type="dxa"/>
          </w:tcPr>
          <w:p w14:paraId="6E3BE47B" w14:textId="77777777" w:rsidR="0048679D" w:rsidRPr="00A538DD" w:rsidRDefault="0048679D">
            <w:pPr>
              <w:spacing w:before="0"/>
              <w:jc w:val="right"/>
            </w:pPr>
            <w:r w:rsidRPr="00A538DD">
              <w:t>–9</w:t>
            </w:r>
          </w:p>
        </w:tc>
      </w:tr>
      <w:tr w:rsidR="00000000" w:rsidRPr="00A538DD" w14:paraId="4B82D7C2"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009E0C56"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4A4BF0B2" w14:textId="77777777" w:rsidR="0048679D" w:rsidRPr="00A538DD" w:rsidRDefault="0048679D">
            <w:pPr>
              <w:spacing w:before="0"/>
              <w:jc w:val="right"/>
            </w:pPr>
            <w:r w:rsidRPr="00A538DD">
              <w:t>–290</w:t>
            </w:r>
          </w:p>
        </w:tc>
        <w:tc>
          <w:tcPr>
            <w:tcW w:w="1531" w:type="dxa"/>
            <w:tcBorders>
              <w:top w:val="single" w:sz="4" w:space="0" w:color="auto"/>
              <w:bottom w:val="single" w:sz="4" w:space="0" w:color="auto"/>
            </w:tcBorders>
            <w:vAlign w:val="center"/>
          </w:tcPr>
          <w:p w14:paraId="5E5DB202" w14:textId="77777777" w:rsidR="0048679D" w:rsidRPr="00A538DD" w:rsidRDefault="0048679D">
            <w:pPr>
              <w:spacing w:before="0"/>
              <w:jc w:val="right"/>
            </w:pPr>
            <w:r w:rsidRPr="00A538DD">
              <w:t>–121</w:t>
            </w:r>
          </w:p>
        </w:tc>
      </w:tr>
    </w:tbl>
    <w:p w14:paraId="759C0FEE" w14:textId="77777777" w:rsidR="0048679D" w:rsidRPr="00A538DD" w:rsidRDefault="0048679D">
      <w:r w:rsidRPr="00A538DD">
        <w:br/>
        <w:t>Räntekostnader består främst av inlåningsreporäntor.</w:t>
      </w:r>
    </w:p>
    <w:p w14:paraId="7F1C1139" w14:textId="77777777" w:rsidR="0048679D" w:rsidRPr="00A538DD" w:rsidRDefault="0048679D"/>
    <w:p w14:paraId="72CDA9F8" w14:textId="77777777" w:rsidR="0048679D" w:rsidRPr="00A538DD" w:rsidRDefault="0048679D">
      <w:pPr>
        <w:rPr>
          <w:b/>
        </w:rPr>
      </w:pPr>
      <w:r w:rsidRPr="00A538DD">
        <w:rPr>
          <w:b/>
        </w:rPr>
        <w:t>Not 27 Nettoresultat av finansiella transaktioner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099C7262" w14:textId="77777777">
        <w:tblPrEx>
          <w:tblCellMar>
            <w:top w:w="0" w:type="dxa"/>
            <w:bottom w:w="0" w:type="dxa"/>
          </w:tblCellMar>
        </w:tblPrEx>
        <w:trPr>
          <w:cantSplit/>
          <w:trHeight w:val="369"/>
        </w:trPr>
        <w:tc>
          <w:tcPr>
            <w:tcW w:w="2835" w:type="dxa"/>
            <w:tcBorders>
              <w:top w:val="single" w:sz="4" w:space="0" w:color="auto"/>
            </w:tcBorders>
          </w:tcPr>
          <w:p w14:paraId="56FE8F72" w14:textId="77777777" w:rsidR="0048679D" w:rsidRPr="00A538DD" w:rsidRDefault="0048679D">
            <w:pPr>
              <w:spacing w:before="0"/>
            </w:pPr>
          </w:p>
        </w:tc>
        <w:tc>
          <w:tcPr>
            <w:tcW w:w="1531" w:type="dxa"/>
            <w:tcBorders>
              <w:top w:val="single" w:sz="4" w:space="0" w:color="auto"/>
            </w:tcBorders>
            <w:vAlign w:val="center"/>
          </w:tcPr>
          <w:p w14:paraId="7ED1E818" w14:textId="77777777" w:rsidR="0048679D" w:rsidRPr="00A538DD" w:rsidRDefault="0048679D">
            <w:pPr>
              <w:spacing w:before="0"/>
              <w:jc w:val="right"/>
            </w:pPr>
            <w:r w:rsidRPr="00A538DD">
              <w:t>2004</w:t>
            </w:r>
          </w:p>
        </w:tc>
        <w:tc>
          <w:tcPr>
            <w:tcW w:w="1531" w:type="dxa"/>
            <w:tcBorders>
              <w:top w:val="single" w:sz="4" w:space="0" w:color="auto"/>
            </w:tcBorders>
            <w:vAlign w:val="center"/>
          </w:tcPr>
          <w:p w14:paraId="55C1DF32" w14:textId="77777777" w:rsidR="0048679D" w:rsidRPr="00A538DD" w:rsidRDefault="0048679D">
            <w:pPr>
              <w:spacing w:before="0"/>
              <w:jc w:val="right"/>
            </w:pPr>
            <w:r w:rsidRPr="00A538DD">
              <w:t>2003</w:t>
            </w:r>
          </w:p>
        </w:tc>
      </w:tr>
      <w:tr w:rsidR="00000000" w:rsidRPr="00A538DD" w14:paraId="6E3E7CA3" w14:textId="77777777">
        <w:tblPrEx>
          <w:tblCellMar>
            <w:top w:w="0" w:type="dxa"/>
            <w:bottom w:w="0" w:type="dxa"/>
          </w:tblCellMar>
        </w:tblPrEx>
        <w:trPr>
          <w:cantSplit/>
        </w:trPr>
        <w:tc>
          <w:tcPr>
            <w:tcW w:w="2835" w:type="dxa"/>
            <w:tcBorders>
              <w:top w:val="single" w:sz="4" w:space="0" w:color="auto"/>
            </w:tcBorders>
          </w:tcPr>
          <w:p w14:paraId="51DCDEAF" w14:textId="77777777" w:rsidR="0048679D" w:rsidRPr="00A538DD" w:rsidRDefault="0048679D">
            <w:pPr>
              <w:spacing w:before="0"/>
            </w:pPr>
            <w:r w:rsidRPr="00A538DD">
              <w:t xml:space="preserve">Priseffekt </w:t>
            </w:r>
          </w:p>
        </w:tc>
        <w:tc>
          <w:tcPr>
            <w:tcW w:w="1531" w:type="dxa"/>
            <w:tcBorders>
              <w:top w:val="single" w:sz="4" w:space="0" w:color="auto"/>
            </w:tcBorders>
          </w:tcPr>
          <w:p w14:paraId="2157CB8C" w14:textId="77777777" w:rsidR="0048679D" w:rsidRPr="00A538DD" w:rsidRDefault="0048679D">
            <w:pPr>
              <w:spacing w:before="0"/>
              <w:jc w:val="right"/>
            </w:pPr>
            <w:r w:rsidRPr="00A538DD">
              <w:t>–109</w:t>
            </w:r>
          </w:p>
        </w:tc>
        <w:tc>
          <w:tcPr>
            <w:tcW w:w="1531" w:type="dxa"/>
            <w:tcBorders>
              <w:top w:val="single" w:sz="4" w:space="0" w:color="auto"/>
            </w:tcBorders>
          </w:tcPr>
          <w:p w14:paraId="402889E2" w14:textId="77777777" w:rsidR="0048679D" w:rsidRPr="00A538DD" w:rsidRDefault="0048679D">
            <w:pPr>
              <w:spacing w:before="0"/>
              <w:jc w:val="right"/>
            </w:pPr>
            <w:r w:rsidRPr="00A538DD">
              <w:t>–627</w:t>
            </w:r>
          </w:p>
        </w:tc>
      </w:tr>
      <w:tr w:rsidR="00000000" w:rsidRPr="00A538DD" w14:paraId="36499CA1" w14:textId="77777777">
        <w:tblPrEx>
          <w:tblCellMar>
            <w:top w:w="0" w:type="dxa"/>
            <w:bottom w:w="0" w:type="dxa"/>
          </w:tblCellMar>
        </w:tblPrEx>
        <w:trPr>
          <w:cantSplit/>
        </w:trPr>
        <w:tc>
          <w:tcPr>
            <w:tcW w:w="2835" w:type="dxa"/>
          </w:tcPr>
          <w:p w14:paraId="6E407BBD" w14:textId="77777777" w:rsidR="0048679D" w:rsidRPr="00A538DD" w:rsidRDefault="0048679D">
            <w:pPr>
              <w:spacing w:before="0"/>
            </w:pPr>
            <w:r w:rsidRPr="00A538DD">
              <w:t>Valutakurseffekt</w:t>
            </w:r>
          </w:p>
        </w:tc>
        <w:tc>
          <w:tcPr>
            <w:tcW w:w="1531" w:type="dxa"/>
          </w:tcPr>
          <w:p w14:paraId="3AD7EBAF" w14:textId="77777777" w:rsidR="0048679D" w:rsidRPr="00A538DD" w:rsidRDefault="0048679D">
            <w:pPr>
              <w:spacing w:before="0"/>
              <w:jc w:val="right"/>
            </w:pPr>
            <w:r w:rsidRPr="00A538DD">
              <w:t>–5 617</w:t>
            </w:r>
          </w:p>
        </w:tc>
        <w:tc>
          <w:tcPr>
            <w:tcW w:w="1531" w:type="dxa"/>
          </w:tcPr>
          <w:p w14:paraId="08797351" w14:textId="77777777" w:rsidR="0048679D" w:rsidRPr="00A538DD" w:rsidRDefault="0048679D">
            <w:pPr>
              <w:spacing w:before="0"/>
              <w:jc w:val="right"/>
            </w:pPr>
            <w:r w:rsidRPr="00A538DD">
              <w:t>–12 480</w:t>
            </w:r>
          </w:p>
        </w:tc>
      </w:tr>
      <w:tr w:rsidR="00000000" w:rsidRPr="00A538DD" w14:paraId="78A7DC03" w14:textId="77777777">
        <w:tblPrEx>
          <w:tblCellMar>
            <w:top w:w="0" w:type="dxa"/>
            <w:bottom w:w="0" w:type="dxa"/>
          </w:tblCellMar>
        </w:tblPrEx>
        <w:trPr>
          <w:cantSplit/>
        </w:trPr>
        <w:tc>
          <w:tcPr>
            <w:tcW w:w="2835" w:type="dxa"/>
            <w:tcBorders>
              <w:bottom w:val="single" w:sz="4" w:space="0" w:color="auto"/>
            </w:tcBorders>
          </w:tcPr>
          <w:p w14:paraId="410A9ACA" w14:textId="77777777" w:rsidR="0048679D" w:rsidRPr="00A538DD" w:rsidRDefault="0048679D">
            <w:pPr>
              <w:spacing w:before="0"/>
            </w:pPr>
            <w:r w:rsidRPr="00A538DD">
              <w:t>Guldvärderingseffekt</w:t>
            </w:r>
          </w:p>
        </w:tc>
        <w:tc>
          <w:tcPr>
            <w:tcW w:w="1531" w:type="dxa"/>
          </w:tcPr>
          <w:p w14:paraId="4EE10A1A" w14:textId="77777777" w:rsidR="0048679D" w:rsidRPr="00A538DD" w:rsidRDefault="0048679D">
            <w:pPr>
              <w:spacing w:before="0"/>
              <w:jc w:val="right"/>
            </w:pPr>
            <w:r w:rsidRPr="00A538DD">
              <w:t>–591</w:t>
            </w:r>
          </w:p>
        </w:tc>
        <w:tc>
          <w:tcPr>
            <w:tcW w:w="1531" w:type="dxa"/>
          </w:tcPr>
          <w:p w14:paraId="2A4D75AB" w14:textId="77777777" w:rsidR="0048679D" w:rsidRPr="00A538DD" w:rsidRDefault="0048679D">
            <w:pPr>
              <w:spacing w:before="0"/>
              <w:jc w:val="right"/>
            </w:pPr>
            <w:r w:rsidRPr="00A538DD">
              <w:t>–180</w:t>
            </w:r>
          </w:p>
        </w:tc>
      </w:tr>
      <w:tr w:rsidR="00000000" w:rsidRPr="00A538DD" w14:paraId="5DFC2207"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5AB05673"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39F16141" w14:textId="77777777" w:rsidR="0048679D" w:rsidRPr="00A538DD" w:rsidRDefault="0048679D">
            <w:pPr>
              <w:spacing w:before="0"/>
              <w:jc w:val="right"/>
            </w:pPr>
            <w:r w:rsidRPr="00A538DD">
              <w:t>– 6 317</w:t>
            </w:r>
          </w:p>
        </w:tc>
        <w:tc>
          <w:tcPr>
            <w:tcW w:w="1531" w:type="dxa"/>
            <w:tcBorders>
              <w:top w:val="single" w:sz="4" w:space="0" w:color="auto"/>
              <w:bottom w:val="single" w:sz="4" w:space="0" w:color="auto"/>
            </w:tcBorders>
            <w:vAlign w:val="center"/>
          </w:tcPr>
          <w:p w14:paraId="7C2CCE88" w14:textId="77777777" w:rsidR="0048679D" w:rsidRPr="00A538DD" w:rsidRDefault="0048679D">
            <w:pPr>
              <w:spacing w:before="0"/>
              <w:jc w:val="right"/>
            </w:pPr>
            <w:r w:rsidRPr="00A538DD">
              <w:t>–13 287</w:t>
            </w:r>
          </w:p>
        </w:tc>
      </w:tr>
    </w:tbl>
    <w:p w14:paraId="2CB252AA" w14:textId="77777777" w:rsidR="0048679D" w:rsidRPr="00A538DD" w:rsidRDefault="0048679D"/>
    <w:p w14:paraId="501A21B8" w14:textId="77777777" w:rsidR="0048679D" w:rsidRPr="00A538DD" w:rsidRDefault="0048679D">
      <w:r w:rsidRPr="00A538DD">
        <w:t>Jämförelsesiffrorna innefattar orealiserade kursvinster vilka fr.o.m. 2004 redovisas på särskilda värderegleringskonton.</w:t>
      </w:r>
    </w:p>
    <w:p w14:paraId="158C6125" w14:textId="77777777" w:rsidR="0048679D" w:rsidRPr="00A538DD" w:rsidRDefault="0048679D"/>
    <w:p w14:paraId="45777EFD" w14:textId="77777777" w:rsidR="0048679D" w:rsidRPr="00A538DD" w:rsidRDefault="0048679D">
      <w:r w:rsidRPr="00A538DD">
        <w:t>Priseffekten innefattar realiserade värdepapperskursvinster och förluster om 128 miljoner kronor samt orealiserade värdepapperkursförluster om –237 miljoner kronor.</w:t>
      </w:r>
    </w:p>
    <w:p w14:paraId="144F92BE" w14:textId="77777777" w:rsidR="0048679D" w:rsidRPr="00A538DD" w:rsidRDefault="0048679D"/>
    <w:p w14:paraId="4BBD4CE7" w14:textId="77777777" w:rsidR="0048679D" w:rsidRPr="00A538DD" w:rsidRDefault="0048679D">
      <w:r w:rsidRPr="00A538DD">
        <w:t>Valutakurseffekten innefattar realiserade valutakursvinster och förluster om 491 miljoner kronor samt orealiserade valutakursförluster om -6 108 miljoner kronor. I det realiserade valutakursresultatet ingår 618 miljoner kronor avs</w:t>
      </w:r>
      <w:r w:rsidRPr="00A538DD">
        <w:t>e</w:t>
      </w:r>
      <w:r w:rsidRPr="00A538DD">
        <w:t xml:space="preserve">ende kursomräkning av IMF:s konto för svenska kronor. Kursomräkningen uppkommer på grund av att kontot är värdesäkrat uttryckt i SDR gentemot IMF och regleras genom betalningstransaktioner i svenska kronor på kontot. </w:t>
      </w:r>
    </w:p>
    <w:p w14:paraId="383C1781" w14:textId="77777777" w:rsidR="0048679D" w:rsidRPr="00A538DD" w:rsidRDefault="0048679D"/>
    <w:p w14:paraId="745E84AE" w14:textId="77777777" w:rsidR="0048679D" w:rsidRPr="00A538DD" w:rsidRDefault="0048679D">
      <w:pPr>
        <w:spacing w:before="0"/>
      </w:pPr>
      <w:r w:rsidRPr="00A538DD">
        <w:t>Guldvärderingseffekten innefattar realiserade guldprisvinster och förluster om 0,2 miljoner kronor samt orealiserade guldprisförluster om –591 miljoner kronor.</w:t>
      </w:r>
    </w:p>
    <w:p w14:paraId="6914F8BA" w14:textId="77777777" w:rsidR="0048679D" w:rsidRPr="00A538DD" w:rsidRDefault="0048679D">
      <w:r w:rsidRPr="00A538DD">
        <w:t xml:space="preserve"> </w:t>
      </w:r>
    </w:p>
    <w:p w14:paraId="6496D89A" w14:textId="77777777" w:rsidR="0048679D" w:rsidRPr="00A538DD" w:rsidRDefault="0048679D">
      <w:pPr>
        <w:rPr>
          <w:b/>
        </w:rPr>
      </w:pPr>
      <w:r w:rsidRPr="00A538DD">
        <w:rPr>
          <w:b/>
        </w:rPr>
        <w:t>Not 28 Avgifts- och provisionsintäkter</w:t>
      </w:r>
    </w:p>
    <w:p w14:paraId="0A006E68" w14:textId="77777777" w:rsidR="0048679D" w:rsidRPr="00A538DD" w:rsidRDefault="0048679D">
      <w:r w:rsidRPr="00A538DD">
        <w:t xml:space="preserve">Posten innefattar främst års- och transaktionsavgifter avseende RIX-systemet. </w:t>
      </w:r>
    </w:p>
    <w:p w14:paraId="4D9832D2" w14:textId="77777777" w:rsidR="0048679D" w:rsidRPr="00A538DD" w:rsidRDefault="0048679D"/>
    <w:p w14:paraId="62E26E1D" w14:textId="77777777" w:rsidR="0048679D" w:rsidRPr="00A538DD" w:rsidRDefault="0048679D">
      <w:pPr>
        <w:rPr>
          <w:b/>
        </w:rPr>
      </w:pPr>
      <w:r w:rsidRPr="00A538DD">
        <w:rPr>
          <w:b/>
        </w:rPr>
        <w:t>Not 29 Avgifts- och provisionskostnader</w:t>
      </w:r>
    </w:p>
    <w:p w14:paraId="23A747D9" w14:textId="77777777" w:rsidR="0048679D" w:rsidRPr="00A538DD" w:rsidRDefault="0048679D">
      <w:r w:rsidRPr="00A538DD">
        <w:t>Posten innefattar främst kostnader för värdepappersdepåer.</w:t>
      </w:r>
    </w:p>
    <w:p w14:paraId="637C063A" w14:textId="77777777" w:rsidR="0048679D" w:rsidRPr="00A538DD" w:rsidRDefault="0048679D">
      <w:pPr>
        <w:rPr>
          <w:b/>
        </w:rPr>
      </w:pPr>
      <w:r w:rsidRPr="00A538DD">
        <w:rPr>
          <w:b/>
        </w:rPr>
        <w:t>Not 30 Erhållna utdelningar</w:t>
      </w:r>
    </w:p>
    <w:p w14:paraId="2807DA54" w14:textId="77777777" w:rsidR="0048679D" w:rsidRPr="00A538DD" w:rsidRDefault="0048679D">
      <w:r w:rsidRPr="00A538DD">
        <w:t xml:space="preserve">Utdelning har erhållits från BIS med 40 miljoner kronor (38). Dessutom har 2 miljoner kronor erhållits från Eskilstuna Penningsmedja AB vid bolagets likvidation. </w:t>
      </w:r>
    </w:p>
    <w:p w14:paraId="504F9AA3" w14:textId="77777777" w:rsidR="0048679D" w:rsidRPr="00A538DD" w:rsidRDefault="0048679D"/>
    <w:p w14:paraId="18EC3C0E" w14:textId="77777777" w:rsidR="0048679D" w:rsidRPr="00A538DD" w:rsidRDefault="0048679D">
      <w:pPr>
        <w:rPr>
          <w:b/>
        </w:rPr>
      </w:pPr>
      <w:r w:rsidRPr="00A538DD">
        <w:rPr>
          <w:b/>
        </w:rPr>
        <w:t xml:space="preserve">Not 31 Övriga intäkter </w:t>
      </w:r>
    </w:p>
    <w:p w14:paraId="39C89A96" w14:textId="77777777" w:rsidR="0048679D" w:rsidRPr="00A538DD" w:rsidRDefault="0048679D">
      <w:r w:rsidRPr="00A538DD">
        <w:t>Övriga intäkter avser dels avräkning om 4 miljoner kronor avseende försäl</w:t>
      </w:r>
      <w:r w:rsidRPr="00A538DD">
        <w:t>j</w:t>
      </w:r>
      <w:r w:rsidRPr="00A538DD">
        <w:t>ningen av Crane AB. Dessutom ingår återföring av reservering avseende denna avräkning med 7 miljoner kronor. Vidare ingår 5 miljoner kronor avs</w:t>
      </w:r>
      <w:r w:rsidRPr="00A538DD">
        <w:t>e</w:t>
      </w:r>
      <w:r w:rsidRPr="00A538DD">
        <w:t>ende sedel- och myntleveransavgifter samt 4 miljoner kronor avseende ersät</w:t>
      </w:r>
      <w:r w:rsidRPr="00A538DD">
        <w:t>t</w:t>
      </w:r>
      <w:r w:rsidRPr="00A538DD">
        <w:t>ning från Värdepa</w:t>
      </w:r>
      <w:r w:rsidRPr="00A538DD">
        <w:t>p</w:t>
      </w:r>
      <w:r w:rsidRPr="00A538DD">
        <w:t>perscentralen, VPC, för nedlagt arbete i Newclear-projektet.</w:t>
      </w:r>
    </w:p>
    <w:p w14:paraId="5FDF3A7E" w14:textId="77777777" w:rsidR="0048679D" w:rsidRPr="00A538DD" w:rsidRDefault="0048679D">
      <w:r w:rsidRPr="00A538DD">
        <w:t xml:space="preserve"> </w:t>
      </w:r>
    </w:p>
    <w:p w14:paraId="11D3D0FD" w14:textId="77777777" w:rsidR="0048679D" w:rsidRPr="00A538DD" w:rsidRDefault="0048679D">
      <w:pPr>
        <w:rPr>
          <w:b/>
        </w:rPr>
      </w:pPr>
      <w:r w:rsidRPr="00A538DD">
        <w:rPr>
          <w:b/>
        </w:rPr>
        <w:t>Not 32 Personalkostnader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4A5F327A" w14:textId="77777777">
        <w:tblPrEx>
          <w:tblCellMar>
            <w:top w:w="0" w:type="dxa"/>
            <w:bottom w:w="0" w:type="dxa"/>
          </w:tblCellMar>
        </w:tblPrEx>
        <w:trPr>
          <w:cantSplit/>
          <w:trHeight w:val="369"/>
        </w:trPr>
        <w:tc>
          <w:tcPr>
            <w:tcW w:w="2835" w:type="dxa"/>
            <w:tcBorders>
              <w:top w:val="single" w:sz="4" w:space="0" w:color="auto"/>
            </w:tcBorders>
          </w:tcPr>
          <w:p w14:paraId="06052BE4" w14:textId="77777777" w:rsidR="0048679D" w:rsidRPr="00A538DD" w:rsidRDefault="0048679D"/>
        </w:tc>
        <w:tc>
          <w:tcPr>
            <w:tcW w:w="1531" w:type="dxa"/>
            <w:tcBorders>
              <w:top w:val="single" w:sz="4" w:space="0" w:color="auto"/>
            </w:tcBorders>
            <w:vAlign w:val="center"/>
          </w:tcPr>
          <w:p w14:paraId="0F71833A" w14:textId="77777777" w:rsidR="0048679D" w:rsidRPr="00A538DD" w:rsidRDefault="0048679D">
            <w:pPr>
              <w:jc w:val="right"/>
            </w:pPr>
            <w:r w:rsidRPr="00A538DD">
              <w:t>2004</w:t>
            </w:r>
          </w:p>
        </w:tc>
        <w:tc>
          <w:tcPr>
            <w:tcW w:w="1531" w:type="dxa"/>
            <w:tcBorders>
              <w:top w:val="single" w:sz="4" w:space="0" w:color="auto"/>
            </w:tcBorders>
            <w:vAlign w:val="center"/>
          </w:tcPr>
          <w:p w14:paraId="10C400CB" w14:textId="77777777" w:rsidR="0048679D" w:rsidRPr="00A538DD" w:rsidRDefault="0048679D">
            <w:pPr>
              <w:jc w:val="right"/>
            </w:pPr>
            <w:r w:rsidRPr="00A538DD">
              <w:t>2003</w:t>
            </w:r>
          </w:p>
        </w:tc>
      </w:tr>
      <w:tr w:rsidR="00000000" w:rsidRPr="00A538DD" w14:paraId="20A4F111" w14:textId="77777777">
        <w:tblPrEx>
          <w:tblCellMar>
            <w:top w:w="0" w:type="dxa"/>
            <w:bottom w:w="0" w:type="dxa"/>
          </w:tblCellMar>
        </w:tblPrEx>
        <w:trPr>
          <w:cantSplit/>
        </w:trPr>
        <w:tc>
          <w:tcPr>
            <w:tcW w:w="2835" w:type="dxa"/>
            <w:tcBorders>
              <w:top w:val="single" w:sz="4" w:space="0" w:color="auto"/>
            </w:tcBorders>
          </w:tcPr>
          <w:p w14:paraId="41205E24" w14:textId="77777777" w:rsidR="0048679D" w:rsidRPr="00A538DD" w:rsidRDefault="0048679D">
            <w:pPr>
              <w:spacing w:before="0"/>
            </w:pPr>
            <w:r w:rsidRPr="00A538DD">
              <w:t>Löner och andra ersättnin</w:t>
            </w:r>
            <w:r w:rsidRPr="00A538DD">
              <w:t>g</w:t>
            </w:r>
            <w:r w:rsidRPr="00A538DD">
              <w:t>ar</w:t>
            </w:r>
          </w:p>
        </w:tc>
        <w:tc>
          <w:tcPr>
            <w:tcW w:w="1531" w:type="dxa"/>
            <w:tcBorders>
              <w:top w:val="single" w:sz="4" w:space="0" w:color="auto"/>
            </w:tcBorders>
          </w:tcPr>
          <w:p w14:paraId="11C87388" w14:textId="77777777" w:rsidR="0048679D" w:rsidRPr="00A538DD" w:rsidRDefault="0048679D">
            <w:pPr>
              <w:spacing w:before="0"/>
              <w:jc w:val="right"/>
            </w:pPr>
            <w:r w:rsidRPr="00A538DD">
              <w:t>–183</w:t>
            </w:r>
          </w:p>
        </w:tc>
        <w:tc>
          <w:tcPr>
            <w:tcW w:w="1531" w:type="dxa"/>
            <w:tcBorders>
              <w:top w:val="single" w:sz="4" w:space="0" w:color="auto"/>
            </w:tcBorders>
          </w:tcPr>
          <w:p w14:paraId="5204E3D3" w14:textId="77777777" w:rsidR="0048679D" w:rsidRPr="00A538DD" w:rsidRDefault="0048679D">
            <w:pPr>
              <w:spacing w:before="0"/>
              <w:jc w:val="right"/>
            </w:pPr>
            <w:r w:rsidRPr="00A538DD">
              <w:t>–173</w:t>
            </w:r>
          </w:p>
        </w:tc>
      </w:tr>
      <w:tr w:rsidR="00000000" w:rsidRPr="00A538DD" w14:paraId="2D4EF122" w14:textId="77777777">
        <w:tblPrEx>
          <w:tblCellMar>
            <w:top w:w="0" w:type="dxa"/>
            <w:bottom w:w="0" w:type="dxa"/>
          </w:tblCellMar>
        </w:tblPrEx>
        <w:trPr>
          <w:cantSplit/>
        </w:trPr>
        <w:tc>
          <w:tcPr>
            <w:tcW w:w="2835" w:type="dxa"/>
          </w:tcPr>
          <w:p w14:paraId="72C0E3BA" w14:textId="77777777" w:rsidR="0048679D" w:rsidRPr="00A538DD" w:rsidRDefault="0048679D">
            <w:pPr>
              <w:spacing w:before="0"/>
            </w:pPr>
            <w:r w:rsidRPr="00A538DD">
              <w:t>Pensionskostnader</w:t>
            </w:r>
          </w:p>
        </w:tc>
        <w:tc>
          <w:tcPr>
            <w:tcW w:w="1531" w:type="dxa"/>
          </w:tcPr>
          <w:p w14:paraId="6CED4C81" w14:textId="77777777" w:rsidR="0048679D" w:rsidRPr="00A538DD" w:rsidRDefault="0048679D">
            <w:pPr>
              <w:spacing w:before="0"/>
              <w:jc w:val="right"/>
            </w:pPr>
            <w:r w:rsidRPr="00A538DD">
              <w:t>–48</w:t>
            </w:r>
          </w:p>
        </w:tc>
        <w:tc>
          <w:tcPr>
            <w:tcW w:w="1531" w:type="dxa"/>
          </w:tcPr>
          <w:p w14:paraId="669CED78" w14:textId="77777777" w:rsidR="0048679D" w:rsidRPr="00A538DD" w:rsidRDefault="0048679D">
            <w:pPr>
              <w:spacing w:before="0"/>
              <w:jc w:val="right"/>
            </w:pPr>
            <w:r w:rsidRPr="00A538DD">
              <w:t>–74</w:t>
            </w:r>
          </w:p>
        </w:tc>
      </w:tr>
      <w:tr w:rsidR="00000000" w:rsidRPr="00A538DD" w14:paraId="3BB1E99A" w14:textId="77777777">
        <w:tblPrEx>
          <w:tblCellMar>
            <w:top w:w="0" w:type="dxa"/>
            <w:bottom w:w="0" w:type="dxa"/>
          </w:tblCellMar>
        </w:tblPrEx>
        <w:trPr>
          <w:cantSplit/>
        </w:trPr>
        <w:tc>
          <w:tcPr>
            <w:tcW w:w="2835" w:type="dxa"/>
          </w:tcPr>
          <w:p w14:paraId="48856557" w14:textId="77777777" w:rsidR="0048679D" w:rsidRPr="00A538DD" w:rsidRDefault="0048679D">
            <w:pPr>
              <w:spacing w:before="0"/>
            </w:pPr>
            <w:r w:rsidRPr="00A538DD">
              <w:t>Sociala avgifter</w:t>
            </w:r>
          </w:p>
        </w:tc>
        <w:tc>
          <w:tcPr>
            <w:tcW w:w="1531" w:type="dxa"/>
          </w:tcPr>
          <w:p w14:paraId="408D9917" w14:textId="77777777" w:rsidR="0048679D" w:rsidRPr="00A538DD" w:rsidRDefault="0048679D">
            <w:pPr>
              <w:spacing w:before="0"/>
              <w:jc w:val="right"/>
            </w:pPr>
            <w:r w:rsidRPr="00A538DD">
              <w:t>–68</w:t>
            </w:r>
          </w:p>
        </w:tc>
        <w:tc>
          <w:tcPr>
            <w:tcW w:w="1531" w:type="dxa"/>
          </w:tcPr>
          <w:p w14:paraId="1336E312" w14:textId="77777777" w:rsidR="0048679D" w:rsidRPr="00A538DD" w:rsidRDefault="0048679D">
            <w:pPr>
              <w:spacing w:before="0"/>
              <w:jc w:val="right"/>
            </w:pPr>
            <w:r w:rsidRPr="00A538DD">
              <w:t>–64</w:t>
            </w:r>
          </w:p>
        </w:tc>
      </w:tr>
      <w:tr w:rsidR="00000000" w:rsidRPr="00A538DD" w14:paraId="4883B0F4" w14:textId="77777777">
        <w:tblPrEx>
          <w:tblCellMar>
            <w:top w:w="0" w:type="dxa"/>
            <w:bottom w:w="0" w:type="dxa"/>
          </w:tblCellMar>
        </w:tblPrEx>
        <w:trPr>
          <w:cantSplit/>
        </w:trPr>
        <w:tc>
          <w:tcPr>
            <w:tcW w:w="2835" w:type="dxa"/>
            <w:tcBorders>
              <w:bottom w:val="single" w:sz="4" w:space="0" w:color="auto"/>
            </w:tcBorders>
          </w:tcPr>
          <w:p w14:paraId="335B9E66" w14:textId="77777777" w:rsidR="0048679D" w:rsidRPr="00A538DD" w:rsidRDefault="0048679D">
            <w:pPr>
              <w:spacing w:before="0"/>
            </w:pPr>
            <w:r w:rsidRPr="00A538DD">
              <w:t>Övrigt</w:t>
            </w:r>
          </w:p>
        </w:tc>
        <w:tc>
          <w:tcPr>
            <w:tcW w:w="1531" w:type="dxa"/>
          </w:tcPr>
          <w:p w14:paraId="5CD886A5" w14:textId="77777777" w:rsidR="0048679D" w:rsidRPr="00A538DD" w:rsidRDefault="0048679D">
            <w:pPr>
              <w:spacing w:before="0"/>
              <w:jc w:val="right"/>
            </w:pPr>
            <w:r w:rsidRPr="00A538DD">
              <w:t>–10</w:t>
            </w:r>
          </w:p>
        </w:tc>
        <w:tc>
          <w:tcPr>
            <w:tcW w:w="1531" w:type="dxa"/>
          </w:tcPr>
          <w:p w14:paraId="79B24EBD" w14:textId="77777777" w:rsidR="0048679D" w:rsidRPr="00A538DD" w:rsidRDefault="0048679D">
            <w:pPr>
              <w:spacing w:before="0"/>
              <w:jc w:val="right"/>
            </w:pPr>
            <w:r w:rsidRPr="00A538DD">
              <w:t>–12</w:t>
            </w:r>
          </w:p>
        </w:tc>
      </w:tr>
      <w:tr w:rsidR="00000000" w:rsidRPr="00A538DD" w14:paraId="5E0F01EB"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7F286A10"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4C79D775" w14:textId="77777777" w:rsidR="0048679D" w:rsidRPr="00A538DD" w:rsidRDefault="0048679D">
            <w:pPr>
              <w:spacing w:before="0"/>
              <w:jc w:val="right"/>
            </w:pPr>
            <w:r w:rsidRPr="00A538DD">
              <w:t>–309</w:t>
            </w:r>
          </w:p>
        </w:tc>
        <w:tc>
          <w:tcPr>
            <w:tcW w:w="1531" w:type="dxa"/>
            <w:tcBorders>
              <w:top w:val="single" w:sz="4" w:space="0" w:color="auto"/>
              <w:bottom w:val="single" w:sz="4" w:space="0" w:color="auto"/>
            </w:tcBorders>
            <w:vAlign w:val="center"/>
          </w:tcPr>
          <w:p w14:paraId="794B6FDA" w14:textId="77777777" w:rsidR="0048679D" w:rsidRPr="00A538DD" w:rsidRDefault="0048679D">
            <w:pPr>
              <w:spacing w:before="0"/>
              <w:jc w:val="right"/>
            </w:pPr>
            <w:r w:rsidRPr="00A538DD">
              <w:t>–323</w:t>
            </w:r>
          </w:p>
        </w:tc>
      </w:tr>
    </w:tbl>
    <w:p w14:paraId="00C97ACD" w14:textId="77777777" w:rsidR="0048679D" w:rsidRPr="00A538DD" w:rsidRDefault="0048679D"/>
    <w:p w14:paraId="4C78C990" w14:textId="77777777" w:rsidR="0048679D" w:rsidRPr="00A538DD" w:rsidRDefault="0048679D">
      <w:r w:rsidRPr="00A538DD">
        <w:br w:type="page"/>
        <w:t>Löner och andra ersättningar till ledamöterna i direktionen uppgick under 2004 till 10,1 miljoner kronor fördelat enligt följande.</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0EABD68E" w14:textId="77777777">
        <w:tblPrEx>
          <w:tblCellMar>
            <w:top w:w="0" w:type="dxa"/>
            <w:bottom w:w="0" w:type="dxa"/>
          </w:tblCellMar>
        </w:tblPrEx>
        <w:trPr>
          <w:cantSplit/>
          <w:trHeight w:val="369"/>
        </w:trPr>
        <w:tc>
          <w:tcPr>
            <w:tcW w:w="2835" w:type="dxa"/>
            <w:tcBorders>
              <w:top w:val="single" w:sz="4" w:space="0" w:color="auto"/>
            </w:tcBorders>
          </w:tcPr>
          <w:p w14:paraId="50D970E7" w14:textId="77777777" w:rsidR="0048679D" w:rsidRPr="00A538DD" w:rsidRDefault="0048679D">
            <w:pPr>
              <w:spacing w:before="0"/>
            </w:pPr>
          </w:p>
        </w:tc>
        <w:tc>
          <w:tcPr>
            <w:tcW w:w="1531" w:type="dxa"/>
            <w:tcBorders>
              <w:top w:val="single" w:sz="4" w:space="0" w:color="auto"/>
            </w:tcBorders>
            <w:vAlign w:val="center"/>
          </w:tcPr>
          <w:p w14:paraId="40CD402F" w14:textId="77777777" w:rsidR="0048679D" w:rsidRPr="00A538DD" w:rsidRDefault="0048679D">
            <w:pPr>
              <w:spacing w:before="0"/>
              <w:jc w:val="right"/>
            </w:pPr>
            <w:r w:rsidRPr="00A538DD">
              <w:t>2004</w:t>
            </w:r>
          </w:p>
        </w:tc>
        <w:tc>
          <w:tcPr>
            <w:tcW w:w="1531" w:type="dxa"/>
            <w:tcBorders>
              <w:top w:val="single" w:sz="4" w:space="0" w:color="auto"/>
            </w:tcBorders>
            <w:vAlign w:val="center"/>
          </w:tcPr>
          <w:p w14:paraId="1D2424FE" w14:textId="77777777" w:rsidR="0048679D" w:rsidRPr="00A538DD" w:rsidRDefault="0048679D">
            <w:pPr>
              <w:spacing w:before="0"/>
              <w:jc w:val="right"/>
            </w:pPr>
            <w:r w:rsidRPr="00A538DD">
              <w:t>2003</w:t>
            </w:r>
          </w:p>
        </w:tc>
      </w:tr>
      <w:tr w:rsidR="00000000" w:rsidRPr="00A538DD" w14:paraId="2C631C6B" w14:textId="77777777">
        <w:tblPrEx>
          <w:tblCellMar>
            <w:top w:w="0" w:type="dxa"/>
            <w:bottom w:w="0" w:type="dxa"/>
          </w:tblCellMar>
        </w:tblPrEx>
        <w:trPr>
          <w:cantSplit/>
        </w:trPr>
        <w:tc>
          <w:tcPr>
            <w:tcW w:w="2835" w:type="dxa"/>
            <w:tcBorders>
              <w:top w:val="single" w:sz="4" w:space="0" w:color="auto"/>
            </w:tcBorders>
          </w:tcPr>
          <w:p w14:paraId="7152B47D" w14:textId="77777777" w:rsidR="0048679D" w:rsidRPr="00A538DD" w:rsidRDefault="0048679D">
            <w:pPr>
              <w:spacing w:before="0"/>
            </w:pPr>
            <w:r w:rsidRPr="00A538DD">
              <w:t>Lars Heikensten</w:t>
            </w:r>
          </w:p>
        </w:tc>
        <w:tc>
          <w:tcPr>
            <w:tcW w:w="1531" w:type="dxa"/>
            <w:tcBorders>
              <w:top w:val="single" w:sz="4" w:space="0" w:color="auto"/>
            </w:tcBorders>
          </w:tcPr>
          <w:p w14:paraId="0CE31460" w14:textId="77777777" w:rsidR="0048679D" w:rsidRPr="00A538DD" w:rsidRDefault="0048679D">
            <w:pPr>
              <w:spacing w:before="0"/>
              <w:jc w:val="right"/>
            </w:pPr>
            <w:r w:rsidRPr="00A538DD">
              <w:t>1,5</w:t>
            </w:r>
          </w:p>
        </w:tc>
        <w:tc>
          <w:tcPr>
            <w:tcW w:w="1531" w:type="dxa"/>
            <w:tcBorders>
              <w:top w:val="single" w:sz="4" w:space="0" w:color="auto"/>
            </w:tcBorders>
          </w:tcPr>
          <w:p w14:paraId="7E916F2D" w14:textId="77777777" w:rsidR="0048679D" w:rsidRPr="00A538DD" w:rsidRDefault="0048679D">
            <w:pPr>
              <w:spacing w:before="0"/>
              <w:jc w:val="right"/>
            </w:pPr>
            <w:r w:rsidRPr="00A538DD">
              <w:t>1,4</w:t>
            </w:r>
          </w:p>
        </w:tc>
      </w:tr>
      <w:tr w:rsidR="00000000" w:rsidRPr="00A538DD" w14:paraId="2A851A0F" w14:textId="77777777">
        <w:tblPrEx>
          <w:tblCellMar>
            <w:top w:w="0" w:type="dxa"/>
            <w:bottom w:w="0" w:type="dxa"/>
          </w:tblCellMar>
        </w:tblPrEx>
        <w:trPr>
          <w:cantSplit/>
        </w:trPr>
        <w:tc>
          <w:tcPr>
            <w:tcW w:w="2835" w:type="dxa"/>
          </w:tcPr>
          <w:p w14:paraId="7145ED24" w14:textId="77777777" w:rsidR="0048679D" w:rsidRPr="00A538DD" w:rsidRDefault="0048679D">
            <w:pPr>
              <w:spacing w:before="0"/>
            </w:pPr>
            <w:r w:rsidRPr="00A538DD">
              <w:t>Eva Srejber</w:t>
            </w:r>
          </w:p>
        </w:tc>
        <w:tc>
          <w:tcPr>
            <w:tcW w:w="1531" w:type="dxa"/>
          </w:tcPr>
          <w:p w14:paraId="22A767BB" w14:textId="77777777" w:rsidR="0048679D" w:rsidRPr="00A538DD" w:rsidRDefault="0048679D">
            <w:pPr>
              <w:spacing w:before="0"/>
              <w:jc w:val="right"/>
            </w:pPr>
            <w:r w:rsidRPr="00A538DD">
              <w:t>1,8</w:t>
            </w:r>
          </w:p>
        </w:tc>
        <w:tc>
          <w:tcPr>
            <w:tcW w:w="1531" w:type="dxa"/>
          </w:tcPr>
          <w:p w14:paraId="0B4328E9" w14:textId="77777777" w:rsidR="0048679D" w:rsidRPr="00A538DD" w:rsidRDefault="0048679D">
            <w:pPr>
              <w:spacing w:before="0"/>
              <w:jc w:val="right"/>
            </w:pPr>
            <w:r w:rsidRPr="00A538DD">
              <w:t>1,8</w:t>
            </w:r>
          </w:p>
        </w:tc>
      </w:tr>
      <w:tr w:rsidR="00000000" w:rsidRPr="00A538DD" w14:paraId="79977498" w14:textId="77777777">
        <w:tblPrEx>
          <w:tblCellMar>
            <w:top w:w="0" w:type="dxa"/>
            <w:bottom w:w="0" w:type="dxa"/>
          </w:tblCellMar>
        </w:tblPrEx>
        <w:trPr>
          <w:cantSplit/>
        </w:trPr>
        <w:tc>
          <w:tcPr>
            <w:tcW w:w="2835" w:type="dxa"/>
          </w:tcPr>
          <w:p w14:paraId="4F4579C1" w14:textId="77777777" w:rsidR="0048679D" w:rsidRPr="00A538DD" w:rsidRDefault="0048679D">
            <w:pPr>
              <w:spacing w:before="0"/>
            </w:pPr>
            <w:r w:rsidRPr="00A538DD">
              <w:t>Villy Bergström</w:t>
            </w:r>
          </w:p>
        </w:tc>
        <w:tc>
          <w:tcPr>
            <w:tcW w:w="1531" w:type="dxa"/>
          </w:tcPr>
          <w:p w14:paraId="375CC5D1" w14:textId="77777777" w:rsidR="0048679D" w:rsidRPr="00A538DD" w:rsidRDefault="0048679D">
            <w:pPr>
              <w:spacing w:before="0"/>
              <w:jc w:val="right"/>
            </w:pPr>
            <w:r w:rsidRPr="00A538DD">
              <w:t>1,8</w:t>
            </w:r>
          </w:p>
        </w:tc>
        <w:tc>
          <w:tcPr>
            <w:tcW w:w="1531" w:type="dxa"/>
          </w:tcPr>
          <w:p w14:paraId="7D1DC18F" w14:textId="77777777" w:rsidR="0048679D" w:rsidRPr="00A538DD" w:rsidRDefault="0048679D">
            <w:pPr>
              <w:spacing w:before="0"/>
              <w:jc w:val="right"/>
            </w:pPr>
            <w:r w:rsidRPr="00A538DD">
              <w:t>1,7</w:t>
            </w:r>
          </w:p>
        </w:tc>
      </w:tr>
      <w:tr w:rsidR="00000000" w:rsidRPr="00A538DD" w14:paraId="282B6AC5" w14:textId="77777777">
        <w:tblPrEx>
          <w:tblCellMar>
            <w:top w:w="0" w:type="dxa"/>
            <w:bottom w:w="0" w:type="dxa"/>
          </w:tblCellMar>
        </w:tblPrEx>
        <w:trPr>
          <w:cantSplit/>
        </w:trPr>
        <w:tc>
          <w:tcPr>
            <w:tcW w:w="2835" w:type="dxa"/>
          </w:tcPr>
          <w:p w14:paraId="4260EFEB" w14:textId="77777777" w:rsidR="0048679D" w:rsidRPr="00A538DD" w:rsidRDefault="0048679D">
            <w:pPr>
              <w:spacing w:before="0"/>
            </w:pPr>
            <w:r w:rsidRPr="00A538DD">
              <w:t>Lars Nyberg</w:t>
            </w:r>
          </w:p>
        </w:tc>
        <w:tc>
          <w:tcPr>
            <w:tcW w:w="1531" w:type="dxa"/>
          </w:tcPr>
          <w:p w14:paraId="1BE0D839" w14:textId="77777777" w:rsidR="0048679D" w:rsidRPr="00A538DD" w:rsidRDefault="0048679D">
            <w:pPr>
              <w:spacing w:before="0"/>
              <w:jc w:val="right"/>
            </w:pPr>
            <w:r w:rsidRPr="00A538DD">
              <w:t>1,7</w:t>
            </w:r>
          </w:p>
        </w:tc>
        <w:tc>
          <w:tcPr>
            <w:tcW w:w="1531" w:type="dxa"/>
          </w:tcPr>
          <w:p w14:paraId="1BD3D1FC" w14:textId="77777777" w:rsidR="0048679D" w:rsidRPr="00A538DD" w:rsidRDefault="0048679D">
            <w:pPr>
              <w:spacing w:before="0"/>
              <w:jc w:val="right"/>
            </w:pPr>
            <w:r w:rsidRPr="00A538DD">
              <w:t>1,7</w:t>
            </w:r>
          </w:p>
        </w:tc>
      </w:tr>
      <w:tr w:rsidR="00000000" w:rsidRPr="00A538DD" w14:paraId="494B18F5" w14:textId="77777777">
        <w:tblPrEx>
          <w:tblCellMar>
            <w:top w:w="0" w:type="dxa"/>
            <w:bottom w:w="0" w:type="dxa"/>
          </w:tblCellMar>
        </w:tblPrEx>
        <w:trPr>
          <w:cantSplit/>
        </w:trPr>
        <w:tc>
          <w:tcPr>
            <w:tcW w:w="2835" w:type="dxa"/>
          </w:tcPr>
          <w:p w14:paraId="24ABC037" w14:textId="77777777" w:rsidR="0048679D" w:rsidRPr="00A538DD" w:rsidRDefault="0048679D">
            <w:pPr>
              <w:spacing w:before="0"/>
            </w:pPr>
            <w:r w:rsidRPr="00A538DD">
              <w:t>Kristina Persson</w:t>
            </w:r>
          </w:p>
        </w:tc>
        <w:tc>
          <w:tcPr>
            <w:tcW w:w="1531" w:type="dxa"/>
          </w:tcPr>
          <w:p w14:paraId="6BF9BDBE" w14:textId="77777777" w:rsidR="0048679D" w:rsidRPr="00A538DD" w:rsidRDefault="0048679D">
            <w:pPr>
              <w:spacing w:before="0"/>
              <w:jc w:val="right"/>
            </w:pPr>
            <w:r w:rsidRPr="00A538DD">
              <w:t>1,6</w:t>
            </w:r>
          </w:p>
        </w:tc>
        <w:tc>
          <w:tcPr>
            <w:tcW w:w="1531" w:type="dxa"/>
          </w:tcPr>
          <w:p w14:paraId="66F111F7" w14:textId="77777777" w:rsidR="0048679D" w:rsidRPr="00A538DD" w:rsidRDefault="0048679D">
            <w:pPr>
              <w:spacing w:before="0"/>
              <w:jc w:val="right"/>
            </w:pPr>
            <w:r w:rsidRPr="00A538DD">
              <w:t>1,6</w:t>
            </w:r>
          </w:p>
        </w:tc>
      </w:tr>
      <w:tr w:rsidR="00000000" w:rsidRPr="00A538DD" w14:paraId="6BBA34BD" w14:textId="77777777">
        <w:tblPrEx>
          <w:tblCellMar>
            <w:top w:w="0" w:type="dxa"/>
            <w:bottom w:w="0" w:type="dxa"/>
          </w:tblCellMar>
        </w:tblPrEx>
        <w:trPr>
          <w:cantSplit/>
        </w:trPr>
        <w:tc>
          <w:tcPr>
            <w:tcW w:w="2835" w:type="dxa"/>
            <w:tcBorders>
              <w:bottom w:val="single" w:sz="4" w:space="0" w:color="auto"/>
            </w:tcBorders>
          </w:tcPr>
          <w:p w14:paraId="61093BE1" w14:textId="77777777" w:rsidR="0048679D" w:rsidRPr="00A538DD" w:rsidRDefault="0048679D">
            <w:pPr>
              <w:spacing w:before="0"/>
            </w:pPr>
            <w:r w:rsidRPr="00A538DD">
              <w:t>Irma Rosenberg</w:t>
            </w:r>
          </w:p>
        </w:tc>
        <w:tc>
          <w:tcPr>
            <w:tcW w:w="1531" w:type="dxa"/>
          </w:tcPr>
          <w:p w14:paraId="3A4B0E84" w14:textId="77777777" w:rsidR="0048679D" w:rsidRPr="00A538DD" w:rsidRDefault="0048679D">
            <w:pPr>
              <w:spacing w:before="0"/>
              <w:jc w:val="right"/>
            </w:pPr>
            <w:r w:rsidRPr="00A538DD">
              <w:t>1,7</w:t>
            </w:r>
          </w:p>
        </w:tc>
        <w:tc>
          <w:tcPr>
            <w:tcW w:w="1531" w:type="dxa"/>
          </w:tcPr>
          <w:p w14:paraId="6C78A761" w14:textId="77777777" w:rsidR="0048679D" w:rsidRPr="00A538DD" w:rsidRDefault="0048679D">
            <w:pPr>
              <w:spacing w:before="0"/>
              <w:jc w:val="right"/>
            </w:pPr>
            <w:r w:rsidRPr="00A538DD">
              <w:t>1,6</w:t>
            </w:r>
          </w:p>
        </w:tc>
      </w:tr>
      <w:tr w:rsidR="00000000" w:rsidRPr="00A538DD" w14:paraId="6928ADAB"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61862447"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722AAE1A" w14:textId="77777777" w:rsidR="0048679D" w:rsidRPr="00A538DD" w:rsidRDefault="0048679D">
            <w:pPr>
              <w:spacing w:before="0"/>
              <w:jc w:val="right"/>
            </w:pPr>
            <w:r w:rsidRPr="00A538DD">
              <w:t>10,1</w:t>
            </w:r>
          </w:p>
        </w:tc>
        <w:tc>
          <w:tcPr>
            <w:tcW w:w="1531" w:type="dxa"/>
            <w:tcBorders>
              <w:top w:val="single" w:sz="4" w:space="0" w:color="auto"/>
              <w:bottom w:val="single" w:sz="4" w:space="0" w:color="auto"/>
            </w:tcBorders>
            <w:vAlign w:val="center"/>
          </w:tcPr>
          <w:p w14:paraId="6A661461" w14:textId="77777777" w:rsidR="0048679D" w:rsidRPr="00A538DD" w:rsidRDefault="0048679D">
            <w:pPr>
              <w:spacing w:before="0"/>
              <w:jc w:val="right"/>
            </w:pPr>
            <w:r w:rsidRPr="00A538DD">
              <w:t>9,8</w:t>
            </w:r>
          </w:p>
        </w:tc>
      </w:tr>
    </w:tbl>
    <w:p w14:paraId="589B708E" w14:textId="77777777" w:rsidR="0048679D" w:rsidRPr="00A538DD" w:rsidRDefault="0048679D"/>
    <w:p w14:paraId="5E39E5F4" w14:textId="77777777" w:rsidR="0048679D" w:rsidRPr="00A538DD" w:rsidRDefault="0048679D">
      <w:r w:rsidRPr="00A538DD">
        <w:t xml:space="preserve">Därutöver har Lars Heikensten under 2004 liksom 2003 erhållit ersättning om 0,6 miljoner kronor från Bank for International Settlements. </w:t>
      </w:r>
    </w:p>
    <w:p w14:paraId="6E37B0D5" w14:textId="77777777" w:rsidR="0048679D" w:rsidRPr="00A538DD" w:rsidRDefault="0048679D"/>
    <w:p w14:paraId="6987CA7F" w14:textId="77777777" w:rsidR="0048679D" w:rsidRPr="00A538DD" w:rsidRDefault="0048679D">
      <w:r w:rsidRPr="00A538DD">
        <w:t>Fullmäktige har beslutat att under den lagstiftade karensperioden, på högst ett år efter anställningens upphörande, ska direktionsledamöterna erhålla full lön för anställning utan tjänstgöringsskyldighet, dock med avräkning för event</w:t>
      </w:r>
      <w:r w:rsidRPr="00A538DD">
        <w:t>u</w:t>
      </w:r>
      <w:r w:rsidRPr="00A538DD">
        <w:t xml:space="preserve">ell inkomst av annan tjänst under tiden. </w:t>
      </w:r>
    </w:p>
    <w:p w14:paraId="1970525D" w14:textId="77777777" w:rsidR="0048679D" w:rsidRPr="00A538DD" w:rsidRDefault="0048679D"/>
    <w:p w14:paraId="051486AA" w14:textId="77777777" w:rsidR="0048679D" w:rsidRPr="00A538DD" w:rsidRDefault="0048679D">
      <w:r w:rsidRPr="00A538DD">
        <w:t>Enligt ett beslut om riktlinjer för pensionsvillkoren för Riksbankens dire</w:t>
      </w:r>
      <w:r w:rsidRPr="00A538DD">
        <w:t>k</w:t>
      </w:r>
      <w:r w:rsidRPr="00A538DD">
        <w:t>tionsledamöter av fullmäktige från den 21 maj 1999 ska föreskriften (RFS 1996:4) utfärdad av Riksdagens förvaltningsstyrelse om tillämpningen av förordningen (1995:1038) om statliga chefspensioner m.m. tillämpas för Riksbankens direktionsledamöter. Enligt denna föreskrift ska äldre bestä</w:t>
      </w:r>
      <w:r w:rsidRPr="00A538DD">
        <w:t>m</w:t>
      </w:r>
      <w:r w:rsidRPr="00A538DD">
        <w:t xml:space="preserve">melser dock tillämpas för den som den 31 december 1996 omfattades av de upphävda föreskrifterna om förordnandepension m.m. Detta innebär att för Eva Srejber och Lars Heikensten tillämpas den äldre förordningen (1991:1160) </w:t>
      </w:r>
      <w:r w:rsidRPr="00A538DD">
        <w:t xml:space="preserve">om förordnandepension m.m. medan för de fyra övriga tillämpas förordningen (1995:1038) om statliga chefspensioner m.m. Lars Heikensten får vidare enligt rådande ordning en viss pension från BIS. Denna utgår till styrelseledamöter som innehaft sitt uppdrag i BIS i minst fyra år, men först när de uppnått en ålder av 65 år. Pensionen beräknas på basis av utbetalda styrelsearvoden och uppgår till 1,82 </w:t>
      </w:r>
      <w:r w:rsidRPr="00A538DD">
        <w:rPr>
          <w:sz w:val="16"/>
        </w:rPr>
        <w:t>%</w:t>
      </w:r>
      <w:r w:rsidRPr="00A538DD">
        <w:t xml:space="preserve"> av dessa.</w:t>
      </w:r>
    </w:p>
    <w:p w14:paraId="7F7EE92B" w14:textId="77777777" w:rsidR="0048679D" w:rsidRPr="00A538DD" w:rsidRDefault="0048679D"/>
    <w:p w14:paraId="42C4066A" w14:textId="77777777" w:rsidR="0048679D" w:rsidRPr="00A538DD" w:rsidRDefault="0048679D">
      <w:r w:rsidRPr="00A538DD">
        <w:t>Under 2004 har personalutgifter hänförliga till egenutvecklade IT-investeringar inräknats i anskaffningsvärdet för tillgången med 3 miljoner kronor (15).</w:t>
      </w:r>
    </w:p>
    <w:p w14:paraId="7536EAA5" w14:textId="77777777" w:rsidR="0048679D" w:rsidRPr="00A538DD" w:rsidRDefault="0048679D"/>
    <w:p w14:paraId="56D4A97C" w14:textId="77777777" w:rsidR="0048679D" w:rsidRPr="00A538DD" w:rsidRDefault="0048679D">
      <w:r w:rsidRPr="00A538DD">
        <w:t xml:space="preserve">Medelantal årsarbetskrafter uppgick 2004 till 420 (439) varav 189 (199) kvinnor och 231 (240) män. Antalet årsarbetskrafter vid årets slut uppgick till 434 (426). </w:t>
      </w:r>
    </w:p>
    <w:p w14:paraId="3776E977" w14:textId="77777777" w:rsidR="0048679D" w:rsidRPr="00A538DD" w:rsidRDefault="0048679D">
      <w:r w:rsidRPr="00A538DD">
        <w:t xml:space="preserve">Den totala sjukfrånvaron uppgick 2004 till 4,4 </w:t>
      </w:r>
      <w:r w:rsidRPr="00A538DD">
        <w:rPr>
          <w:sz w:val="16"/>
        </w:rPr>
        <w:t>%</w:t>
      </w:r>
      <w:r w:rsidRPr="00A538DD">
        <w:t xml:space="preserve"> (4,3) av de anställdas sa</w:t>
      </w:r>
      <w:r w:rsidRPr="00A538DD">
        <w:t>m</w:t>
      </w:r>
      <w:r w:rsidRPr="00A538DD">
        <w:t xml:space="preserve">manlagda arbetstid. Sjukfrånvaron under en sammanhängande tid av 60 dagar eller mer uppgick 2004 till 63,5 </w:t>
      </w:r>
      <w:r w:rsidRPr="00A538DD">
        <w:rPr>
          <w:sz w:val="16"/>
        </w:rPr>
        <w:t>%</w:t>
      </w:r>
      <w:r w:rsidRPr="00A538DD">
        <w:t xml:space="preserve"> (66,8) av den totala sjukfrånv</w:t>
      </w:r>
      <w:r w:rsidRPr="00A538DD">
        <w:t>a</w:t>
      </w:r>
      <w:r w:rsidRPr="00A538DD">
        <w:t xml:space="preserve">ron. </w:t>
      </w:r>
    </w:p>
    <w:p w14:paraId="67E757E4" w14:textId="77777777" w:rsidR="0048679D" w:rsidRPr="00A538DD" w:rsidRDefault="0048679D">
      <w:r w:rsidRPr="00A538DD">
        <w:t xml:space="preserve">Kvinnors sjukfrånvaro i relation till den sammanlagda ordinarie arbetstiden för kvinnor uppgick 2004 till 6,0 </w:t>
      </w:r>
      <w:r w:rsidRPr="00A538DD">
        <w:rPr>
          <w:sz w:val="16"/>
        </w:rPr>
        <w:t>%</w:t>
      </w:r>
      <w:r w:rsidRPr="00A538DD">
        <w:t xml:space="preserve"> (6,3) och mäns sjukfrånvaro i relation till den sammanlagda ordinarie arbetstiden för män uppgick 2004 till 3,0 </w:t>
      </w:r>
      <w:r w:rsidRPr="00A538DD">
        <w:rPr>
          <w:sz w:val="16"/>
        </w:rPr>
        <w:t>%</w:t>
      </w:r>
      <w:r w:rsidRPr="00A538DD">
        <w:t xml:space="preserve"> (2,6).</w:t>
      </w:r>
    </w:p>
    <w:p w14:paraId="3123A19E" w14:textId="77777777" w:rsidR="0048679D" w:rsidRPr="00A538DD" w:rsidRDefault="0048679D"/>
    <w:p w14:paraId="3EFBF16E" w14:textId="77777777" w:rsidR="0048679D" w:rsidRPr="00A538DD" w:rsidRDefault="0048679D">
      <w:r w:rsidRPr="00A538DD">
        <w:t>I tabellen nedan framgår sjukfrånvaron för respektive åldersgrupp i relation till den sammanlagda ordinarie arbetstiden för åldersgruppen:</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503525E1" w14:textId="77777777">
        <w:tblPrEx>
          <w:tblCellMar>
            <w:top w:w="0" w:type="dxa"/>
            <w:bottom w:w="0" w:type="dxa"/>
          </w:tblCellMar>
        </w:tblPrEx>
        <w:trPr>
          <w:cantSplit/>
          <w:trHeight w:val="369"/>
        </w:trPr>
        <w:tc>
          <w:tcPr>
            <w:tcW w:w="2835" w:type="dxa"/>
            <w:tcBorders>
              <w:top w:val="single" w:sz="4" w:space="0" w:color="auto"/>
            </w:tcBorders>
          </w:tcPr>
          <w:p w14:paraId="6269EA4A" w14:textId="77777777" w:rsidR="0048679D" w:rsidRPr="00A538DD" w:rsidRDefault="0048679D">
            <w:pPr>
              <w:spacing w:before="0"/>
            </w:pPr>
          </w:p>
        </w:tc>
        <w:tc>
          <w:tcPr>
            <w:tcW w:w="1531" w:type="dxa"/>
            <w:tcBorders>
              <w:top w:val="single" w:sz="4" w:space="0" w:color="auto"/>
            </w:tcBorders>
            <w:vAlign w:val="center"/>
          </w:tcPr>
          <w:p w14:paraId="144E1737" w14:textId="77777777" w:rsidR="0048679D" w:rsidRPr="00A538DD" w:rsidRDefault="0048679D">
            <w:pPr>
              <w:spacing w:before="0"/>
              <w:jc w:val="right"/>
            </w:pPr>
            <w:r w:rsidRPr="00A538DD">
              <w:t>2004</w:t>
            </w:r>
          </w:p>
        </w:tc>
        <w:tc>
          <w:tcPr>
            <w:tcW w:w="1531" w:type="dxa"/>
            <w:tcBorders>
              <w:top w:val="single" w:sz="4" w:space="0" w:color="auto"/>
            </w:tcBorders>
            <w:vAlign w:val="center"/>
          </w:tcPr>
          <w:p w14:paraId="12DD55E6" w14:textId="77777777" w:rsidR="0048679D" w:rsidRPr="00A538DD" w:rsidRDefault="0048679D">
            <w:pPr>
              <w:spacing w:before="0"/>
              <w:jc w:val="right"/>
            </w:pPr>
            <w:r w:rsidRPr="00A538DD">
              <w:t>2003</w:t>
            </w:r>
          </w:p>
        </w:tc>
      </w:tr>
      <w:tr w:rsidR="00000000" w:rsidRPr="00A538DD" w14:paraId="273C9789" w14:textId="77777777">
        <w:tblPrEx>
          <w:tblCellMar>
            <w:top w:w="0" w:type="dxa"/>
            <w:bottom w:w="0" w:type="dxa"/>
          </w:tblCellMar>
        </w:tblPrEx>
        <w:trPr>
          <w:cantSplit/>
        </w:trPr>
        <w:tc>
          <w:tcPr>
            <w:tcW w:w="2835" w:type="dxa"/>
            <w:tcBorders>
              <w:top w:val="single" w:sz="4" w:space="0" w:color="auto"/>
            </w:tcBorders>
          </w:tcPr>
          <w:p w14:paraId="21FB13F6" w14:textId="77777777" w:rsidR="0048679D" w:rsidRPr="00A538DD" w:rsidRDefault="0048679D">
            <w:pPr>
              <w:spacing w:before="0"/>
            </w:pPr>
            <w:r w:rsidRPr="00A538DD">
              <w:t>29 år eller yngre</w:t>
            </w:r>
          </w:p>
        </w:tc>
        <w:tc>
          <w:tcPr>
            <w:tcW w:w="1531" w:type="dxa"/>
            <w:tcBorders>
              <w:top w:val="single" w:sz="4" w:space="0" w:color="auto"/>
            </w:tcBorders>
          </w:tcPr>
          <w:p w14:paraId="38399B6F" w14:textId="77777777" w:rsidR="0048679D" w:rsidRPr="00A538DD" w:rsidRDefault="0048679D">
            <w:pPr>
              <w:spacing w:before="0"/>
              <w:jc w:val="right"/>
            </w:pPr>
            <w:r w:rsidRPr="00A538DD">
              <w:t>1,5 %</w:t>
            </w:r>
          </w:p>
        </w:tc>
        <w:tc>
          <w:tcPr>
            <w:tcW w:w="1531" w:type="dxa"/>
            <w:tcBorders>
              <w:top w:val="single" w:sz="4" w:space="0" w:color="auto"/>
            </w:tcBorders>
          </w:tcPr>
          <w:p w14:paraId="150CCDB7" w14:textId="77777777" w:rsidR="0048679D" w:rsidRPr="00A538DD" w:rsidRDefault="0048679D">
            <w:pPr>
              <w:spacing w:before="0"/>
              <w:jc w:val="right"/>
            </w:pPr>
            <w:r w:rsidRPr="00A538DD">
              <w:t>1,6 %</w:t>
            </w:r>
          </w:p>
        </w:tc>
      </w:tr>
      <w:tr w:rsidR="00000000" w:rsidRPr="00A538DD" w14:paraId="1D87C5B5" w14:textId="77777777">
        <w:tblPrEx>
          <w:tblCellMar>
            <w:top w:w="0" w:type="dxa"/>
            <w:bottom w:w="0" w:type="dxa"/>
          </w:tblCellMar>
        </w:tblPrEx>
        <w:trPr>
          <w:cantSplit/>
        </w:trPr>
        <w:tc>
          <w:tcPr>
            <w:tcW w:w="2835" w:type="dxa"/>
          </w:tcPr>
          <w:p w14:paraId="5A8E2322" w14:textId="77777777" w:rsidR="0048679D" w:rsidRPr="00A538DD" w:rsidRDefault="0048679D">
            <w:pPr>
              <w:spacing w:before="0"/>
            </w:pPr>
            <w:r w:rsidRPr="00A538DD">
              <w:t>30–49 år</w:t>
            </w:r>
          </w:p>
        </w:tc>
        <w:tc>
          <w:tcPr>
            <w:tcW w:w="1531" w:type="dxa"/>
          </w:tcPr>
          <w:p w14:paraId="19E6AA51" w14:textId="77777777" w:rsidR="0048679D" w:rsidRPr="00A538DD" w:rsidRDefault="0048679D">
            <w:pPr>
              <w:spacing w:before="0"/>
              <w:jc w:val="right"/>
            </w:pPr>
            <w:r w:rsidRPr="00A538DD">
              <w:t>1,9 %</w:t>
            </w:r>
          </w:p>
        </w:tc>
        <w:tc>
          <w:tcPr>
            <w:tcW w:w="1531" w:type="dxa"/>
          </w:tcPr>
          <w:p w14:paraId="4120AC88" w14:textId="77777777" w:rsidR="0048679D" w:rsidRPr="00A538DD" w:rsidRDefault="0048679D">
            <w:pPr>
              <w:spacing w:before="0"/>
              <w:jc w:val="right"/>
            </w:pPr>
            <w:r w:rsidRPr="00A538DD">
              <w:t>2,2 %</w:t>
            </w:r>
          </w:p>
        </w:tc>
      </w:tr>
      <w:tr w:rsidR="00000000" w:rsidRPr="00A538DD" w14:paraId="45836017" w14:textId="77777777">
        <w:tblPrEx>
          <w:tblCellMar>
            <w:top w:w="0" w:type="dxa"/>
            <w:bottom w:w="0" w:type="dxa"/>
          </w:tblCellMar>
        </w:tblPrEx>
        <w:trPr>
          <w:cantSplit/>
        </w:trPr>
        <w:tc>
          <w:tcPr>
            <w:tcW w:w="2835" w:type="dxa"/>
            <w:tcBorders>
              <w:bottom w:val="single" w:sz="4" w:space="0" w:color="auto"/>
            </w:tcBorders>
          </w:tcPr>
          <w:p w14:paraId="7CB88498" w14:textId="77777777" w:rsidR="0048679D" w:rsidRPr="00A538DD" w:rsidRDefault="0048679D">
            <w:pPr>
              <w:spacing w:before="0"/>
            </w:pPr>
            <w:r w:rsidRPr="00A538DD">
              <w:t>50 år eller äldre</w:t>
            </w:r>
          </w:p>
        </w:tc>
        <w:tc>
          <w:tcPr>
            <w:tcW w:w="1531" w:type="dxa"/>
            <w:tcBorders>
              <w:bottom w:val="single" w:sz="4" w:space="0" w:color="auto"/>
            </w:tcBorders>
          </w:tcPr>
          <w:p w14:paraId="4DC3C53C" w14:textId="77777777" w:rsidR="0048679D" w:rsidRPr="00A538DD" w:rsidRDefault="0048679D">
            <w:pPr>
              <w:spacing w:before="0"/>
              <w:jc w:val="right"/>
            </w:pPr>
            <w:r w:rsidRPr="00A538DD">
              <w:t>8,6 %</w:t>
            </w:r>
          </w:p>
        </w:tc>
        <w:tc>
          <w:tcPr>
            <w:tcW w:w="1531" w:type="dxa"/>
            <w:tcBorders>
              <w:bottom w:val="single" w:sz="4" w:space="0" w:color="auto"/>
            </w:tcBorders>
          </w:tcPr>
          <w:p w14:paraId="6A727F1D" w14:textId="77777777" w:rsidR="0048679D" w:rsidRPr="00A538DD" w:rsidRDefault="0048679D">
            <w:pPr>
              <w:spacing w:before="0"/>
              <w:jc w:val="right"/>
            </w:pPr>
            <w:r w:rsidRPr="00A538DD">
              <w:t>8,9 %</w:t>
            </w:r>
          </w:p>
        </w:tc>
      </w:tr>
    </w:tbl>
    <w:p w14:paraId="5C0A230D" w14:textId="77777777" w:rsidR="0048679D" w:rsidRPr="00A538DD" w:rsidRDefault="0048679D"/>
    <w:p w14:paraId="0BEF9B9E" w14:textId="77777777" w:rsidR="0048679D" w:rsidRPr="00A538DD" w:rsidRDefault="0048679D">
      <w:pPr>
        <w:rPr>
          <w:b/>
        </w:rPr>
      </w:pPr>
      <w:r w:rsidRPr="00A538DD">
        <w:rPr>
          <w:b/>
        </w:rPr>
        <w:t>Not 33 Administrationskostnader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1531"/>
        <w:gridCol w:w="1531"/>
      </w:tblGrid>
      <w:tr w:rsidR="00000000" w:rsidRPr="00A538DD" w14:paraId="467BCBB6" w14:textId="77777777">
        <w:tblPrEx>
          <w:tblCellMar>
            <w:top w:w="0" w:type="dxa"/>
            <w:bottom w:w="0" w:type="dxa"/>
          </w:tblCellMar>
        </w:tblPrEx>
        <w:trPr>
          <w:cantSplit/>
          <w:trHeight w:val="369"/>
        </w:trPr>
        <w:tc>
          <w:tcPr>
            <w:tcW w:w="2835" w:type="dxa"/>
            <w:tcBorders>
              <w:top w:val="single" w:sz="4" w:space="0" w:color="auto"/>
            </w:tcBorders>
          </w:tcPr>
          <w:p w14:paraId="0231B37A" w14:textId="77777777" w:rsidR="0048679D" w:rsidRPr="00A538DD" w:rsidRDefault="0048679D">
            <w:pPr>
              <w:spacing w:before="0"/>
            </w:pPr>
          </w:p>
        </w:tc>
        <w:tc>
          <w:tcPr>
            <w:tcW w:w="1531" w:type="dxa"/>
            <w:tcBorders>
              <w:top w:val="single" w:sz="4" w:space="0" w:color="auto"/>
            </w:tcBorders>
            <w:vAlign w:val="center"/>
          </w:tcPr>
          <w:p w14:paraId="47BEEFD7" w14:textId="77777777" w:rsidR="0048679D" w:rsidRPr="00A538DD" w:rsidRDefault="0048679D">
            <w:pPr>
              <w:spacing w:before="0"/>
              <w:jc w:val="right"/>
            </w:pPr>
            <w:r w:rsidRPr="00A538DD">
              <w:t>2004</w:t>
            </w:r>
          </w:p>
        </w:tc>
        <w:tc>
          <w:tcPr>
            <w:tcW w:w="1531" w:type="dxa"/>
            <w:tcBorders>
              <w:top w:val="single" w:sz="4" w:space="0" w:color="auto"/>
            </w:tcBorders>
            <w:vAlign w:val="center"/>
          </w:tcPr>
          <w:p w14:paraId="0303DE82" w14:textId="77777777" w:rsidR="0048679D" w:rsidRPr="00A538DD" w:rsidRDefault="0048679D">
            <w:pPr>
              <w:spacing w:before="0"/>
              <w:jc w:val="right"/>
            </w:pPr>
            <w:r w:rsidRPr="00A538DD">
              <w:t>2003</w:t>
            </w:r>
          </w:p>
        </w:tc>
      </w:tr>
      <w:tr w:rsidR="00000000" w:rsidRPr="00A538DD" w14:paraId="718D69CD" w14:textId="77777777">
        <w:tblPrEx>
          <w:tblCellMar>
            <w:top w:w="0" w:type="dxa"/>
            <w:bottom w:w="0" w:type="dxa"/>
          </w:tblCellMar>
        </w:tblPrEx>
        <w:trPr>
          <w:cantSplit/>
        </w:trPr>
        <w:tc>
          <w:tcPr>
            <w:tcW w:w="2835" w:type="dxa"/>
            <w:tcBorders>
              <w:top w:val="single" w:sz="4" w:space="0" w:color="auto"/>
            </w:tcBorders>
          </w:tcPr>
          <w:p w14:paraId="1642DE96" w14:textId="77777777" w:rsidR="0048679D" w:rsidRPr="00A538DD" w:rsidRDefault="0048679D">
            <w:pPr>
              <w:spacing w:before="0"/>
            </w:pPr>
            <w:r w:rsidRPr="00A538DD">
              <w:t>Information, representation</w:t>
            </w:r>
          </w:p>
        </w:tc>
        <w:tc>
          <w:tcPr>
            <w:tcW w:w="1531" w:type="dxa"/>
            <w:tcBorders>
              <w:top w:val="single" w:sz="4" w:space="0" w:color="auto"/>
            </w:tcBorders>
          </w:tcPr>
          <w:p w14:paraId="1E61E654" w14:textId="77777777" w:rsidR="0048679D" w:rsidRPr="00A538DD" w:rsidRDefault="0048679D">
            <w:pPr>
              <w:spacing w:before="0"/>
              <w:jc w:val="right"/>
            </w:pPr>
            <w:r w:rsidRPr="00A538DD">
              <w:t>–11</w:t>
            </w:r>
          </w:p>
        </w:tc>
        <w:tc>
          <w:tcPr>
            <w:tcW w:w="1531" w:type="dxa"/>
            <w:tcBorders>
              <w:top w:val="single" w:sz="4" w:space="0" w:color="auto"/>
            </w:tcBorders>
          </w:tcPr>
          <w:p w14:paraId="2CCDE315" w14:textId="77777777" w:rsidR="0048679D" w:rsidRPr="00A538DD" w:rsidRDefault="0048679D">
            <w:pPr>
              <w:spacing w:before="0"/>
              <w:jc w:val="right"/>
            </w:pPr>
            <w:r w:rsidRPr="00A538DD">
              <w:t>–13</w:t>
            </w:r>
          </w:p>
        </w:tc>
      </w:tr>
      <w:tr w:rsidR="00000000" w:rsidRPr="00A538DD" w14:paraId="18948B33" w14:textId="77777777">
        <w:tblPrEx>
          <w:tblCellMar>
            <w:top w:w="0" w:type="dxa"/>
            <w:bottom w:w="0" w:type="dxa"/>
          </w:tblCellMar>
        </w:tblPrEx>
        <w:trPr>
          <w:cantSplit/>
        </w:trPr>
        <w:tc>
          <w:tcPr>
            <w:tcW w:w="2835" w:type="dxa"/>
          </w:tcPr>
          <w:p w14:paraId="5920E11F" w14:textId="77777777" w:rsidR="0048679D" w:rsidRPr="00A538DD" w:rsidRDefault="0048679D">
            <w:pPr>
              <w:spacing w:before="0"/>
            </w:pPr>
            <w:r w:rsidRPr="00A538DD">
              <w:t>Transport, resor</w:t>
            </w:r>
          </w:p>
        </w:tc>
        <w:tc>
          <w:tcPr>
            <w:tcW w:w="1531" w:type="dxa"/>
          </w:tcPr>
          <w:p w14:paraId="5D6941A5" w14:textId="77777777" w:rsidR="0048679D" w:rsidRPr="00A538DD" w:rsidRDefault="0048679D">
            <w:pPr>
              <w:spacing w:before="0"/>
              <w:jc w:val="right"/>
            </w:pPr>
            <w:r w:rsidRPr="00A538DD">
              <w:t>–13</w:t>
            </w:r>
          </w:p>
        </w:tc>
        <w:tc>
          <w:tcPr>
            <w:tcW w:w="1531" w:type="dxa"/>
          </w:tcPr>
          <w:p w14:paraId="2A08398C" w14:textId="77777777" w:rsidR="0048679D" w:rsidRPr="00A538DD" w:rsidRDefault="0048679D">
            <w:pPr>
              <w:spacing w:before="0"/>
              <w:jc w:val="right"/>
            </w:pPr>
            <w:r w:rsidRPr="00A538DD">
              <w:t>–18</w:t>
            </w:r>
          </w:p>
        </w:tc>
      </w:tr>
      <w:tr w:rsidR="00000000" w:rsidRPr="00A538DD" w14:paraId="51709237" w14:textId="77777777">
        <w:tblPrEx>
          <w:tblCellMar>
            <w:top w:w="0" w:type="dxa"/>
            <w:bottom w:w="0" w:type="dxa"/>
          </w:tblCellMar>
        </w:tblPrEx>
        <w:trPr>
          <w:cantSplit/>
        </w:trPr>
        <w:tc>
          <w:tcPr>
            <w:tcW w:w="2835" w:type="dxa"/>
          </w:tcPr>
          <w:p w14:paraId="15ACE71E" w14:textId="77777777" w:rsidR="0048679D" w:rsidRPr="00A538DD" w:rsidRDefault="0048679D">
            <w:pPr>
              <w:spacing w:before="0"/>
            </w:pPr>
            <w:r w:rsidRPr="00A538DD">
              <w:t>Konsultuppdrag</w:t>
            </w:r>
          </w:p>
        </w:tc>
        <w:tc>
          <w:tcPr>
            <w:tcW w:w="1531" w:type="dxa"/>
          </w:tcPr>
          <w:p w14:paraId="252B173B" w14:textId="77777777" w:rsidR="0048679D" w:rsidRPr="00A538DD" w:rsidRDefault="0048679D">
            <w:pPr>
              <w:spacing w:before="0"/>
              <w:jc w:val="right"/>
            </w:pPr>
            <w:r w:rsidRPr="00A538DD">
              <w:t>–37</w:t>
            </w:r>
          </w:p>
        </w:tc>
        <w:tc>
          <w:tcPr>
            <w:tcW w:w="1531" w:type="dxa"/>
          </w:tcPr>
          <w:p w14:paraId="01270828" w14:textId="77777777" w:rsidR="0048679D" w:rsidRPr="00A538DD" w:rsidRDefault="0048679D">
            <w:pPr>
              <w:spacing w:before="0"/>
              <w:jc w:val="right"/>
            </w:pPr>
            <w:r w:rsidRPr="00A538DD">
              <w:t>–41</w:t>
            </w:r>
          </w:p>
        </w:tc>
      </w:tr>
      <w:tr w:rsidR="00000000" w:rsidRPr="00A538DD" w14:paraId="1336A33B" w14:textId="77777777">
        <w:tblPrEx>
          <w:tblCellMar>
            <w:top w:w="0" w:type="dxa"/>
            <w:bottom w:w="0" w:type="dxa"/>
          </w:tblCellMar>
        </w:tblPrEx>
        <w:trPr>
          <w:cantSplit/>
        </w:trPr>
        <w:tc>
          <w:tcPr>
            <w:tcW w:w="2835" w:type="dxa"/>
          </w:tcPr>
          <w:p w14:paraId="66A61DD9" w14:textId="77777777" w:rsidR="0048679D" w:rsidRPr="00A538DD" w:rsidRDefault="0048679D">
            <w:pPr>
              <w:spacing w:before="0"/>
            </w:pPr>
            <w:r w:rsidRPr="00A538DD">
              <w:t>Övriga externa tjänster</w:t>
            </w:r>
          </w:p>
        </w:tc>
        <w:tc>
          <w:tcPr>
            <w:tcW w:w="1531" w:type="dxa"/>
          </w:tcPr>
          <w:p w14:paraId="0DD3F948" w14:textId="77777777" w:rsidR="0048679D" w:rsidRPr="00A538DD" w:rsidRDefault="0048679D">
            <w:pPr>
              <w:spacing w:before="0"/>
              <w:jc w:val="right"/>
            </w:pPr>
            <w:r w:rsidRPr="00A538DD">
              <w:t>–38</w:t>
            </w:r>
          </w:p>
        </w:tc>
        <w:tc>
          <w:tcPr>
            <w:tcW w:w="1531" w:type="dxa"/>
          </w:tcPr>
          <w:p w14:paraId="180F04C4" w14:textId="77777777" w:rsidR="0048679D" w:rsidRPr="00A538DD" w:rsidRDefault="0048679D">
            <w:pPr>
              <w:spacing w:before="0"/>
              <w:jc w:val="right"/>
            </w:pPr>
            <w:r w:rsidRPr="00A538DD">
              <w:t>–37</w:t>
            </w:r>
          </w:p>
        </w:tc>
      </w:tr>
      <w:tr w:rsidR="00000000" w:rsidRPr="00A538DD" w14:paraId="1A28CC58" w14:textId="77777777">
        <w:tblPrEx>
          <w:tblCellMar>
            <w:top w:w="0" w:type="dxa"/>
            <w:bottom w:w="0" w:type="dxa"/>
          </w:tblCellMar>
        </w:tblPrEx>
        <w:trPr>
          <w:cantSplit/>
        </w:trPr>
        <w:tc>
          <w:tcPr>
            <w:tcW w:w="2835" w:type="dxa"/>
          </w:tcPr>
          <w:p w14:paraId="3220C19C" w14:textId="77777777" w:rsidR="0048679D" w:rsidRPr="00A538DD" w:rsidRDefault="0048679D">
            <w:pPr>
              <w:spacing w:before="0"/>
            </w:pPr>
            <w:r w:rsidRPr="00A538DD">
              <w:t>IT-drift</w:t>
            </w:r>
          </w:p>
        </w:tc>
        <w:tc>
          <w:tcPr>
            <w:tcW w:w="1531" w:type="dxa"/>
          </w:tcPr>
          <w:p w14:paraId="2DB059D6" w14:textId="77777777" w:rsidR="0048679D" w:rsidRPr="00A538DD" w:rsidRDefault="0048679D">
            <w:pPr>
              <w:spacing w:before="0"/>
              <w:jc w:val="right"/>
            </w:pPr>
            <w:r w:rsidRPr="00A538DD">
              <w:t>–49</w:t>
            </w:r>
          </w:p>
        </w:tc>
        <w:tc>
          <w:tcPr>
            <w:tcW w:w="1531" w:type="dxa"/>
          </w:tcPr>
          <w:p w14:paraId="61732A40" w14:textId="77777777" w:rsidR="0048679D" w:rsidRPr="00A538DD" w:rsidRDefault="0048679D">
            <w:pPr>
              <w:spacing w:before="0"/>
              <w:jc w:val="right"/>
            </w:pPr>
            <w:r w:rsidRPr="00A538DD">
              <w:t>–51</w:t>
            </w:r>
          </w:p>
        </w:tc>
      </w:tr>
      <w:tr w:rsidR="00000000" w:rsidRPr="00A538DD" w14:paraId="2BB848D4" w14:textId="77777777">
        <w:tblPrEx>
          <w:tblCellMar>
            <w:top w:w="0" w:type="dxa"/>
            <w:bottom w:w="0" w:type="dxa"/>
          </w:tblCellMar>
        </w:tblPrEx>
        <w:trPr>
          <w:cantSplit/>
        </w:trPr>
        <w:tc>
          <w:tcPr>
            <w:tcW w:w="2835" w:type="dxa"/>
          </w:tcPr>
          <w:p w14:paraId="2A33FF72" w14:textId="77777777" w:rsidR="0048679D" w:rsidRPr="00A538DD" w:rsidRDefault="0048679D">
            <w:pPr>
              <w:spacing w:before="0"/>
            </w:pPr>
            <w:r w:rsidRPr="00A538DD">
              <w:t>Ekonomipris</w:t>
            </w:r>
          </w:p>
        </w:tc>
        <w:tc>
          <w:tcPr>
            <w:tcW w:w="1531" w:type="dxa"/>
          </w:tcPr>
          <w:p w14:paraId="27DB8A16" w14:textId="77777777" w:rsidR="0048679D" w:rsidRPr="00A538DD" w:rsidRDefault="0048679D">
            <w:pPr>
              <w:spacing w:before="0"/>
              <w:jc w:val="right"/>
            </w:pPr>
            <w:r w:rsidRPr="00A538DD">
              <w:t>–19</w:t>
            </w:r>
          </w:p>
        </w:tc>
        <w:tc>
          <w:tcPr>
            <w:tcW w:w="1531" w:type="dxa"/>
          </w:tcPr>
          <w:p w14:paraId="2C4D4762" w14:textId="77777777" w:rsidR="0048679D" w:rsidRPr="00A538DD" w:rsidRDefault="0048679D">
            <w:pPr>
              <w:spacing w:before="0"/>
              <w:jc w:val="right"/>
            </w:pPr>
            <w:r w:rsidRPr="00A538DD">
              <w:t>–17</w:t>
            </w:r>
          </w:p>
        </w:tc>
      </w:tr>
      <w:tr w:rsidR="00000000" w:rsidRPr="00A538DD" w14:paraId="57084FC2" w14:textId="77777777">
        <w:tblPrEx>
          <w:tblCellMar>
            <w:top w:w="0" w:type="dxa"/>
            <w:bottom w:w="0" w:type="dxa"/>
          </w:tblCellMar>
        </w:tblPrEx>
        <w:trPr>
          <w:cantSplit/>
        </w:trPr>
        <w:tc>
          <w:tcPr>
            <w:tcW w:w="2835" w:type="dxa"/>
          </w:tcPr>
          <w:p w14:paraId="57CEB8C4" w14:textId="77777777" w:rsidR="0048679D" w:rsidRPr="00A538DD" w:rsidRDefault="0048679D">
            <w:pPr>
              <w:spacing w:before="0"/>
            </w:pPr>
            <w:r w:rsidRPr="00A538DD">
              <w:t>Kontors- och fastighet</w:t>
            </w:r>
            <w:r w:rsidRPr="00A538DD">
              <w:t>s</w:t>
            </w:r>
            <w:r w:rsidRPr="00A538DD">
              <w:t>drift</w:t>
            </w:r>
          </w:p>
        </w:tc>
        <w:tc>
          <w:tcPr>
            <w:tcW w:w="1531" w:type="dxa"/>
          </w:tcPr>
          <w:p w14:paraId="3093298C" w14:textId="77777777" w:rsidR="0048679D" w:rsidRPr="00A538DD" w:rsidRDefault="0048679D">
            <w:pPr>
              <w:spacing w:before="0"/>
              <w:jc w:val="right"/>
            </w:pPr>
            <w:r w:rsidRPr="00A538DD">
              <w:t>–47</w:t>
            </w:r>
          </w:p>
        </w:tc>
        <w:tc>
          <w:tcPr>
            <w:tcW w:w="1531" w:type="dxa"/>
          </w:tcPr>
          <w:p w14:paraId="18AD9A62" w14:textId="77777777" w:rsidR="0048679D" w:rsidRPr="00A538DD" w:rsidRDefault="0048679D">
            <w:pPr>
              <w:spacing w:before="0"/>
              <w:jc w:val="right"/>
            </w:pPr>
            <w:r w:rsidRPr="00A538DD">
              <w:t>–44</w:t>
            </w:r>
          </w:p>
        </w:tc>
      </w:tr>
      <w:tr w:rsidR="00000000" w:rsidRPr="00A538DD" w14:paraId="3E46D492" w14:textId="77777777">
        <w:tblPrEx>
          <w:tblCellMar>
            <w:top w:w="0" w:type="dxa"/>
            <w:bottom w:w="0" w:type="dxa"/>
          </w:tblCellMar>
        </w:tblPrEx>
        <w:trPr>
          <w:cantSplit/>
        </w:trPr>
        <w:tc>
          <w:tcPr>
            <w:tcW w:w="2835" w:type="dxa"/>
            <w:tcBorders>
              <w:bottom w:val="single" w:sz="4" w:space="0" w:color="auto"/>
            </w:tcBorders>
          </w:tcPr>
          <w:p w14:paraId="74E89B1E" w14:textId="77777777" w:rsidR="0048679D" w:rsidRPr="00A538DD" w:rsidRDefault="0048679D">
            <w:pPr>
              <w:spacing w:before="0"/>
            </w:pPr>
            <w:r w:rsidRPr="00A538DD">
              <w:t>Övrigt</w:t>
            </w:r>
          </w:p>
        </w:tc>
        <w:tc>
          <w:tcPr>
            <w:tcW w:w="1531" w:type="dxa"/>
          </w:tcPr>
          <w:p w14:paraId="1A93BF58" w14:textId="77777777" w:rsidR="0048679D" w:rsidRPr="00A538DD" w:rsidRDefault="0048679D">
            <w:pPr>
              <w:spacing w:before="0"/>
              <w:jc w:val="right"/>
            </w:pPr>
            <w:r w:rsidRPr="00A538DD">
              <w:t>–17</w:t>
            </w:r>
          </w:p>
        </w:tc>
        <w:tc>
          <w:tcPr>
            <w:tcW w:w="1531" w:type="dxa"/>
          </w:tcPr>
          <w:p w14:paraId="312046BF" w14:textId="77777777" w:rsidR="0048679D" w:rsidRPr="00A538DD" w:rsidRDefault="0048679D">
            <w:pPr>
              <w:spacing w:before="0"/>
              <w:jc w:val="right"/>
            </w:pPr>
            <w:r w:rsidRPr="00A538DD">
              <w:t>–7</w:t>
            </w:r>
          </w:p>
        </w:tc>
      </w:tr>
      <w:tr w:rsidR="00000000" w:rsidRPr="00A538DD" w14:paraId="010DF040" w14:textId="77777777">
        <w:tblPrEx>
          <w:tblCellMar>
            <w:top w:w="0" w:type="dxa"/>
            <w:bottom w:w="0" w:type="dxa"/>
          </w:tblCellMar>
        </w:tblPrEx>
        <w:trPr>
          <w:cantSplit/>
          <w:trHeight w:val="357"/>
        </w:trPr>
        <w:tc>
          <w:tcPr>
            <w:tcW w:w="2835" w:type="dxa"/>
            <w:tcBorders>
              <w:top w:val="single" w:sz="4" w:space="0" w:color="auto"/>
              <w:bottom w:val="single" w:sz="4" w:space="0" w:color="auto"/>
            </w:tcBorders>
            <w:vAlign w:val="center"/>
          </w:tcPr>
          <w:p w14:paraId="3E55ADF2" w14:textId="77777777" w:rsidR="0048679D" w:rsidRPr="00A538DD" w:rsidRDefault="0048679D">
            <w:pPr>
              <w:spacing w:before="0"/>
            </w:pPr>
            <w:r w:rsidRPr="00A538DD">
              <w:t>Summa</w:t>
            </w:r>
          </w:p>
        </w:tc>
        <w:tc>
          <w:tcPr>
            <w:tcW w:w="1531" w:type="dxa"/>
            <w:tcBorders>
              <w:top w:val="single" w:sz="4" w:space="0" w:color="auto"/>
              <w:bottom w:val="single" w:sz="4" w:space="0" w:color="auto"/>
            </w:tcBorders>
            <w:vAlign w:val="center"/>
          </w:tcPr>
          <w:p w14:paraId="77FEECA2" w14:textId="77777777" w:rsidR="0048679D" w:rsidRPr="00A538DD" w:rsidRDefault="0048679D">
            <w:pPr>
              <w:spacing w:before="0"/>
              <w:jc w:val="right"/>
            </w:pPr>
            <w:r w:rsidRPr="00A538DD">
              <w:t>–231</w:t>
            </w:r>
          </w:p>
        </w:tc>
        <w:tc>
          <w:tcPr>
            <w:tcW w:w="1531" w:type="dxa"/>
            <w:tcBorders>
              <w:top w:val="single" w:sz="4" w:space="0" w:color="auto"/>
              <w:bottom w:val="single" w:sz="4" w:space="0" w:color="auto"/>
            </w:tcBorders>
            <w:vAlign w:val="center"/>
          </w:tcPr>
          <w:p w14:paraId="09C90D3F" w14:textId="77777777" w:rsidR="0048679D" w:rsidRPr="00A538DD" w:rsidRDefault="0048679D">
            <w:pPr>
              <w:spacing w:before="0"/>
              <w:jc w:val="right"/>
            </w:pPr>
            <w:r w:rsidRPr="00A538DD">
              <w:t>–228</w:t>
            </w:r>
          </w:p>
        </w:tc>
      </w:tr>
    </w:tbl>
    <w:p w14:paraId="0EC669DF" w14:textId="77777777" w:rsidR="0048679D" w:rsidRPr="00A538DD" w:rsidRDefault="0048679D"/>
    <w:p w14:paraId="6CD84057" w14:textId="77777777" w:rsidR="0048679D" w:rsidRPr="00A538DD" w:rsidRDefault="0048679D">
      <w:r w:rsidRPr="00A538DD">
        <w:t>I informationskostnader ingår kostnader för Riksbankens löpande publikati</w:t>
      </w:r>
      <w:r w:rsidRPr="00A538DD">
        <w:t>o</w:t>
      </w:r>
      <w:r w:rsidRPr="00A538DD">
        <w:t>ner (inflationsrapport, finansiell stabilitetsrapport, årsredovisning, kvartalsti</w:t>
      </w:r>
      <w:r w:rsidRPr="00A538DD">
        <w:t>d</w:t>
      </w:r>
      <w:r w:rsidRPr="00A538DD">
        <w:t>skrift med flera) särskilda informationsprojekt med mera.</w:t>
      </w:r>
    </w:p>
    <w:p w14:paraId="3F293504" w14:textId="77777777" w:rsidR="0048679D" w:rsidRPr="00A538DD" w:rsidRDefault="0048679D">
      <w:r w:rsidRPr="00A538DD">
        <w:t xml:space="preserve"> </w:t>
      </w:r>
    </w:p>
    <w:p w14:paraId="2AE3AFCC" w14:textId="77777777" w:rsidR="0048679D" w:rsidRPr="00A538DD" w:rsidRDefault="0048679D">
      <w:r w:rsidRPr="00A538DD">
        <w:t>Den största enskilda posten i övriga externa tjänster utgörs av kostnader för statistikleveranser främst från Statistiska centralbyrån motsvarande 30 milj</w:t>
      </w:r>
      <w:r w:rsidRPr="00A538DD">
        <w:t>o</w:t>
      </w:r>
      <w:r w:rsidRPr="00A538DD">
        <w:t>ner kronor (22). I utfallet för övriga externa tjänster 2003 ingick även en avgift om 7 miljoner kronor till Svensk Kontantförsörjning AB avseende makulering och äkthetskontroll av sedlar vilken 2004 redovisas under kos</w:t>
      </w:r>
      <w:r w:rsidRPr="00A538DD">
        <w:t>t</w:t>
      </w:r>
      <w:r w:rsidRPr="00A538DD">
        <w:t>nadsgruppen övrigt med 9 miljoner kronor. Denna verksamhet införlivades i Riksbanken den 1 oktober 2004.</w:t>
      </w:r>
    </w:p>
    <w:p w14:paraId="7BDBFAAD" w14:textId="77777777" w:rsidR="0048679D" w:rsidRPr="00A538DD" w:rsidRDefault="0048679D"/>
    <w:p w14:paraId="412CA952" w14:textId="77777777" w:rsidR="0048679D" w:rsidRPr="00A538DD" w:rsidRDefault="0048679D">
      <w:r w:rsidRPr="00A538DD">
        <w:t>I posten ekonomipris ingår prissumman om 10 miljoner kronor samt adm</w:t>
      </w:r>
      <w:r w:rsidRPr="00A538DD">
        <w:t>i</w:t>
      </w:r>
      <w:r w:rsidRPr="00A538DD">
        <w:t>nistrationskostnader för detta pris om 9 miljoner kronor. Administration</w:t>
      </w:r>
      <w:r w:rsidRPr="00A538DD">
        <w:t>s</w:t>
      </w:r>
      <w:r w:rsidRPr="00A538DD">
        <w:t xml:space="preserve">kostnaderna har ökat med 2 miljoner kronor jämfört med 2003 beroende på att Riksbanken under 2004 tecknat avtal med Nobelstiftelsen som innebär en årlig betalning med 1 miljon kronor samt en engångsbetalning om 1 miljon kronor avseende det internetbaserade nobelprismuseum som stiftelsen byggt upp. </w:t>
      </w:r>
    </w:p>
    <w:p w14:paraId="69688CF9" w14:textId="77777777" w:rsidR="0048679D" w:rsidRPr="00A538DD" w:rsidRDefault="0048679D"/>
    <w:p w14:paraId="6AF512A8" w14:textId="77777777" w:rsidR="0048679D" w:rsidRPr="00A538DD" w:rsidRDefault="0048679D">
      <w:pPr>
        <w:rPr>
          <w:b/>
        </w:rPr>
      </w:pPr>
      <w:r w:rsidRPr="00A538DD">
        <w:rPr>
          <w:b/>
        </w:rPr>
        <w:t>Not 34 Avskrivningar av materiella och immateriella anläggningstil</w:t>
      </w:r>
      <w:r w:rsidRPr="00A538DD">
        <w:rPr>
          <w:b/>
        </w:rPr>
        <w:t>l</w:t>
      </w:r>
      <w:r w:rsidRPr="00A538DD">
        <w:rPr>
          <w:b/>
        </w:rPr>
        <w:t>gångar</w:t>
      </w:r>
    </w:p>
    <w:p w14:paraId="56D9ADF1" w14:textId="77777777" w:rsidR="0048679D" w:rsidRPr="00A538DD" w:rsidRDefault="0048679D">
      <w:r w:rsidRPr="00A538DD">
        <w:t>Under denna post redovisas planenliga avskrivningar avseende de materiella och immateriella anläggningstillgångarna.</w:t>
      </w:r>
    </w:p>
    <w:p w14:paraId="77F2DA94" w14:textId="77777777" w:rsidR="0048679D" w:rsidRPr="00A538DD" w:rsidRDefault="0048679D"/>
    <w:p w14:paraId="3AB84C6A" w14:textId="77777777" w:rsidR="0048679D" w:rsidRPr="00A538DD" w:rsidRDefault="0048679D">
      <w:pPr>
        <w:rPr>
          <w:b/>
        </w:rPr>
      </w:pPr>
      <w:r w:rsidRPr="00A538DD">
        <w:rPr>
          <w:b/>
        </w:rPr>
        <w:t>Not 35 Sedel- och myntkostnader</w:t>
      </w:r>
    </w:p>
    <w:p w14:paraId="4B5840AB" w14:textId="77777777" w:rsidR="0048679D" w:rsidRPr="00A538DD" w:rsidRDefault="0048679D">
      <w:r w:rsidRPr="00A538DD">
        <w:t>Av totala kostnaden för sedlar och mynt på 160 miljoner kronor (244) avser 64 miljoner kronor (131) inköp av sedlar och 84 miljoner kronor (99) inköp av bruksmynt och 12 miljoner kronor (14) inköp av minnesmynt.</w:t>
      </w:r>
    </w:p>
    <w:p w14:paraId="13B5C8E0" w14:textId="77777777" w:rsidR="0048679D" w:rsidRPr="00A538DD" w:rsidRDefault="0048679D"/>
    <w:p w14:paraId="3FE7EA4E" w14:textId="77777777" w:rsidR="0048679D" w:rsidRPr="00A538DD" w:rsidRDefault="0048679D">
      <w:pPr>
        <w:rPr>
          <w:b/>
        </w:rPr>
      </w:pPr>
      <w:r w:rsidRPr="00A538DD">
        <w:rPr>
          <w:b/>
        </w:rPr>
        <w:t>Not 36 Övriga kostnader</w:t>
      </w:r>
    </w:p>
    <w:p w14:paraId="3F147D44" w14:textId="77777777" w:rsidR="0048679D" w:rsidRPr="00A538DD" w:rsidRDefault="0048679D">
      <w:r w:rsidRPr="00A538DD">
        <w:t>Posten övriga kostnader avser kapitaltillskott till Svensk Kontantförsörjning AB och Pengar i Sverige AB samt bedömd kostnad för att hantera hyresavt</w:t>
      </w:r>
      <w:r w:rsidRPr="00A538DD">
        <w:t>a</w:t>
      </w:r>
      <w:r w:rsidRPr="00A538DD">
        <w:t xml:space="preserve">let för kontoret i Malmö i samband med att kontoret avvecklas under 2005. </w:t>
      </w:r>
    </w:p>
    <w:p w14:paraId="101665C2" w14:textId="77777777" w:rsidR="0048679D" w:rsidRPr="00A538DD" w:rsidRDefault="0048679D">
      <w:pPr>
        <w:pStyle w:val="Normaltindrag"/>
      </w:pPr>
    </w:p>
    <w:p w14:paraId="464A84F7" w14:textId="77777777" w:rsidR="0048679D" w:rsidRPr="00A538DD" w:rsidRDefault="0048679D">
      <w:r w:rsidRPr="00A538DD">
        <w:rPr>
          <w:b/>
        </w:rPr>
        <w:t>Not 37 Inom linjen förda poster</w:t>
      </w:r>
    </w:p>
    <w:p w14:paraId="33DBC821" w14:textId="77777777" w:rsidR="0048679D" w:rsidRPr="00A538DD" w:rsidRDefault="0048679D">
      <w:pPr>
        <w:rPr>
          <w:i/>
        </w:rPr>
      </w:pPr>
      <w:r w:rsidRPr="00A538DD">
        <w:rPr>
          <w:i/>
        </w:rPr>
        <w:t>Ställda säkerheter</w:t>
      </w:r>
    </w:p>
    <w:p w14:paraId="11997002" w14:textId="77777777" w:rsidR="0048679D" w:rsidRPr="00A538DD" w:rsidRDefault="0048679D">
      <w:r w:rsidRPr="00A538DD">
        <w:t>Värdepapper motsvarande ett marknadsvärde på 4 876 miljoner kronor (991) har ställts som säkerhet i samband med utländska värdepappersrepor.</w:t>
      </w:r>
    </w:p>
    <w:p w14:paraId="466AC448" w14:textId="77777777" w:rsidR="0048679D" w:rsidRPr="00A538DD" w:rsidRDefault="0048679D"/>
    <w:p w14:paraId="08F8E9E8" w14:textId="77777777" w:rsidR="0048679D" w:rsidRPr="00A538DD" w:rsidRDefault="0048679D">
      <w:r w:rsidRPr="00A538DD">
        <w:t>Värdepapper motsvarande ett marknadsvärde på 199 miljoner kronor (64) har ställts som marginalsäkerhet.</w:t>
      </w:r>
    </w:p>
    <w:p w14:paraId="50322466" w14:textId="77777777" w:rsidR="0048679D" w:rsidRPr="00A538DD" w:rsidRDefault="0048679D"/>
    <w:p w14:paraId="2EAB42F5" w14:textId="77777777" w:rsidR="0048679D" w:rsidRPr="00A538DD" w:rsidRDefault="0048679D">
      <w:r w:rsidRPr="00A538DD">
        <w:t>Guld motsvarande ett marknadsvärde på 3 643 miljoner kronor (9 972) har lånats ut.</w:t>
      </w:r>
    </w:p>
    <w:p w14:paraId="7B348C0A" w14:textId="77777777" w:rsidR="0048679D" w:rsidRPr="00A538DD" w:rsidRDefault="0048679D">
      <w:pPr>
        <w:rPr>
          <w:i/>
        </w:rPr>
      </w:pPr>
    </w:p>
    <w:p w14:paraId="29ED5013" w14:textId="77777777" w:rsidR="0048679D" w:rsidRPr="00A538DD" w:rsidRDefault="0048679D">
      <w:pPr>
        <w:rPr>
          <w:i/>
        </w:rPr>
      </w:pPr>
      <w:r w:rsidRPr="00A538DD">
        <w:rPr>
          <w:i/>
        </w:rPr>
        <w:t>Ansvarsförbindelser</w:t>
      </w:r>
    </w:p>
    <w:p w14:paraId="1025A6DF" w14:textId="77777777" w:rsidR="0048679D" w:rsidRPr="00A538DD" w:rsidRDefault="0048679D">
      <w:r w:rsidRPr="00A538DD">
        <w:t>Avtal under GAB (General Arrangements to Borrow) och NAB (New Arra</w:t>
      </w:r>
      <w:r w:rsidRPr="00A538DD">
        <w:t>n</w:t>
      </w:r>
      <w:r w:rsidRPr="00A538DD">
        <w:t xml:space="preserve">gements to Borrow) avseende kreditarrangemang för IMF uppgående till högst 850 miljoner SDR (850). </w:t>
      </w:r>
    </w:p>
    <w:p w14:paraId="0F7F74CF" w14:textId="77777777" w:rsidR="0048679D" w:rsidRPr="00A538DD" w:rsidRDefault="0048679D"/>
    <w:p w14:paraId="27B0DABB" w14:textId="77777777" w:rsidR="0048679D" w:rsidRPr="00A538DD" w:rsidRDefault="0048679D">
      <w:r w:rsidRPr="00A538DD">
        <w:t>Avtal där Riksbanken garanterar värdet på de svenska statsobligationer, stat</w:t>
      </w:r>
      <w:r w:rsidRPr="00A538DD">
        <w:t>s</w:t>
      </w:r>
      <w:r w:rsidRPr="00A538DD">
        <w:t>skuldväxlar och bostadsobligationer som används som säkerhet för intr</w:t>
      </w:r>
      <w:r w:rsidRPr="00A538DD">
        <w:t>a</w:t>
      </w:r>
      <w:r w:rsidRPr="00A538DD">
        <w:t>dagskrediter mellan affärsbankerna och centralbankerna inom euroområdet.</w:t>
      </w:r>
    </w:p>
    <w:p w14:paraId="46C3EDE2" w14:textId="77777777" w:rsidR="0048679D" w:rsidRPr="00A538DD" w:rsidRDefault="0048679D"/>
    <w:p w14:paraId="6589C88C" w14:textId="77777777" w:rsidR="0048679D" w:rsidRPr="00A538DD" w:rsidRDefault="0048679D">
      <w:pPr>
        <w:spacing w:before="0"/>
      </w:pPr>
      <w:r w:rsidRPr="00A538DD">
        <w:t>Det nominella värdet avseende utestående valutasvappavtal, vars marknad</w:t>
      </w:r>
      <w:r w:rsidRPr="00A538DD">
        <w:t>s</w:t>
      </w:r>
      <w:r w:rsidRPr="00A538DD">
        <w:t>värde framgår av not 18, uppgick till 6 439 miljoner kronor (7 747).</w:t>
      </w:r>
    </w:p>
    <w:p w14:paraId="71DF8DB4" w14:textId="77777777" w:rsidR="0048679D" w:rsidRPr="00A538DD" w:rsidRDefault="0048679D"/>
    <w:p w14:paraId="284C3358" w14:textId="77777777" w:rsidR="0048679D" w:rsidRPr="00A538DD" w:rsidRDefault="0048679D">
      <w:r w:rsidRPr="00A538DD">
        <w:t>Det nominella värdet avseende utestående guldterminskontrakt, vars mar</w:t>
      </w:r>
      <w:r w:rsidRPr="00A538DD">
        <w:t>k</w:t>
      </w:r>
      <w:r w:rsidRPr="00A538DD">
        <w:t>nadsvärde framgår av not 18, uppgick till 1 162 miljoner kronor (0).</w:t>
      </w:r>
    </w:p>
    <w:p w14:paraId="0E5A81AD" w14:textId="77777777" w:rsidR="0048679D" w:rsidRPr="00A538DD" w:rsidRDefault="0048679D"/>
    <w:p w14:paraId="412D80FF" w14:textId="77777777" w:rsidR="0048679D" w:rsidRPr="00A538DD" w:rsidRDefault="0048679D">
      <w:r w:rsidRPr="00A538DD">
        <w:t>Förbindelse att till KPA Pensionsförsäkring AB betala kompletteringsersät</w:t>
      </w:r>
      <w:r w:rsidRPr="00A538DD">
        <w:t>t</w:t>
      </w:r>
      <w:r w:rsidRPr="00A538DD">
        <w:t>ning om så erfordras på grund av värdesäkringen av de pensionsförmåner som den försäkrade har rätt till. Åtagandet avser personal som 1971 övergick från Riksbanken till AB Tumba Bruk (numera Crane AB).</w:t>
      </w:r>
    </w:p>
    <w:p w14:paraId="09BA847E" w14:textId="77777777" w:rsidR="0048679D" w:rsidRPr="00A538DD" w:rsidRDefault="0048679D"/>
    <w:p w14:paraId="53797EAF" w14:textId="77777777" w:rsidR="0048679D" w:rsidRPr="00A538DD" w:rsidRDefault="0048679D">
      <w:r w:rsidRPr="00A538DD">
        <w:t>Åtagande mot Nobelstiftelsen att årligen ställa medel till förfogande för att utdela ett pris i ekonomisk vetenskap till Alfred Nobels minne samt adminis</w:t>
      </w:r>
      <w:r w:rsidRPr="00A538DD">
        <w:t>t</w:t>
      </w:r>
      <w:r w:rsidRPr="00A538DD">
        <w:t>rationskostnader för detta pris. Åtagandet uppgick för 2004 till 19 miljoner kronor (17).</w:t>
      </w:r>
    </w:p>
    <w:p w14:paraId="76FDE027" w14:textId="77777777" w:rsidR="0048679D" w:rsidRPr="00A538DD" w:rsidRDefault="0048679D"/>
    <w:p w14:paraId="048D3D8B" w14:textId="77777777" w:rsidR="0048679D" w:rsidRPr="00A538DD" w:rsidRDefault="0048679D">
      <w:r w:rsidRPr="00A538DD">
        <w:t xml:space="preserve">Åtagande att tre månader efter eventuell anfordran betala till BIS återstående 75 </w:t>
      </w:r>
      <w:r w:rsidRPr="00A538DD">
        <w:rPr>
          <w:sz w:val="16"/>
        </w:rPr>
        <w:t>%</w:t>
      </w:r>
      <w:r w:rsidRPr="00A538DD">
        <w:t xml:space="preserve"> av det nominella värdet avseende Riksbankens aktieinnehav i BIS. Åt</w:t>
      </w:r>
      <w:r w:rsidRPr="00A538DD">
        <w:t>a</w:t>
      </w:r>
      <w:r w:rsidRPr="00A538DD">
        <w:t>gandet uppgick vid utgången av 2004 till 618 miljoner kronor (645).</w:t>
      </w:r>
    </w:p>
    <w:p w14:paraId="397EBD43" w14:textId="77777777" w:rsidR="0048679D" w:rsidRPr="00A538DD" w:rsidRDefault="0048679D">
      <w:pPr>
        <w:ind w:hanging="284"/>
      </w:pPr>
      <w:r w:rsidRPr="00A538DD">
        <w:br w:type="page"/>
      </w:r>
      <w:r w:rsidRPr="00A538DD">
        <w:rPr>
          <w:b/>
        </w:rPr>
        <w:t>Not 38 Omräknade jämförelsesiffror per 2003-12-31</w:t>
      </w:r>
    </w:p>
    <w:tbl>
      <w:tblPr>
        <w:tblW w:w="0" w:type="auto"/>
        <w:tblInd w:w="-284" w:type="dxa"/>
        <w:tblLayout w:type="fixed"/>
        <w:tblCellMar>
          <w:left w:w="30" w:type="dxa"/>
          <w:right w:w="30" w:type="dxa"/>
        </w:tblCellMar>
        <w:tblLook w:val="0000" w:firstRow="0" w:lastRow="0" w:firstColumn="0" w:lastColumn="0" w:noHBand="0" w:noVBand="0"/>
      </w:tblPr>
      <w:tblGrid>
        <w:gridCol w:w="2777"/>
        <w:gridCol w:w="30"/>
        <w:gridCol w:w="877"/>
        <w:gridCol w:w="30"/>
        <w:gridCol w:w="537"/>
        <w:gridCol w:w="30"/>
        <w:gridCol w:w="594"/>
        <w:gridCol w:w="86"/>
        <w:gridCol w:w="424"/>
        <w:gridCol w:w="86"/>
        <w:gridCol w:w="424"/>
        <w:gridCol w:w="86"/>
        <w:gridCol w:w="824"/>
      </w:tblGrid>
      <w:tr w:rsidR="00000000" w:rsidRPr="00A538DD" w14:paraId="451E5FDE" w14:textId="77777777">
        <w:tblPrEx>
          <w:tblCellMar>
            <w:top w:w="0" w:type="dxa"/>
            <w:bottom w:w="0" w:type="dxa"/>
          </w:tblCellMar>
        </w:tblPrEx>
        <w:trPr>
          <w:cantSplit/>
          <w:trHeight w:val="308"/>
        </w:trPr>
        <w:tc>
          <w:tcPr>
            <w:tcW w:w="2777" w:type="dxa"/>
            <w:tcBorders>
              <w:top w:val="single" w:sz="4" w:space="0" w:color="auto"/>
            </w:tcBorders>
          </w:tcPr>
          <w:p w14:paraId="4E2F7CEB" w14:textId="77777777" w:rsidR="0048679D" w:rsidRPr="00A538DD" w:rsidRDefault="0048679D">
            <w:pPr>
              <w:jc w:val="right"/>
              <w:rPr>
                <w:rFonts w:ascii="Syntax" w:hAnsi="Syntax"/>
                <w:sz w:val="18"/>
              </w:rPr>
            </w:pPr>
          </w:p>
        </w:tc>
        <w:tc>
          <w:tcPr>
            <w:tcW w:w="907" w:type="dxa"/>
            <w:gridSpan w:val="2"/>
            <w:tcBorders>
              <w:top w:val="single" w:sz="4" w:space="0" w:color="auto"/>
            </w:tcBorders>
          </w:tcPr>
          <w:p w14:paraId="0ED82B73" w14:textId="77777777" w:rsidR="0048679D" w:rsidRPr="00A538DD" w:rsidRDefault="0048679D">
            <w:pPr>
              <w:spacing w:before="0"/>
              <w:jc w:val="right"/>
              <w:rPr>
                <w:sz w:val="18"/>
              </w:rPr>
            </w:pPr>
            <w:r w:rsidRPr="00A538DD">
              <w:rPr>
                <w:sz w:val="18"/>
              </w:rPr>
              <w:t>2003-12-31</w:t>
            </w:r>
          </w:p>
        </w:tc>
        <w:tc>
          <w:tcPr>
            <w:tcW w:w="567" w:type="dxa"/>
            <w:gridSpan w:val="2"/>
            <w:tcBorders>
              <w:top w:val="single" w:sz="4" w:space="0" w:color="auto"/>
            </w:tcBorders>
          </w:tcPr>
          <w:p w14:paraId="160799B8" w14:textId="77777777" w:rsidR="0048679D" w:rsidRPr="00A538DD" w:rsidRDefault="0048679D">
            <w:pPr>
              <w:spacing w:before="0"/>
              <w:jc w:val="right"/>
              <w:rPr>
                <w:sz w:val="18"/>
              </w:rPr>
            </w:pPr>
          </w:p>
        </w:tc>
        <w:tc>
          <w:tcPr>
            <w:tcW w:w="624" w:type="dxa"/>
            <w:gridSpan w:val="2"/>
            <w:tcBorders>
              <w:top w:val="single" w:sz="4" w:space="0" w:color="auto"/>
            </w:tcBorders>
          </w:tcPr>
          <w:p w14:paraId="3CA0F180" w14:textId="77777777" w:rsidR="0048679D" w:rsidRPr="00A538DD" w:rsidRDefault="0048679D">
            <w:pPr>
              <w:spacing w:before="0"/>
              <w:jc w:val="right"/>
              <w:rPr>
                <w:sz w:val="18"/>
              </w:rPr>
            </w:pPr>
          </w:p>
        </w:tc>
        <w:tc>
          <w:tcPr>
            <w:tcW w:w="510" w:type="dxa"/>
            <w:gridSpan w:val="2"/>
            <w:tcBorders>
              <w:top w:val="single" w:sz="4" w:space="0" w:color="auto"/>
            </w:tcBorders>
          </w:tcPr>
          <w:p w14:paraId="055D842F" w14:textId="77777777" w:rsidR="0048679D" w:rsidRPr="00A538DD" w:rsidRDefault="0048679D">
            <w:pPr>
              <w:spacing w:before="0"/>
              <w:jc w:val="right"/>
              <w:rPr>
                <w:sz w:val="18"/>
              </w:rPr>
            </w:pPr>
          </w:p>
        </w:tc>
        <w:tc>
          <w:tcPr>
            <w:tcW w:w="510" w:type="dxa"/>
            <w:gridSpan w:val="2"/>
            <w:tcBorders>
              <w:top w:val="single" w:sz="4" w:space="0" w:color="auto"/>
            </w:tcBorders>
          </w:tcPr>
          <w:p w14:paraId="6FA4B9E4" w14:textId="77777777" w:rsidR="0048679D" w:rsidRPr="00A538DD" w:rsidRDefault="0048679D">
            <w:pPr>
              <w:spacing w:before="0"/>
              <w:jc w:val="right"/>
              <w:rPr>
                <w:sz w:val="18"/>
              </w:rPr>
            </w:pPr>
          </w:p>
        </w:tc>
        <w:tc>
          <w:tcPr>
            <w:tcW w:w="907" w:type="dxa"/>
            <w:gridSpan w:val="2"/>
            <w:tcBorders>
              <w:top w:val="single" w:sz="4" w:space="0" w:color="auto"/>
            </w:tcBorders>
          </w:tcPr>
          <w:p w14:paraId="1D7C5039" w14:textId="77777777" w:rsidR="0048679D" w:rsidRPr="00A538DD" w:rsidRDefault="0048679D">
            <w:pPr>
              <w:spacing w:before="0"/>
              <w:jc w:val="right"/>
              <w:rPr>
                <w:sz w:val="18"/>
              </w:rPr>
            </w:pPr>
            <w:r w:rsidRPr="00A538DD">
              <w:rPr>
                <w:sz w:val="18"/>
              </w:rPr>
              <w:t>2003-12-31</w:t>
            </w:r>
          </w:p>
        </w:tc>
      </w:tr>
      <w:tr w:rsidR="00000000" w:rsidRPr="00A538DD" w14:paraId="4D0F5024" w14:textId="77777777">
        <w:tblPrEx>
          <w:tblCellMar>
            <w:top w:w="0" w:type="dxa"/>
            <w:bottom w:w="0" w:type="dxa"/>
          </w:tblCellMar>
        </w:tblPrEx>
        <w:trPr>
          <w:cantSplit/>
          <w:trHeight w:val="216"/>
        </w:trPr>
        <w:tc>
          <w:tcPr>
            <w:tcW w:w="2777" w:type="dxa"/>
            <w:tcBorders>
              <w:bottom w:val="single" w:sz="4" w:space="0" w:color="auto"/>
            </w:tcBorders>
          </w:tcPr>
          <w:p w14:paraId="3950943A" w14:textId="77777777" w:rsidR="0048679D" w:rsidRPr="00A538DD" w:rsidRDefault="0048679D">
            <w:pPr>
              <w:jc w:val="right"/>
              <w:rPr>
                <w:rFonts w:ascii="Syntax" w:hAnsi="Syntax"/>
                <w:sz w:val="18"/>
              </w:rPr>
            </w:pPr>
          </w:p>
        </w:tc>
        <w:tc>
          <w:tcPr>
            <w:tcW w:w="907" w:type="dxa"/>
            <w:gridSpan w:val="2"/>
            <w:tcBorders>
              <w:bottom w:val="single" w:sz="4" w:space="0" w:color="auto"/>
            </w:tcBorders>
          </w:tcPr>
          <w:p w14:paraId="635340F9" w14:textId="77777777" w:rsidR="0048679D" w:rsidRPr="00A538DD" w:rsidRDefault="0048679D">
            <w:pPr>
              <w:spacing w:before="0"/>
              <w:jc w:val="left"/>
              <w:rPr>
                <w:sz w:val="18"/>
              </w:rPr>
            </w:pPr>
            <w:r w:rsidRPr="00A538DD">
              <w:rPr>
                <w:sz w:val="18"/>
              </w:rPr>
              <w:t xml:space="preserve">före </w:t>
            </w:r>
            <w:r w:rsidRPr="00A538DD">
              <w:rPr>
                <w:sz w:val="18"/>
              </w:rPr>
              <w:br/>
              <w:t>o</w:t>
            </w:r>
            <w:r w:rsidRPr="00A538DD">
              <w:rPr>
                <w:sz w:val="18"/>
              </w:rPr>
              <w:t>m</w:t>
            </w:r>
            <w:r w:rsidRPr="00A538DD">
              <w:rPr>
                <w:sz w:val="18"/>
              </w:rPr>
              <w:t>räkn.</w:t>
            </w:r>
          </w:p>
        </w:tc>
        <w:tc>
          <w:tcPr>
            <w:tcW w:w="567" w:type="dxa"/>
            <w:gridSpan w:val="2"/>
            <w:tcBorders>
              <w:bottom w:val="single" w:sz="4" w:space="0" w:color="auto"/>
            </w:tcBorders>
          </w:tcPr>
          <w:p w14:paraId="0BF06A60" w14:textId="77777777" w:rsidR="0048679D" w:rsidRPr="00A538DD" w:rsidRDefault="0048679D">
            <w:pPr>
              <w:spacing w:before="0"/>
              <w:jc w:val="right"/>
              <w:rPr>
                <w:sz w:val="18"/>
              </w:rPr>
            </w:pPr>
            <w:r w:rsidRPr="00A538DD">
              <w:rPr>
                <w:sz w:val="18"/>
              </w:rPr>
              <w:t>1.</w:t>
            </w:r>
          </w:p>
        </w:tc>
        <w:tc>
          <w:tcPr>
            <w:tcW w:w="624" w:type="dxa"/>
            <w:gridSpan w:val="2"/>
            <w:tcBorders>
              <w:bottom w:val="single" w:sz="4" w:space="0" w:color="auto"/>
            </w:tcBorders>
          </w:tcPr>
          <w:p w14:paraId="212D9727" w14:textId="77777777" w:rsidR="0048679D" w:rsidRPr="00A538DD" w:rsidRDefault="0048679D">
            <w:pPr>
              <w:spacing w:before="0"/>
              <w:jc w:val="right"/>
              <w:rPr>
                <w:sz w:val="18"/>
              </w:rPr>
            </w:pPr>
            <w:r w:rsidRPr="00A538DD">
              <w:rPr>
                <w:sz w:val="18"/>
              </w:rPr>
              <w:t>2.</w:t>
            </w:r>
          </w:p>
        </w:tc>
        <w:tc>
          <w:tcPr>
            <w:tcW w:w="510" w:type="dxa"/>
            <w:gridSpan w:val="2"/>
            <w:tcBorders>
              <w:bottom w:val="single" w:sz="4" w:space="0" w:color="auto"/>
            </w:tcBorders>
          </w:tcPr>
          <w:p w14:paraId="6D0C886F" w14:textId="77777777" w:rsidR="0048679D" w:rsidRPr="00A538DD" w:rsidRDefault="0048679D">
            <w:pPr>
              <w:spacing w:before="0"/>
              <w:jc w:val="right"/>
              <w:rPr>
                <w:sz w:val="18"/>
              </w:rPr>
            </w:pPr>
            <w:r w:rsidRPr="00A538DD">
              <w:rPr>
                <w:sz w:val="18"/>
              </w:rPr>
              <w:t>3.</w:t>
            </w:r>
          </w:p>
        </w:tc>
        <w:tc>
          <w:tcPr>
            <w:tcW w:w="510" w:type="dxa"/>
            <w:gridSpan w:val="2"/>
            <w:tcBorders>
              <w:bottom w:val="single" w:sz="4" w:space="0" w:color="auto"/>
            </w:tcBorders>
          </w:tcPr>
          <w:p w14:paraId="14DAFF4A" w14:textId="77777777" w:rsidR="0048679D" w:rsidRPr="00A538DD" w:rsidRDefault="0048679D">
            <w:pPr>
              <w:spacing w:before="0"/>
              <w:jc w:val="right"/>
              <w:rPr>
                <w:sz w:val="18"/>
              </w:rPr>
            </w:pPr>
            <w:r w:rsidRPr="00A538DD">
              <w:rPr>
                <w:sz w:val="18"/>
              </w:rPr>
              <w:t>4.</w:t>
            </w:r>
          </w:p>
        </w:tc>
        <w:tc>
          <w:tcPr>
            <w:tcW w:w="907" w:type="dxa"/>
            <w:gridSpan w:val="2"/>
            <w:tcBorders>
              <w:bottom w:val="single" w:sz="4" w:space="0" w:color="auto"/>
            </w:tcBorders>
          </w:tcPr>
          <w:p w14:paraId="30808231" w14:textId="77777777" w:rsidR="0048679D" w:rsidRPr="00A538DD" w:rsidRDefault="0048679D">
            <w:pPr>
              <w:spacing w:before="0"/>
              <w:jc w:val="left"/>
              <w:rPr>
                <w:sz w:val="18"/>
              </w:rPr>
            </w:pPr>
            <w:r w:rsidRPr="00A538DD">
              <w:rPr>
                <w:sz w:val="18"/>
              </w:rPr>
              <w:t xml:space="preserve">efter </w:t>
            </w:r>
            <w:r w:rsidRPr="00A538DD">
              <w:rPr>
                <w:sz w:val="18"/>
              </w:rPr>
              <w:br/>
              <w:t>o</w:t>
            </w:r>
            <w:r w:rsidRPr="00A538DD">
              <w:rPr>
                <w:sz w:val="18"/>
              </w:rPr>
              <w:t>m</w:t>
            </w:r>
            <w:r w:rsidRPr="00A538DD">
              <w:rPr>
                <w:sz w:val="18"/>
              </w:rPr>
              <w:t>räkn.</w:t>
            </w:r>
          </w:p>
        </w:tc>
      </w:tr>
      <w:tr w:rsidR="00000000" w:rsidRPr="00A538DD" w14:paraId="426666C3" w14:textId="77777777">
        <w:tblPrEx>
          <w:tblCellMar>
            <w:top w:w="0" w:type="dxa"/>
            <w:bottom w:w="0" w:type="dxa"/>
          </w:tblCellMar>
        </w:tblPrEx>
        <w:trPr>
          <w:cantSplit/>
          <w:trHeight w:val="216"/>
        </w:trPr>
        <w:tc>
          <w:tcPr>
            <w:tcW w:w="2777" w:type="dxa"/>
            <w:tcBorders>
              <w:top w:val="single" w:sz="4" w:space="0" w:color="auto"/>
            </w:tcBorders>
          </w:tcPr>
          <w:p w14:paraId="5F8253B6" w14:textId="77777777" w:rsidR="0048679D" w:rsidRPr="00A538DD" w:rsidRDefault="0048679D">
            <w:pPr>
              <w:spacing w:before="0"/>
              <w:jc w:val="left"/>
              <w:rPr>
                <w:sz w:val="18"/>
              </w:rPr>
            </w:pPr>
            <w:r w:rsidRPr="00A538DD">
              <w:rPr>
                <w:sz w:val="18"/>
              </w:rPr>
              <w:t>Tillgångsposter</w:t>
            </w:r>
          </w:p>
        </w:tc>
        <w:tc>
          <w:tcPr>
            <w:tcW w:w="907" w:type="dxa"/>
            <w:gridSpan w:val="2"/>
          </w:tcPr>
          <w:p w14:paraId="25D256C5" w14:textId="77777777" w:rsidR="0048679D" w:rsidRPr="00A538DD" w:rsidRDefault="0048679D">
            <w:pPr>
              <w:spacing w:before="0"/>
              <w:jc w:val="right"/>
              <w:rPr>
                <w:sz w:val="18"/>
              </w:rPr>
            </w:pPr>
          </w:p>
        </w:tc>
        <w:tc>
          <w:tcPr>
            <w:tcW w:w="567" w:type="dxa"/>
            <w:gridSpan w:val="2"/>
          </w:tcPr>
          <w:p w14:paraId="11577B64" w14:textId="77777777" w:rsidR="0048679D" w:rsidRPr="00A538DD" w:rsidRDefault="0048679D">
            <w:pPr>
              <w:spacing w:before="0"/>
              <w:jc w:val="right"/>
              <w:rPr>
                <w:sz w:val="18"/>
              </w:rPr>
            </w:pPr>
          </w:p>
        </w:tc>
        <w:tc>
          <w:tcPr>
            <w:tcW w:w="624" w:type="dxa"/>
            <w:gridSpan w:val="2"/>
          </w:tcPr>
          <w:p w14:paraId="64256B2A" w14:textId="77777777" w:rsidR="0048679D" w:rsidRPr="00A538DD" w:rsidRDefault="0048679D">
            <w:pPr>
              <w:spacing w:before="0"/>
              <w:jc w:val="right"/>
              <w:rPr>
                <w:sz w:val="18"/>
              </w:rPr>
            </w:pPr>
          </w:p>
        </w:tc>
        <w:tc>
          <w:tcPr>
            <w:tcW w:w="510" w:type="dxa"/>
            <w:gridSpan w:val="2"/>
          </w:tcPr>
          <w:p w14:paraId="0A8D212C" w14:textId="77777777" w:rsidR="0048679D" w:rsidRPr="00A538DD" w:rsidRDefault="0048679D">
            <w:pPr>
              <w:spacing w:before="0"/>
              <w:jc w:val="right"/>
              <w:rPr>
                <w:sz w:val="18"/>
              </w:rPr>
            </w:pPr>
          </w:p>
        </w:tc>
        <w:tc>
          <w:tcPr>
            <w:tcW w:w="510" w:type="dxa"/>
            <w:gridSpan w:val="2"/>
          </w:tcPr>
          <w:p w14:paraId="633E5293" w14:textId="77777777" w:rsidR="0048679D" w:rsidRPr="00A538DD" w:rsidRDefault="0048679D">
            <w:pPr>
              <w:spacing w:before="0"/>
              <w:jc w:val="right"/>
              <w:rPr>
                <w:sz w:val="18"/>
              </w:rPr>
            </w:pPr>
          </w:p>
        </w:tc>
        <w:tc>
          <w:tcPr>
            <w:tcW w:w="907" w:type="dxa"/>
            <w:gridSpan w:val="2"/>
          </w:tcPr>
          <w:p w14:paraId="68F2B714" w14:textId="77777777" w:rsidR="0048679D" w:rsidRPr="00A538DD" w:rsidRDefault="0048679D">
            <w:pPr>
              <w:spacing w:before="0"/>
              <w:jc w:val="right"/>
              <w:rPr>
                <w:sz w:val="18"/>
              </w:rPr>
            </w:pPr>
          </w:p>
        </w:tc>
      </w:tr>
      <w:tr w:rsidR="00000000" w:rsidRPr="00A538DD" w14:paraId="4CE77AE0" w14:textId="77777777">
        <w:tblPrEx>
          <w:tblCellMar>
            <w:top w:w="0" w:type="dxa"/>
            <w:bottom w:w="0" w:type="dxa"/>
          </w:tblCellMar>
        </w:tblPrEx>
        <w:trPr>
          <w:cantSplit/>
          <w:trHeight w:val="216"/>
        </w:trPr>
        <w:tc>
          <w:tcPr>
            <w:tcW w:w="2777" w:type="dxa"/>
          </w:tcPr>
          <w:p w14:paraId="6D812147" w14:textId="77777777" w:rsidR="0048679D" w:rsidRPr="00A538DD" w:rsidRDefault="0048679D">
            <w:pPr>
              <w:spacing w:before="0"/>
              <w:jc w:val="left"/>
              <w:rPr>
                <w:sz w:val="18"/>
              </w:rPr>
            </w:pPr>
            <w:r w:rsidRPr="00A538DD">
              <w:rPr>
                <w:sz w:val="18"/>
              </w:rPr>
              <w:t>Fordringar på IMF</w:t>
            </w:r>
          </w:p>
        </w:tc>
        <w:tc>
          <w:tcPr>
            <w:tcW w:w="907" w:type="dxa"/>
            <w:gridSpan w:val="2"/>
          </w:tcPr>
          <w:p w14:paraId="0DE683DA" w14:textId="77777777" w:rsidR="0048679D" w:rsidRPr="00A538DD" w:rsidRDefault="0048679D">
            <w:pPr>
              <w:spacing w:before="0"/>
              <w:jc w:val="right"/>
              <w:rPr>
                <w:sz w:val="18"/>
              </w:rPr>
            </w:pPr>
            <w:r w:rsidRPr="00A538DD">
              <w:rPr>
                <w:sz w:val="18"/>
              </w:rPr>
              <w:t>12 267</w:t>
            </w:r>
          </w:p>
        </w:tc>
        <w:tc>
          <w:tcPr>
            <w:tcW w:w="567" w:type="dxa"/>
            <w:gridSpan w:val="2"/>
          </w:tcPr>
          <w:p w14:paraId="5F5CFAC4" w14:textId="77777777" w:rsidR="0048679D" w:rsidRPr="00A538DD" w:rsidRDefault="0048679D">
            <w:pPr>
              <w:spacing w:before="0"/>
              <w:jc w:val="right"/>
              <w:rPr>
                <w:sz w:val="18"/>
              </w:rPr>
            </w:pPr>
            <w:r w:rsidRPr="00A538DD">
              <w:rPr>
                <w:sz w:val="18"/>
              </w:rPr>
              <w:t>–26</w:t>
            </w:r>
          </w:p>
        </w:tc>
        <w:tc>
          <w:tcPr>
            <w:tcW w:w="624" w:type="dxa"/>
            <w:gridSpan w:val="2"/>
          </w:tcPr>
          <w:p w14:paraId="0D0D105E" w14:textId="77777777" w:rsidR="0048679D" w:rsidRPr="00A538DD" w:rsidRDefault="0048679D">
            <w:pPr>
              <w:spacing w:before="0"/>
              <w:jc w:val="right"/>
              <w:rPr>
                <w:sz w:val="18"/>
              </w:rPr>
            </w:pPr>
          </w:p>
        </w:tc>
        <w:tc>
          <w:tcPr>
            <w:tcW w:w="510" w:type="dxa"/>
            <w:gridSpan w:val="2"/>
          </w:tcPr>
          <w:p w14:paraId="49398D7C" w14:textId="77777777" w:rsidR="0048679D" w:rsidRPr="00A538DD" w:rsidRDefault="0048679D">
            <w:pPr>
              <w:spacing w:before="0"/>
              <w:jc w:val="right"/>
              <w:rPr>
                <w:sz w:val="18"/>
              </w:rPr>
            </w:pPr>
          </w:p>
        </w:tc>
        <w:tc>
          <w:tcPr>
            <w:tcW w:w="510" w:type="dxa"/>
            <w:gridSpan w:val="2"/>
          </w:tcPr>
          <w:p w14:paraId="3FF5B5BF" w14:textId="77777777" w:rsidR="0048679D" w:rsidRPr="00A538DD" w:rsidRDefault="0048679D">
            <w:pPr>
              <w:spacing w:before="0"/>
              <w:jc w:val="right"/>
              <w:rPr>
                <w:sz w:val="18"/>
              </w:rPr>
            </w:pPr>
          </w:p>
        </w:tc>
        <w:tc>
          <w:tcPr>
            <w:tcW w:w="907" w:type="dxa"/>
            <w:gridSpan w:val="2"/>
          </w:tcPr>
          <w:p w14:paraId="504A4936" w14:textId="77777777" w:rsidR="0048679D" w:rsidRPr="00A538DD" w:rsidRDefault="0048679D">
            <w:pPr>
              <w:spacing w:before="0"/>
              <w:jc w:val="right"/>
              <w:rPr>
                <w:sz w:val="18"/>
              </w:rPr>
            </w:pPr>
            <w:r w:rsidRPr="00A538DD">
              <w:rPr>
                <w:sz w:val="18"/>
              </w:rPr>
              <w:t>12 241</w:t>
            </w:r>
          </w:p>
        </w:tc>
      </w:tr>
      <w:tr w:rsidR="00000000" w:rsidRPr="00A538DD" w14:paraId="0EA4F215" w14:textId="77777777">
        <w:tblPrEx>
          <w:tblCellMar>
            <w:top w:w="0" w:type="dxa"/>
            <w:bottom w:w="0" w:type="dxa"/>
          </w:tblCellMar>
        </w:tblPrEx>
        <w:trPr>
          <w:trHeight w:val="216"/>
        </w:trPr>
        <w:tc>
          <w:tcPr>
            <w:tcW w:w="2777" w:type="dxa"/>
          </w:tcPr>
          <w:p w14:paraId="6761D08B" w14:textId="77777777" w:rsidR="0048679D" w:rsidRPr="00A538DD" w:rsidRDefault="0048679D">
            <w:pPr>
              <w:spacing w:before="0"/>
              <w:jc w:val="left"/>
              <w:rPr>
                <w:sz w:val="18"/>
              </w:rPr>
            </w:pPr>
            <w:r w:rsidRPr="00A538DD">
              <w:rPr>
                <w:sz w:val="18"/>
              </w:rPr>
              <w:t>Banktillgodohavanden och värd</w:t>
            </w:r>
            <w:r w:rsidRPr="00A538DD">
              <w:rPr>
                <w:sz w:val="18"/>
              </w:rPr>
              <w:t>e</w:t>
            </w:r>
            <w:r w:rsidRPr="00A538DD">
              <w:rPr>
                <w:sz w:val="18"/>
              </w:rPr>
              <w:t>papper</w:t>
            </w:r>
          </w:p>
        </w:tc>
        <w:tc>
          <w:tcPr>
            <w:tcW w:w="907" w:type="dxa"/>
            <w:gridSpan w:val="2"/>
          </w:tcPr>
          <w:p w14:paraId="2E8A574A" w14:textId="77777777" w:rsidR="0048679D" w:rsidRPr="00A538DD" w:rsidRDefault="0048679D">
            <w:pPr>
              <w:spacing w:before="0"/>
              <w:jc w:val="right"/>
              <w:rPr>
                <w:sz w:val="18"/>
              </w:rPr>
            </w:pPr>
            <w:r w:rsidRPr="00A538DD">
              <w:rPr>
                <w:sz w:val="18"/>
              </w:rPr>
              <w:t>130 809</w:t>
            </w:r>
          </w:p>
        </w:tc>
        <w:tc>
          <w:tcPr>
            <w:tcW w:w="567" w:type="dxa"/>
            <w:gridSpan w:val="2"/>
          </w:tcPr>
          <w:p w14:paraId="0C436FDA" w14:textId="77777777" w:rsidR="0048679D" w:rsidRPr="00A538DD" w:rsidRDefault="0048679D">
            <w:pPr>
              <w:spacing w:before="0"/>
              <w:jc w:val="right"/>
              <w:rPr>
                <w:sz w:val="18"/>
              </w:rPr>
            </w:pPr>
            <w:r w:rsidRPr="00A538DD">
              <w:rPr>
                <w:sz w:val="18"/>
              </w:rPr>
              <w:t>–1 898</w:t>
            </w:r>
          </w:p>
        </w:tc>
        <w:tc>
          <w:tcPr>
            <w:tcW w:w="624" w:type="dxa"/>
            <w:gridSpan w:val="2"/>
          </w:tcPr>
          <w:p w14:paraId="1226B9FE" w14:textId="77777777" w:rsidR="0048679D" w:rsidRPr="00A538DD" w:rsidRDefault="0048679D">
            <w:pPr>
              <w:spacing w:before="0"/>
              <w:jc w:val="right"/>
              <w:rPr>
                <w:sz w:val="18"/>
              </w:rPr>
            </w:pPr>
          </w:p>
        </w:tc>
        <w:tc>
          <w:tcPr>
            <w:tcW w:w="510" w:type="dxa"/>
            <w:gridSpan w:val="2"/>
          </w:tcPr>
          <w:p w14:paraId="72B9F6CC" w14:textId="77777777" w:rsidR="0048679D" w:rsidRPr="00A538DD" w:rsidRDefault="0048679D">
            <w:pPr>
              <w:spacing w:before="0"/>
              <w:jc w:val="right"/>
              <w:rPr>
                <w:sz w:val="18"/>
              </w:rPr>
            </w:pPr>
            <w:r w:rsidRPr="00A538DD">
              <w:rPr>
                <w:sz w:val="18"/>
              </w:rPr>
              <w:t>120</w:t>
            </w:r>
          </w:p>
        </w:tc>
        <w:tc>
          <w:tcPr>
            <w:tcW w:w="510" w:type="dxa"/>
            <w:gridSpan w:val="2"/>
          </w:tcPr>
          <w:p w14:paraId="633DF2C8" w14:textId="77777777" w:rsidR="0048679D" w:rsidRPr="00A538DD" w:rsidRDefault="0048679D">
            <w:pPr>
              <w:spacing w:before="0"/>
              <w:jc w:val="right"/>
              <w:rPr>
                <w:sz w:val="18"/>
              </w:rPr>
            </w:pPr>
          </w:p>
        </w:tc>
        <w:tc>
          <w:tcPr>
            <w:tcW w:w="907" w:type="dxa"/>
            <w:gridSpan w:val="2"/>
          </w:tcPr>
          <w:p w14:paraId="5A97DA77" w14:textId="77777777" w:rsidR="0048679D" w:rsidRPr="00A538DD" w:rsidRDefault="0048679D">
            <w:pPr>
              <w:spacing w:before="0"/>
              <w:jc w:val="right"/>
              <w:rPr>
                <w:sz w:val="18"/>
              </w:rPr>
            </w:pPr>
            <w:r w:rsidRPr="00A538DD">
              <w:rPr>
                <w:sz w:val="18"/>
              </w:rPr>
              <w:t>129 031</w:t>
            </w:r>
          </w:p>
        </w:tc>
      </w:tr>
      <w:tr w:rsidR="00000000" w:rsidRPr="00A538DD" w14:paraId="494544ED" w14:textId="77777777">
        <w:tblPrEx>
          <w:tblCellMar>
            <w:top w:w="0" w:type="dxa"/>
            <w:bottom w:w="0" w:type="dxa"/>
          </w:tblCellMar>
        </w:tblPrEx>
        <w:trPr>
          <w:trHeight w:val="216"/>
        </w:trPr>
        <w:tc>
          <w:tcPr>
            <w:tcW w:w="2777" w:type="dxa"/>
          </w:tcPr>
          <w:p w14:paraId="68E7C3DA" w14:textId="77777777" w:rsidR="0048679D" w:rsidRPr="00A538DD" w:rsidRDefault="0048679D">
            <w:pPr>
              <w:spacing w:before="0"/>
              <w:jc w:val="left"/>
              <w:rPr>
                <w:sz w:val="18"/>
              </w:rPr>
            </w:pPr>
            <w:r w:rsidRPr="00A538DD">
              <w:rPr>
                <w:sz w:val="18"/>
              </w:rPr>
              <w:t>Huvudsakliga refinansi</w:t>
            </w:r>
            <w:r w:rsidRPr="00A538DD">
              <w:rPr>
                <w:sz w:val="18"/>
              </w:rPr>
              <w:t>e</w:t>
            </w:r>
            <w:r w:rsidRPr="00A538DD">
              <w:rPr>
                <w:sz w:val="18"/>
              </w:rPr>
              <w:t>ringstrans.</w:t>
            </w:r>
          </w:p>
        </w:tc>
        <w:tc>
          <w:tcPr>
            <w:tcW w:w="907" w:type="dxa"/>
            <w:gridSpan w:val="2"/>
          </w:tcPr>
          <w:p w14:paraId="1E517331" w14:textId="77777777" w:rsidR="0048679D" w:rsidRPr="00A538DD" w:rsidRDefault="0048679D">
            <w:pPr>
              <w:spacing w:before="0"/>
              <w:jc w:val="right"/>
              <w:rPr>
                <w:sz w:val="18"/>
              </w:rPr>
            </w:pPr>
            <w:r w:rsidRPr="00A538DD">
              <w:rPr>
                <w:sz w:val="18"/>
              </w:rPr>
              <w:t>23 826</w:t>
            </w:r>
          </w:p>
        </w:tc>
        <w:tc>
          <w:tcPr>
            <w:tcW w:w="567" w:type="dxa"/>
            <w:gridSpan w:val="2"/>
          </w:tcPr>
          <w:p w14:paraId="35BCCEFB" w14:textId="77777777" w:rsidR="0048679D" w:rsidRPr="00A538DD" w:rsidRDefault="0048679D">
            <w:pPr>
              <w:spacing w:before="0"/>
              <w:jc w:val="right"/>
              <w:rPr>
                <w:sz w:val="18"/>
              </w:rPr>
            </w:pPr>
            <w:r w:rsidRPr="00A538DD">
              <w:rPr>
                <w:sz w:val="18"/>
              </w:rPr>
              <w:t>–26</w:t>
            </w:r>
          </w:p>
        </w:tc>
        <w:tc>
          <w:tcPr>
            <w:tcW w:w="624" w:type="dxa"/>
            <w:gridSpan w:val="2"/>
          </w:tcPr>
          <w:p w14:paraId="275D4528" w14:textId="77777777" w:rsidR="0048679D" w:rsidRPr="00A538DD" w:rsidRDefault="0048679D">
            <w:pPr>
              <w:spacing w:before="0"/>
              <w:jc w:val="right"/>
              <w:rPr>
                <w:sz w:val="18"/>
              </w:rPr>
            </w:pPr>
          </w:p>
        </w:tc>
        <w:tc>
          <w:tcPr>
            <w:tcW w:w="510" w:type="dxa"/>
            <w:gridSpan w:val="2"/>
          </w:tcPr>
          <w:p w14:paraId="4032DE6E" w14:textId="77777777" w:rsidR="0048679D" w:rsidRPr="00A538DD" w:rsidRDefault="0048679D">
            <w:pPr>
              <w:spacing w:before="0"/>
              <w:jc w:val="right"/>
              <w:rPr>
                <w:sz w:val="18"/>
              </w:rPr>
            </w:pPr>
          </w:p>
        </w:tc>
        <w:tc>
          <w:tcPr>
            <w:tcW w:w="510" w:type="dxa"/>
            <w:gridSpan w:val="2"/>
          </w:tcPr>
          <w:p w14:paraId="7A8C0610" w14:textId="77777777" w:rsidR="0048679D" w:rsidRPr="00A538DD" w:rsidRDefault="0048679D">
            <w:pPr>
              <w:spacing w:before="0"/>
              <w:jc w:val="right"/>
              <w:rPr>
                <w:sz w:val="18"/>
              </w:rPr>
            </w:pPr>
          </w:p>
        </w:tc>
        <w:tc>
          <w:tcPr>
            <w:tcW w:w="907" w:type="dxa"/>
            <w:gridSpan w:val="2"/>
          </w:tcPr>
          <w:p w14:paraId="68D1876D" w14:textId="77777777" w:rsidR="0048679D" w:rsidRPr="00A538DD" w:rsidRDefault="0048679D">
            <w:pPr>
              <w:spacing w:before="0"/>
              <w:jc w:val="right"/>
              <w:rPr>
                <w:sz w:val="18"/>
              </w:rPr>
            </w:pPr>
            <w:r w:rsidRPr="00A538DD">
              <w:rPr>
                <w:sz w:val="18"/>
              </w:rPr>
              <w:t>23 800</w:t>
            </w:r>
          </w:p>
        </w:tc>
      </w:tr>
      <w:tr w:rsidR="00000000" w:rsidRPr="00A538DD" w14:paraId="503508A5" w14:textId="77777777">
        <w:tblPrEx>
          <w:tblCellMar>
            <w:top w:w="0" w:type="dxa"/>
            <w:bottom w:w="0" w:type="dxa"/>
          </w:tblCellMar>
        </w:tblPrEx>
        <w:trPr>
          <w:trHeight w:val="216"/>
        </w:trPr>
        <w:tc>
          <w:tcPr>
            <w:tcW w:w="2777" w:type="dxa"/>
          </w:tcPr>
          <w:p w14:paraId="01721A42" w14:textId="77777777" w:rsidR="0048679D" w:rsidRPr="00A538DD" w:rsidRDefault="0048679D">
            <w:pPr>
              <w:spacing w:before="0"/>
              <w:jc w:val="left"/>
              <w:rPr>
                <w:sz w:val="18"/>
              </w:rPr>
            </w:pPr>
            <w:r w:rsidRPr="00A538DD">
              <w:rPr>
                <w:sz w:val="18"/>
              </w:rPr>
              <w:t>Förutbet. kostnader och uppl. i</w:t>
            </w:r>
            <w:r w:rsidRPr="00A538DD">
              <w:rPr>
                <w:sz w:val="18"/>
              </w:rPr>
              <w:t>n</w:t>
            </w:r>
            <w:r w:rsidRPr="00A538DD">
              <w:rPr>
                <w:sz w:val="18"/>
              </w:rPr>
              <w:t>täkter</w:t>
            </w:r>
          </w:p>
        </w:tc>
        <w:tc>
          <w:tcPr>
            <w:tcW w:w="907" w:type="dxa"/>
            <w:gridSpan w:val="2"/>
          </w:tcPr>
          <w:p w14:paraId="11660782" w14:textId="77777777" w:rsidR="0048679D" w:rsidRPr="00A538DD" w:rsidRDefault="0048679D">
            <w:pPr>
              <w:spacing w:before="0"/>
              <w:jc w:val="right"/>
              <w:rPr>
                <w:sz w:val="18"/>
              </w:rPr>
            </w:pPr>
            <w:r w:rsidRPr="00A538DD">
              <w:rPr>
                <w:sz w:val="18"/>
              </w:rPr>
              <w:t>10</w:t>
            </w:r>
          </w:p>
        </w:tc>
        <w:tc>
          <w:tcPr>
            <w:tcW w:w="567" w:type="dxa"/>
            <w:gridSpan w:val="2"/>
          </w:tcPr>
          <w:p w14:paraId="123ABC2E" w14:textId="77777777" w:rsidR="0048679D" w:rsidRPr="00A538DD" w:rsidRDefault="0048679D">
            <w:pPr>
              <w:spacing w:before="0"/>
              <w:jc w:val="right"/>
              <w:rPr>
                <w:sz w:val="18"/>
              </w:rPr>
            </w:pPr>
            <w:r w:rsidRPr="00A538DD">
              <w:rPr>
                <w:sz w:val="18"/>
              </w:rPr>
              <w:t>1 995</w:t>
            </w:r>
          </w:p>
        </w:tc>
        <w:tc>
          <w:tcPr>
            <w:tcW w:w="624" w:type="dxa"/>
            <w:gridSpan w:val="2"/>
          </w:tcPr>
          <w:p w14:paraId="7251E74B" w14:textId="77777777" w:rsidR="0048679D" w:rsidRPr="00A538DD" w:rsidRDefault="0048679D">
            <w:pPr>
              <w:spacing w:before="0"/>
              <w:jc w:val="right"/>
              <w:rPr>
                <w:sz w:val="18"/>
              </w:rPr>
            </w:pPr>
          </w:p>
        </w:tc>
        <w:tc>
          <w:tcPr>
            <w:tcW w:w="510" w:type="dxa"/>
            <w:gridSpan w:val="2"/>
          </w:tcPr>
          <w:p w14:paraId="4B2321BE" w14:textId="77777777" w:rsidR="0048679D" w:rsidRPr="00A538DD" w:rsidRDefault="0048679D">
            <w:pPr>
              <w:spacing w:before="0"/>
              <w:jc w:val="right"/>
              <w:rPr>
                <w:sz w:val="18"/>
              </w:rPr>
            </w:pPr>
          </w:p>
        </w:tc>
        <w:tc>
          <w:tcPr>
            <w:tcW w:w="510" w:type="dxa"/>
            <w:gridSpan w:val="2"/>
          </w:tcPr>
          <w:p w14:paraId="1DD25110" w14:textId="77777777" w:rsidR="0048679D" w:rsidRPr="00A538DD" w:rsidRDefault="0048679D">
            <w:pPr>
              <w:spacing w:before="0"/>
              <w:jc w:val="right"/>
              <w:rPr>
                <w:sz w:val="18"/>
              </w:rPr>
            </w:pPr>
          </w:p>
        </w:tc>
        <w:tc>
          <w:tcPr>
            <w:tcW w:w="907" w:type="dxa"/>
            <w:gridSpan w:val="2"/>
          </w:tcPr>
          <w:p w14:paraId="287CA0E4" w14:textId="77777777" w:rsidR="0048679D" w:rsidRPr="00A538DD" w:rsidRDefault="0048679D">
            <w:pPr>
              <w:spacing w:before="0"/>
              <w:jc w:val="right"/>
              <w:rPr>
                <w:sz w:val="18"/>
              </w:rPr>
            </w:pPr>
            <w:r w:rsidRPr="00A538DD">
              <w:rPr>
                <w:sz w:val="18"/>
              </w:rPr>
              <w:t>2 005</w:t>
            </w:r>
          </w:p>
        </w:tc>
      </w:tr>
      <w:tr w:rsidR="00000000" w:rsidRPr="00A538DD" w14:paraId="13226395" w14:textId="77777777">
        <w:tblPrEx>
          <w:tblCellMar>
            <w:top w:w="0" w:type="dxa"/>
            <w:bottom w:w="0" w:type="dxa"/>
          </w:tblCellMar>
        </w:tblPrEx>
        <w:trPr>
          <w:trHeight w:val="216"/>
        </w:trPr>
        <w:tc>
          <w:tcPr>
            <w:tcW w:w="2777" w:type="dxa"/>
          </w:tcPr>
          <w:p w14:paraId="1D99762A" w14:textId="77777777" w:rsidR="0048679D" w:rsidRPr="00A538DD" w:rsidRDefault="0048679D">
            <w:pPr>
              <w:spacing w:before="0"/>
              <w:jc w:val="left"/>
              <w:rPr>
                <w:sz w:val="18"/>
              </w:rPr>
            </w:pPr>
            <w:r w:rsidRPr="00A538DD">
              <w:rPr>
                <w:sz w:val="18"/>
              </w:rPr>
              <w:t>Fondlikvidfordringar</w:t>
            </w:r>
          </w:p>
        </w:tc>
        <w:tc>
          <w:tcPr>
            <w:tcW w:w="907" w:type="dxa"/>
            <w:gridSpan w:val="2"/>
          </w:tcPr>
          <w:p w14:paraId="2356E308" w14:textId="77777777" w:rsidR="0048679D" w:rsidRPr="00A538DD" w:rsidRDefault="0048679D">
            <w:pPr>
              <w:spacing w:before="0"/>
              <w:jc w:val="right"/>
              <w:rPr>
                <w:sz w:val="18"/>
              </w:rPr>
            </w:pPr>
            <w:r w:rsidRPr="00A538DD">
              <w:rPr>
                <w:sz w:val="18"/>
              </w:rPr>
              <w:t>193</w:t>
            </w:r>
          </w:p>
        </w:tc>
        <w:tc>
          <w:tcPr>
            <w:tcW w:w="567" w:type="dxa"/>
            <w:gridSpan w:val="2"/>
          </w:tcPr>
          <w:p w14:paraId="57505F1B" w14:textId="77777777" w:rsidR="0048679D" w:rsidRPr="00A538DD" w:rsidRDefault="0048679D">
            <w:pPr>
              <w:spacing w:before="0"/>
              <w:jc w:val="right"/>
              <w:rPr>
                <w:sz w:val="18"/>
              </w:rPr>
            </w:pPr>
          </w:p>
        </w:tc>
        <w:tc>
          <w:tcPr>
            <w:tcW w:w="624" w:type="dxa"/>
            <w:gridSpan w:val="2"/>
          </w:tcPr>
          <w:p w14:paraId="415D674D" w14:textId="77777777" w:rsidR="0048679D" w:rsidRPr="00A538DD" w:rsidRDefault="0048679D">
            <w:pPr>
              <w:spacing w:before="0"/>
              <w:jc w:val="right"/>
              <w:rPr>
                <w:sz w:val="18"/>
              </w:rPr>
            </w:pPr>
          </w:p>
        </w:tc>
        <w:tc>
          <w:tcPr>
            <w:tcW w:w="510" w:type="dxa"/>
            <w:gridSpan w:val="2"/>
          </w:tcPr>
          <w:p w14:paraId="3750BC4E" w14:textId="77777777" w:rsidR="0048679D" w:rsidRPr="00A538DD" w:rsidRDefault="0048679D">
            <w:pPr>
              <w:spacing w:before="0"/>
              <w:jc w:val="right"/>
              <w:rPr>
                <w:sz w:val="18"/>
              </w:rPr>
            </w:pPr>
            <w:r w:rsidRPr="00A538DD">
              <w:rPr>
                <w:sz w:val="18"/>
              </w:rPr>
              <w:t>–193</w:t>
            </w:r>
          </w:p>
        </w:tc>
        <w:tc>
          <w:tcPr>
            <w:tcW w:w="510" w:type="dxa"/>
            <w:gridSpan w:val="2"/>
          </w:tcPr>
          <w:p w14:paraId="2F54D32E" w14:textId="77777777" w:rsidR="0048679D" w:rsidRPr="00A538DD" w:rsidRDefault="0048679D">
            <w:pPr>
              <w:spacing w:before="0"/>
              <w:jc w:val="right"/>
              <w:rPr>
                <w:sz w:val="18"/>
              </w:rPr>
            </w:pPr>
          </w:p>
        </w:tc>
        <w:tc>
          <w:tcPr>
            <w:tcW w:w="907" w:type="dxa"/>
            <w:gridSpan w:val="2"/>
          </w:tcPr>
          <w:p w14:paraId="64365331" w14:textId="77777777" w:rsidR="0048679D" w:rsidRPr="00A538DD" w:rsidRDefault="0048679D">
            <w:pPr>
              <w:spacing w:before="0"/>
              <w:jc w:val="right"/>
              <w:rPr>
                <w:sz w:val="18"/>
              </w:rPr>
            </w:pPr>
            <w:r w:rsidRPr="00A538DD">
              <w:rPr>
                <w:sz w:val="18"/>
              </w:rPr>
              <w:t>–</w:t>
            </w:r>
          </w:p>
        </w:tc>
      </w:tr>
      <w:tr w:rsidR="00000000" w:rsidRPr="00A538DD" w14:paraId="10B280A9" w14:textId="77777777">
        <w:tblPrEx>
          <w:tblCellMar>
            <w:top w:w="0" w:type="dxa"/>
            <w:bottom w:w="0" w:type="dxa"/>
          </w:tblCellMar>
        </w:tblPrEx>
        <w:trPr>
          <w:cantSplit/>
          <w:trHeight w:val="216"/>
        </w:trPr>
        <w:tc>
          <w:tcPr>
            <w:tcW w:w="2777" w:type="dxa"/>
          </w:tcPr>
          <w:p w14:paraId="29530A5F" w14:textId="77777777" w:rsidR="0048679D" w:rsidRPr="00A538DD" w:rsidRDefault="0048679D">
            <w:pPr>
              <w:spacing w:before="0"/>
              <w:jc w:val="left"/>
              <w:rPr>
                <w:sz w:val="18"/>
              </w:rPr>
            </w:pPr>
            <w:r w:rsidRPr="00A538DD">
              <w:rPr>
                <w:sz w:val="18"/>
              </w:rPr>
              <w:t>Övriga tillgångar</w:t>
            </w:r>
          </w:p>
        </w:tc>
        <w:tc>
          <w:tcPr>
            <w:tcW w:w="907" w:type="dxa"/>
            <w:gridSpan w:val="2"/>
            <w:tcBorders>
              <w:bottom w:val="single" w:sz="4" w:space="0" w:color="auto"/>
            </w:tcBorders>
          </w:tcPr>
          <w:p w14:paraId="71C19DAC" w14:textId="77777777" w:rsidR="0048679D" w:rsidRPr="00A538DD" w:rsidRDefault="0048679D">
            <w:pPr>
              <w:spacing w:before="0"/>
              <w:jc w:val="right"/>
              <w:rPr>
                <w:sz w:val="18"/>
              </w:rPr>
            </w:pPr>
            <w:r w:rsidRPr="00A538DD">
              <w:rPr>
                <w:sz w:val="18"/>
              </w:rPr>
              <w:t>336</w:t>
            </w:r>
          </w:p>
        </w:tc>
        <w:tc>
          <w:tcPr>
            <w:tcW w:w="567" w:type="dxa"/>
            <w:gridSpan w:val="2"/>
            <w:tcBorders>
              <w:bottom w:val="single" w:sz="4" w:space="0" w:color="auto"/>
            </w:tcBorders>
          </w:tcPr>
          <w:p w14:paraId="2BCAD469" w14:textId="77777777" w:rsidR="0048679D" w:rsidRPr="00A538DD" w:rsidRDefault="0048679D">
            <w:pPr>
              <w:spacing w:before="0"/>
              <w:jc w:val="right"/>
              <w:rPr>
                <w:sz w:val="18"/>
              </w:rPr>
            </w:pPr>
            <w:r w:rsidRPr="00A538DD">
              <w:rPr>
                <w:sz w:val="18"/>
              </w:rPr>
              <w:t>–45</w:t>
            </w:r>
          </w:p>
        </w:tc>
        <w:tc>
          <w:tcPr>
            <w:tcW w:w="624" w:type="dxa"/>
            <w:gridSpan w:val="2"/>
            <w:tcBorders>
              <w:bottom w:val="single" w:sz="4" w:space="0" w:color="auto"/>
            </w:tcBorders>
          </w:tcPr>
          <w:p w14:paraId="1F437C9D" w14:textId="77777777" w:rsidR="0048679D" w:rsidRPr="00A538DD" w:rsidRDefault="0048679D">
            <w:pPr>
              <w:spacing w:before="0"/>
              <w:jc w:val="right"/>
              <w:rPr>
                <w:sz w:val="18"/>
              </w:rPr>
            </w:pPr>
          </w:p>
        </w:tc>
        <w:tc>
          <w:tcPr>
            <w:tcW w:w="510" w:type="dxa"/>
            <w:gridSpan w:val="2"/>
            <w:tcBorders>
              <w:bottom w:val="single" w:sz="4" w:space="0" w:color="auto"/>
            </w:tcBorders>
          </w:tcPr>
          <w:p w14:paraId="7B105CE9" w14:textId="77777777" w:rsidR="0048679D" w:rsidRPr="00A538DD" w:rsidRDefault="0048679D">
            <w:pPr>
              <w:spacing w:before="0"/>
              <w:jc w:val="right"/>
              <w:rPr>
                <w:sz w:val="18"/>
              </w:rPr>
            </w:pPr>
          </w:p>
        </w:tc>
        <w:tc>
          <w:tcPr>
            <w:tcW w:w="510" w:type="dxa"/>
            <w:gridSpan w:val="2"/>
            <w:tcBorders>
              <w:bottom w:val="single" w:sz="4" w:space="0" w:color="auto"/>
            </w:tcBorders>
          </w:tcPr>
          <w:p w14:paraId="3DC95A98" w14:textId="77777777" w:rsidR="0048679D" w:rsidRPr="00A538DD" w:rsidRDefault="0048679D">
            <w:pPr>
              <w:spacing w:before="0"/>
              <w:jc w:val="right"/>
              <w:rPr>
                <w:sz w:val="18"/>
              </w:rPr>
            </w:pPr>
          </w:p>
        </w:tc>
        <w:tc>
          <w:tcPr>
            <w:tcW w:w="907" w:type="dxa"/>
            <w:gridSpan w:val="2"/>
            <w:tcBorders>
              <w:bottom w:val="single" w:sz="4" w:space="0" w:color="auto"/>
            </w:tcBorders>
          </w:tcPr>
          <w:p w14:paraId="70A54E1C" w14:textId="77777777" w:rsidR="0048679D" w:rsidRPr="00A538DD" w:rsidRDefault="0048679D">
            <w:pPr>
              <w:spacing w:before="0"/>
              <w:jc w:val="right"/>
              <w:rPr>
                <w:sz w:val="18"/>
              </w:rPr>
            </w:pPr>
            <w:r w:rsidRPr="00A538DD">
              <w:rPr>
                <w:sz w:val="18"/>
              </w:rPr>
              <w:t>291</w:t>
            </w:r>
          </w:p>
        </w:tc>
      </w:tr>
      <w:tr w:rsidR="00000000" w:rsidRPr="00A538DD" w14:paraId="41E741DF" w14:textId="77777777">
        <w:tblPrEx>
          <w:tblCellMar>
            <w:top w:w="0" w:type="dxa"/>
            <w:bottom w:w="0" w:type="dxa"/>
          </w:tblCellMar>
        </w:tblPrEx>
        <w:trPr>
          <w:trHeight w:val="216"/>
        </w:trPr>
        <w:tc>
          <w:tcPr>
            <w:tcW w:w="2777" w:type="dxa"/>
          </w:tcPr>
          <w:p w14:paraId="2AFE89DE" w14:textId="77777777" w:rsidR="0048679D" w:rsidRPr="00A538DD" w:rsidRDefault="0048679D">
            <w:pPr>
              <w:spacing w:before="0"/>
              <w:jc w:val="left"/>
              <w:rPr>
                <w:sz w:val="18"/>
              </w:rPr>
            </w:pPr>
            <w:r w:rsidRPr="00A538DD">
              <w:rPr>
                <w:sz w:val="18"/>
              </w:rPr>
              <w:t>Summa</w:t>
            </w:r>
          </w:p>
        </w:tc>
        <w:tc>
          <w:tcPr>
            <w:tcW w:w="907" w:type="dxa"/>
            <w:gridSpan w:val="2"/>
            <w:tcBorders>
              <w:top w:val="single" w:sz="4" w:space="0" w:color="auto"/>
            </w:tcBorders>
          </w:tcPr>
          <w:p w14:paraId="01FBE584" w14:textId="77777777" w:rsidR="0048679D" w:rsidRPr="00A538DD" w:rsidRDefault="0048679D">
            <w:pPr>
              <w:spacing w:before="0"/>
              <w:jc w:val="right"/>
              <w:rPr>
                <w:sz w:val="18"/>
              </w:rPr>
            </w:pPr>
            <w:r w:rsidRPr="00A538DD">
              <w:rPr>
                <w:sz w:val="18"/>
              </w:rPr>
              <w:t>167 441</w:t>
            </w:r>
          </w:p>
        </w:tc>
        <w:tc>
          <w:tcPr>
            <w:tcW w:w="567" w:type="dxa"/>
            <w:gridSpan w:val="2"/>
            <w:tcBorders>
              <w:top w:val="single" w:sz="4" w:space="0" w:color="auto"/>
            </w:tcBorders>
          </w:tcPr>
          <w:p w14:paraId="37A0A097" w14:textId="77777777" w:rsidR="0048679D" w:rsidRPr="00A538DD" w:rsidRDefault="0048679D">
            <w:pPr>
              <w:spacing w:before="0"/>
              <w:jc w:val="right"/>
              <w:rPr>
                <w:sz w:val="18"/>
              </w:rPr>
            </w:pPr>
            <w:r w:rsidRPr="00A538DD">
              <w:rPr>
                <w:sz w:val="18"/>
              </w:rPr>
              <w:t>0</w:t>
            </w:r>
          </w:p>
        </w:tc>
        <w:tc>
          <w:tcPr>
            <w:tcW w:w="624" w:type="dxa"/>
            <w:gridSpan w:val="2"/>
            <w:tcBorders>
              <w:top w:val="single" w:sz="4" w:space="0" w:color="auto"/>
            </w:tcBorders>
          </w:tcPr>
          <w:p w14:paraId="283D9E12" w14:textId="77777777" w:rsidR="0048679D" w:rsidRPr="00A538DD" w:rsidRDefault="0048679D">
            <w:pPr>
              <w:spacing w:before="0"/>
              <w:jc w:val="right"/>
              <w:rPr>
                <w:sz w:val="18"/>
              </w:rPr>
            </w:pPr>
          </w:p>
        </w:tc>
        <w:tc>
          <w:tcPr>
            <w:tcW w:w="510" w:type="dxa"/>
            <w:gridSpan w:val="2"/>
            <w:tcBorders>
              <w:top w:val="single" w:sz="4" w:space="0" w:color="auto"/>
            </w:tcBorders>
          </w:tcPr>
          <w:p w14:paraId="5EE5E185" w14:textId="77777777" w:rsidR="0048679D" w:rsidRPr="00A538DD" w:rsidRDefault="0048679D">
            <w:pPr>
              <w:spacing w:before="0"/>
              <w:jc w:val="right"/>
              <w:rPr>
                <w:sz w:val="18"/>
              </w:rPr>
            </w:pPr>
            <w:r w:rsidRPr="00A538DD">
              <w:rPr>
                <w:sz w:val="18"/>
              </w:rPr>
              <w:t>–73</w:t>
            </w:r>
          </w:p>
        </w:tc>
        <w:tc>
          <w:tcPr>
            <w:tcW w:w="510" w:type="dxa"/>
            <w:gridSpan w:val="2"/>
            <w:tcBorders>
              <w:top w:val="single" w:sz="4" w:space="0" w:color="auto"/>
            </w:tcBorders>
          </w:tcPr>
          <w:p w14:paraId="34098202" w14:textId="77777777" w:rsidR="0048679D" w:rsidRPr="00A538DD" w:rsidRDefault="0048679D">
            <w:pPr>
              <w:spacing w:before="0"/>
              <w:jc w:val="right"/>
              <w:rPr>
                <w:sz w:val="18"/>
              </w:rPr>
            </w:pPr>
          </w:p>
        </w:tc>
        <w:tc>
          <w:tcPr>
            <w:tcW w:w="907" w:type="dxa"/>
            <w:gridSpan w:val="2"/>
            <w:tcBorders>
              <w:top w:val="single" w:sz="4" w:space="0" w:color="auto"/>
            </w:tcBorders>
          </w:tcPr>
          <w:p w14:paraId="6BCD66A2" w14:textId="77777777" w:rsidR="0048679D" w:rsidRPr="00A538DD" w:rsidRDefault="0048679D">
            <w:pPr>
              <w:spacing w:before="0"/>
              <w:jc w:val="right"/>
              <w:rPr>
                <w:sz w:val="18"/>
              </w:rPr>
            </w:pPr>
            <w:r w:rsidRPr="00A538DD">
              <w:rPr>
                <w:sz w:val="18"/>
              </w:rPr>
              <w:t>167 368</w:t>
            </w:r>
          </w:p>
        </w:tc>
      </w:tr>
      <w:tr w:rsidR="00000000" w:rsidRPr="00A538DD" w14:paraId="55914D65" w14:textId="77777777">
        <w:tblPrEx>
          <w:tblCellMar>
            <w:top w:w="0" w:type="dxa"/>
            <w:bottom w:w="0" w:type="dxa"/>
          </w:tblCellMar>
        </w:tblPrEx>
        <w:trPr>
          <w:cantSplit/>
          <w:trHeight w:val="216"/>
        </w:trPr>
        <w:tc>
          <w:tcPr>
            <w:tcW w:w="3714" w:type="dxa"/>
            <w:gridSpan w:val="4"/>
          </w:tcPr>
          <w:p w14:paraId="5FD6ECF0" w14:textId="77777777" w:rsidR="0048679D" w:rsidRPr="00A538DD" w:rsidRDefault="0048679D">
            <w:pPr>
              <w:spacing w:before="0"/>
              <w:jc w:val="left"/>
              <w:rPr>
                <w:b/>
                <w:sz w:val="18"/>
              </w:rPr>
            </w:pPr>
            <w:r w:rsidRPr="00A538DD">
              <w:rPr>
                <w:b/>
                <w:sz w:val="18"/>
              </w:rPr>
              <w:t>Skuldposter och eget kapita</w:t>
            </w:r>
            <w:r w:rsidRPr="00A538DD">
              <w:rPr>
                <w:b/>
                <w:sz w:val="18"/>
              </w:rPr>
              <w:t>l</w:t>
            </w:r>
            <w:r w:rsidRPr="00A538DD">
              <w:rPr>
                <w:b/>
                <w:sz w:val="18"/>
              </w:rPr>
              <w:t>-poster</w:t>
            </w:r>
          </w:p>
        </w:tc>
        <w:tc>
          <w:tcPr>
            <w:tcW w:w="567" w:type="dxa"/>
            <w:gridSpan w:val="2"/>
          </w:tcPr>
          <w:p w14:paraId="534CA6BA" w14:textId="77777777" w:rsidR="0048679D" w:rsidRPr="00A538DD" w:rsidRDefault="0048679D">
            <w:pPr>
              <w:spacing w:before="0"/>
              <w:jc w:val="right"/>
              <w:rPr>
                <w:b/>
                <w:sz w:val="18"/>
              </w:rPr>
            </w:pPr>
          </w:p>
        </w:tc>
        <w:tc>
          <w:tcPr>
            <w:tcW w:w="680" w:type="dxa"/>
            <w:gridSpan w:val="2"/>
          </w:tcPr>
          <w:p w14:paraId="3EA50ADB" w14:textId="77777777" w:rsidR="0048679D" w:rsidRPr="00A538DD" w:rsidRDefault="0048679D">
            <w:pPr>
              <w:spacing w:before="0"/>
              <w:jc w:val="right"/>
              <w:rPr>
                <w:b/>
                <w:sz w:val="18"/>
              </w:rPr>
            </w:pPr>
          </w:p>
        </w:tc>
        <w:tc>
          <w:tcPr>
            <w:tcW w:w="510" w:type="dxa"/>
            <w:gridSpan w:val="2"/>
          </w:tcPr>
          <w:p w14:paraId="5C9E52DE" w14:textId="77777777" w:rsidR="0048679D" w:rsidRPr="00A538DD" w:rsidRDefault="0048679D">
            <w:pPr>
              <w:spacing w:before="0"/>
              <w:jc w:val="right"/>
              <w:rPr>
                <w:b/>
                <w:sz w:val="18"/>
              </w:rPr>
            </w:pPr>
          </w:p>
        </w:tc>
        <w:tc>
          <w:tcPr>
            <w:tcW w:w="510" w:type="dxa"/>
            <w:gridSpan w:val="2"/>
          </w:tcPr>
          <w:p w14:paraId="40DDEA49" w14:textId="77777777" w:rsidR="0048679D" w:rsidRPr="00A538DD" w:rsidRDefault="0048679D">
            <w:pPr>
              <w:spacing w:before="0"/>
              <w:jc w:val="right"/>
              <w:rPr>
                <w:b/>
                <w:sz w:val="18"/>
              </w:rPr>
            </w:pPr>
          </w:p>
        </w:tc>
        <w:tc>
          <w:tcPr>
            <w:tcW w:w="824" w:type="dxa"/>
          </w:tcPr>
          <w:p w14:paraId="1C71D1FB" w14:textId="77777777" w:rsidR="0048679D" w:rsidRPr="00A538DD" w:rsidRDefault="0048679D">
            <w:pPr>
              <w:spacing w:before="0"/>
              <w:jc w:val="right"/>
              <w:rPr>
                <w:b/>
                <w:sz w:val="18"/>
              </w:rPr>
            </w:pPr>
          </w:p>
        </w:tc>
      </w:tr>
      <w:tr w:rsidR="00000000" w:rsidRPr="00A538DD" w14:paraId="21E8933F" w14:textId="77777777">
        <w:tblPrEx>
          <w:tblCellMar>
            <w:top w:w="0" w:type="dxa"/>
            <w:bottom w:w="0" w:type="dxa"/>
          </w:tblCellMar>
        </w:tblPrEx>
        <w:trPr>
          <w:trHeight w:val="216"/>
        </w:trPr>
        <w:tc>
          <w:tcPr>
            <w:tcW w:w="2807" w:type="dxa"/>
            <w:gridSpan w:val="2"/>
          </w:tcPr>
          <w:p w14:paraId="4252F2E8" w14:textId="77777777" w:rsidR="0048679D" w:rsidRPr="00A538DD" w:rsidRDefault="0048679D">
            <w:pPr>
              <w:spacing w:before="0"/>
              <w:rPr>
                <w:sz w:val="18"/>
              </w:rPr>
            </w:pPr>
            <w:r w:rsidRPr="00A538DD">
              <w:rPr>
                <w:sz w:val="18"/>
              </w:rPr>
              <w:t xml:space="preserve">Motpost till SDR som tilldelats av IMF </w:t>
            </w:r>
          </w:p>
        </w:tc>
        <w:tc>
          <w:tcPr>
            <w:tcW w:w="907" w:type="dxa"/>
            <w:gridSpan w:val="2"/>
          </w:tcPr>
          <w:p w14:paraId="033D989C" w14:textId="77777777" w:rsidR="0048679D" w:rsidRPr="00A538DD" w:rsidRDefault="0048679D">
            <w:pPr>
              <w:spacing w:before="0"/>
              <w:jc w:val="right"/>
              <w:rPr>
                <w:sz w:val="18"/>
              </w:rPr>
            </w:pPr>
            <w:r w:rsidRPr="00A538DD">
              <w:rPr>
                <w:sz w:val="18"/>
              </w:rPr>
              <w:t>2 654</w:t>
            </w:r>
          </w:p>
        </w:tc>
        <w:tc>
          <w:tcPr>
            <w:tcW w:w="567" w:type="dxa"/>
            <w:gridSpan w:val="2"/>
          </w:tcPr>
          <w:p w14:paraId="6D14427B" w14:textId="77777777" w:rsidR="0048679D" w:rsidRPr="00A538DD" w:rsidRDefault="0048679D">
            <w:pPr>
              <w:spacing w:before="0"/>
              <w:jc w:val="right"/>
              <w:rPr>
                <w:sz w:val="18"/>
              </w:rPr>
            </w:pPr>
            <w:r w:rsidRPr="00A538DD">
              <w:rPr>
                <w:sz w:val="18"/>
              </w:rPr>
              <w:t>–7</w:t>
            </w:r>
          </w:p>
        </w:tc>
        <w:tc>
          <w:tcPr>
            <w:tcW w:w="680" w:type="dxa"/>
            <w:gridSpan w:val="2"/>
          </w:tcPr>
          <w:p w14:paraId="3D47502A" w14:textId="77777777" w:rsidR="0048679D" w:rsidRPr="00A538DD" w:rsidRDefault="0048679D">
            <w:pPr>
              <w:spacing w:before="0"/>
              <w:jc w:val="right"/>
              <w:rPr>
                <w:sz w:val="18"/>
              </w:rPr>
            </w:pPr>
          </w:p>
        </w:tc>
        <w:tc>
          <w:tcPr>
            <w:tcW w:w="510" w:type="dxa"/>
            <w:gridSpan w:val="2"/>
          </w:tcPr>
          <w:p w14:paraId="73DB1FD0" w14:textId="77777777" w:rsidR="0048679D" w:rsidRPr="00A538DD" w:rsidRDefault="0048679D">
            <w:pPr>
              <w:spacing w:before="0"/>
              <w:jc w:val="right"/>
              <w:rPr>
                <w:sz w:val="18"/>
              </w:rPr>
            </w:pPr>
          </w:p>
        </w:tc>
        <w:tc>
          <w:tcPr>
            <w:tcW w:w="510" w:type="dxa"/>
            <w:gridSpan w:val="2"/>
          </w:tcPr>
          <w:p w14:paraId="3860767C" w14:textId="77777777" w:rsidR="0048679D" w:rsidRPr="00A538DD" w:rsidRDefault="0048679D">
            <w:pPr>
              <w:spacing w:before="0"/>
              <w:jc w:val="right"/>
              <w:rPr>
                <w:sz w:val="18"/>
              </w:rPr>
            </w:pPr>
          </w:p>
        </w:tc>
        <w:tc>
          <w:tcPr>
            <w:tcW w:w="824" w:type="dxa"/>
          </w:tcPr>
          <w:p w14:paraId="67AE39B4" w14:textId="77777777" w:rsidR="0048679D" w:rsidRPr="00A538DD" w:rsidRDefault="0048679D">
            <w:pPr>
              <w:spacing w:before="0"/>
              <w:jc w:val="right"/>
              <w:rPr>
                <w:sz w:val="18"/>
              </w:rPr>
            </w:pPr>
            <w:r w:rsidRPr="00A538DD">
              <w:rPr>
                <w:sz w:val="18"/>
              </w:rPr>
              <w:t>2 647</w:t>
            </w:r>
          </w:p>
        </w:tc>
      </w:tr>
      <w:tr w:rsidR="00000000" w:rsidRPr="00A538DD" w14:paraId="73152DCF" w14:textId="77777777">
        <w:tblPrEx>
          <w:tblCellMar>
            <w:top w:w="0" w:type="dxa"/>
            <w:bottom w:w="0" w:type="dxa"/>
          </w:tblCellMar>
        </w:tblPrEx>
        <w:trPr>
          <w:trHeight w:val="216"/>
        </w:trPr>
        <w:tc>
          <w:tcPr>
            <w:tcW w:w="2807" w:type="dxa"/>
            <w:gridSpan w:val="2"/>
          </w:tcPr>
          <w:p w14:paraId="72659E17" w14:textId="77777777" w:rsidR="0048679D" w:rsidRPr="00A538DD" w:rsidRDefault="0048679D">
            <w:pPr>
              <w:spacing w:before="0"/>
              <w:jc w:val="left"/>
              <w:rPr>
                <w:sz w:val="18"/>
              </w:rPr>
            </w:pPr>
            <w:r w:rsidRPr="00A538DD">
              <w:rPr>
                <w:sz w:val="18"/>
              </w:rPr>
              <w:t xml:space="preserve">Uppl. kostnader och förutbet. </w:t>
            </w:r>
            <w:r w:rsidRPr="00A538DD">
              <w:rPr>
                <w:sz w:val="18"/>
              </w:rPr>
              <w:br/>
              <w:t>intä</w:t>
            </w:r>
            <w:r w:rsidRPr="00A538DD">
              <w:rPr>
                <w:sz w:val="18"/>
              </w:rPr>
              <w:t>k</w:t>
            </w:r>
            <w:r w:rsidRPr="00A538DD">
              <w:rPr>
                <w:sz w:val="18"/>
              </w:rPr>
              <w:t>ter</w:t>
            </w:r>
          </w:p>
        </w:tc>
        <w:tc>
          <w:tcPr>
            <w:tcW w:w="907" w:type="dxa"/>
            <w:gridSpan w:val="2"/>
          </w:tcPr>
          <w:p w14:paraId="3F6EE020" w14:textId="77777777" w:rsidR="0048679D" w:rsidRPr="00A538DD" w:rsidRDefault="0048679D">
            <w:pPr>
              <w:spacing w:before="0"/>
              <w:jc w:val="right"/>
              <w:rPr>
                <w:sz w:val="18"/>
              </w:rPr>
            </w:pPr>
            <w:r w:rsidRPr="00A538DD">
              <w:rPr>
                <w:sz w:val="18"/>
              </w:rPr>
              <w:t>6</w:t>
            </w:r>
          </w:p>
        </w:tc>
        <w:tc>
          <w:tcPr>
            <w:tcW w:w="567" w:type="dxa"/>
            <w:gridSpan w:val="2"/>
          </w:tcPr>
          <w:p w14:paraId="1B990A90" w14:textId="77777777" w:rsidR="0048679D" w:rsidRPr="00A538DD" w:rsidRDefault="0048679D">
            <w:pPr>
              <w:spacing w:before="0"/>
              <w:jc w:val="right"/>
              <w:rPr>
                <w:sz w:val="18"/>
              </w:rPr>
            </w:pPr>
            <w:r w:rsidRPr="00A538DD">
              <w:rPr>
                <w:sz w:val="18"/>
              </w:rPr>
              <w:t>7</w:t>
            </w:r>
          </w:p>
        </w:tc>
        <w:tc>
          <w:tcPr>
            <w:tcW w:w="680" w:type="dxa"/>
            <w:gridSpan w:val="2"/>
          </w:tcPr>
          <w:p w14:paraId="5936EF1B" w14:textId="77777777" w:rsidR="0048679D" w:rsidRPr="00A538DD" w:rsidRDefault="0048679D">
            <w:pPr>
              <w:spacing w:before="0"/>
              <w:jc w:val="right"/>
              <w:rPr>
                <w:sz w:val="18"/>
              </w:rPr>
            </w:pPr>
          </w:p>
        </w:tc>
        <w:tc>
          <w:tcPr>
            <w:tcW w:w="510" w:type="dxa"/>
            <w:gridSpan w:val="2"/>
          </w:tcPr>
          <w:p w14:paraId="2B7FD2E0" w14:textId="77777777" w:rsidR="0048679D" w:rsidRPr="00A538DD" w:rsidRDefault="0048679D">
            <w:pPr>
              <w:spacing w:before="0"/>
              <w:jc w:val="right"/>
              <w:rPr>
                <w:sz w:val="18"/>
              </w:rPr>
            </w:pPr>
          </w:p>
        </w:tc>
        <w:tc>
          <w:tcPr>
            <w:tcW w:w="510" w:type="dxa"/>
            <w:gridSpan w:val="2"/>
          </w:tcPr>
          <w:p w14:paraId="61C99CB6" w14:textId="77777777" w:rsidR="0048679D" w:rsidRPr="00A538DD" w:rsidRDefault="0048679D">
            <w:pPr>
              <w:spacing w:before="0"/>
              <w:jc w:val="right"/>
              <w:rPr>
                <w:sz w:val="18"/>
              </w:rPr>
            </w:pPr>
            <w:r w:rsidRPr="00A538DD">
              <w:rPr>
                <w:sz w:val="18"/>
              </w:rPr>
              <w:t>68</w:t>
            </w:r>
          </w:p>
        </w:tc>
        <w:tc>
          <w:tcPr>
            <w:tcW w:w="824" w:type="dxa"/>
          </w:tcPr>
          <w:p w14:paraId="0E8DDAF2" w14:textId="77777777" w:rsidR="0048679D" w:rsidRPr="00A538DD" w:rsidRDefault="0048679D">
            <w:pPr>
              <w:spacing w:before="0"/>
              <w:jc w:val="right"/>
              <w:rPr>
                <w:sz w:val="18"/>
              </w:rPr>
            </w:pPr>
            <w:r w:rsidRPr="00A538DD">
              <w:rPr>
                <w:sz w:val="18"/>
              </w:rPr>
              <w:t>81</w:t>
            </w:r>
          </w:p>
        </w:tc>
      </w:tr>
      <w:tr w:rsidR="00000000" w:rsidRPr="00A538DD" w14:paraId="4187E28B" w14:textId="77777777">
        <w:tblPrEx>
          <w:tblCellMar>
            <w:top w:w="0" w:type="dxa"/>
            <w:bottom w:w="0" w:type="dxa"/>
          </w:tblCellMar>
        </w:tblPrEx>
        <w:trPr>
          <w:trHeight w:val="216"/>
        </w:trPr>
        <w:tc>
          <w:tcPr>
            <w:tcW w:w="2807" w:type="dxa"/>
            <w:gridSpan w:val="2"/>
          </w:tcPr>
          <w:p w14:paraId="0E8B4B60" w14:textId="77777777" w:rsidR="0048679D" w:rsidRPr="00A538DD" w:rsidRDefault="0048679D">
            <w:pPr>
              <w:spacing w:before="0"/>
              <w:rPr>
                <w:sz w:val="18"/>
              </w:rPr>
            </w:pPr>
            <w:r w:rsidRPr="00A538DD">
              <w:rPr>
                <w:sz w:val="18"/>
              </w:rPr>
              <w:t>Fondlikvidskulder</w:t>
            </w:r>
          </w:p>
        </w:tc>
        <w:tc>
          <w:tcPr>
            <w:tcW w:w="907" w:type="dxa"/>
            <w:gridSpan w:val="2"/>
          </w:tcPr>
          <w:p w14:paraId="10D74804" w14:textId="77777777" w:rsidR="0048679D" w:rsidRPr="00A538DD" w:rsidRDefault="0048679D">
            <w:pPr>
              <w:spacing w:before="0"/>
              <w:jc w:val="right"/>
              <w:rPr>
                <w:sz w:val="18"/>
              </w:rPr>
            </w:pPr>
            <w:r w:rsidRPr="00A538DD">
              <w:rPr>
                <w:sz w:val="18"/>
              </w:rPr>
              <w:t>73</w:t>
            </w:r>
          </w:p>
        </w:tc>
        <w:tc>
          <w:tcPr>
            <w:tcW w:w="567" w:type="dxa"/>
            <w:gridSpan w:val="2"/>
          </w:tcPr>
          <w:p w14:paraId="2DF28663" w14:textId="77777777" w:rsidR="0048679D" w:rsidRPr="00A538DD" w:rsidRDefault="0048679D">
            <w:pPr>
              <w:spacing w:before="0"/>
              <w:jc w:val="right"/>
              <w:rPr>
                <w:sz w:val="18"/>
              </w:rPr>
            </w:pPr>
          </w:p>
        </w:tc>
        <w:tc>
          <w:tcPr>
            <w:tcW w:w="680" w:type="dxa"/>
            <w:gridSpan w:val="2"/>
          </w:tcPr>
          <w:p w14:paraId="4C1A6200" w14:textId="77777777" w:rsidR="0048679D" w:rsidRPr="00A538DD" w:rsidRDefault="0048679D">
            <w:pPr>
              <w:spacing w:before="0"/>
              <w:jc w:val="right"/>
              <w:rPr>
                <w:sz w:val="18"/>
              </w:rPr>
            </w:pPr>
          </w:p>
        </w:tc>
        <w:tc>
          <w:tcPr>
            <w:tcW w:w="510" w:type="dxa"/>
            <w:gridSpan w:val="2"/>
          </w:tcPr>
          <w:p w14:paraId="2B2E7244" w14:textId="77777777" w:rsidR="0048679D" w:rsidRPr="00A538DD" w:rsidRDefault="0048679D">
            <w:pPr>
              <w:spacing w:before="0"/>
              <w:jc w:val="right"/>
              <w:rPr>
                <w:sz w:val="18"/>
              </w:rPr>
            </w:pPr>
            <w:r w:rsidRPr="00A538DD">
              <w:rPr>
                <w:sz w:val="18"/>
              </w:rPr>
              <w:t>–73</w:t>
            </w:r>
          </w:p>
        </w:tc>
        <w:tc>
          <w:tcPr>
            <w:tcW w:w="510" w:type="dxa"/>
            <w:gridSpan w:val="2"/>
          </w:tcPr>
          <w:p w14:paraId="2FE2737F" w14:textId="77777777" w:rsidR="0048679D" w:rsidRPr="00A538DD" w:rsidRDefault="0048679D">
            <w:pPr>
              <w:spacing w:before="0"/>
              <w:jc w:val="right"/>
              <w:rPr>
                <w:sz w:val="18"/>
              </w:rPr>
            </w:pPr>
          </w:p>
        </w:tc>
        <w:tc>
          <w:tcPr>
            <w:tcW w:w="824" w:type="dxa"/>
          </w:tcPr>
          <w:p w14:paraId="1D758BFB" w14:textId="77777777" w:rsidR="0048679D" w:rsidRPr="00A538DD" w:rsidRDefault="0048679D">
            <w:pPr>
              <w:spacing w:before="0"/>
              <w:jc w:val="right"/>
              <w:rPr>
                <w:sz w:val="18"/>
              </w:rPr>
            </w:pPr>
            <w:r w:rsidRPr="00A538DD">
              <w:rPr>
                <w:sz w:val="18"/>
              </w:rPr>
              <w:t>–</w:t>
            </w:r>
          </w:p>
        </w:tc>
      </w:tr>
      <w:tr w:rsidR="00000000" w:rsidRPr="00A538DD" w14:paraId="3C6AFE8B" w14:textId="77777777">
        <w:tblPrEx>
          <w:tblCellMar>
            <w:top w:w="0" w:type="dxa"/>
            <w:bottom w:w="0" w:type="dxa"/>
          </w:tblCellMar>
        </w:tblPrEx>
        <w:trPr>
          <w:cantSplit/>
          <w:trHeight w:val="216"/>
        </w:trPr>
        <w:tc>
          <w:tcPr>
            <w:tcW w:w="2807" w:type="dxa"/>
            <w:gridSpan w:val="2"/>
          </w:tcPr>
          <w:p w14:paraId="150AB77B" w14:textId="77777777" w:rsidR="0048679D" w:rsidRPr="00A538DD" w:rsidRDefault="0048679D">
            <w:pPr>
              <w:spacing w:before="0"/>
              <w:jc w:val="left"/>
              <w:rPr>
                <w:sz w:val="18"/>
              </w:rPr>
            </w:pPr>
            <w:r w:rsidRPr="00A538DD">
              <w:rPr>
                <w:sz w:val="18"/>
              </w:rPr>
              <w:t>Övriga skulder</w:t>
            </w:r>
          </w:p>
        </w:tc>
        <w:tc>
          <w:tcPr>
            <w:tcW w:w="907" w:type="dxa"/>
            <w:gridSpan w:val="2"/>
          </w:tcPr>
          <w:p w14:paraId="572D9A03" w14:textId="77777777" w:rsidR="0048679D" w:rsidRPr="00A538DD" w:rsidRDefault="0048679D">
            <w:pPr>
              <w:spacing w:before="0"/>
              <w:jc w:val="right"/>
              <w:rPr>
                <w:sz w:val="18"/>
              </w:rPr>
            </w:pPr>
            <w:r w:rsidRPr="00A538DD">
              <w:rPr>
                <w:sz w:val="18"/>
              </w:rPr>
              <w:t>535</w:t>
            </w:r>
          </w:p>
        </w:tc>
        <w:tc>
          <w:tcPr>
            <w:tcW w:w="567" w:type="dxa"/>
            <w:gridSpan w:val="2"/>
          </w:tcPr>
          <w:p w14:paraId="0B7A4500" w14:textId="77777777" w:rsidR="0048679D" w:rsidRPr="00A538DD" w:rsidRDefault="0048679D">
            <w:pPr>
              <w:spacing w:before="0"/>
              <w:jc w:val="right"/>
              <w:rPr>
                <w:sz w:val="18"/>
              </w:rPr>
            </w:pPr>
          </w:p>
        </w:tc>
        <w:tc>
          <w:tcPr>
            <w:tcW w:w="680" w:type="dxa"/>
            <w:gridSpan w:val="2"/>
          </w:tcPr>
          <w:p w14:paraId="6CB5D7A8" w14:textId="77777777" w:rsidR="0048679D" w:rsidRPr="00A538DD" w:rsidRDefault="0048679D">
            <w:pPr>
              <w:spacing w:before="0"/>
              <w:jc w:val="right"/>
              <w:rPr>
                <w:sz w:val="18"/>
              </w:rPr>
            </w:pPr>
          </w:p>
        </w:tc>
        <w:tc>
          <w:tcPr>
            <w:tcW w:w="510" w:type="dxa"/>
            <w:gridSpan w:val="2"/>
          </w:tcPr>
          <w:p w14:paraId="171F2CE3" w14:textId="77777777" w:rsidR="0048679D" w:rsidRPr="00A538DD" w:rsidRDefault="0048679D">
            <w:pPr>
              <w:spacing w:before="0"/>
              <w:jc w:val="right"/>
              <w:rPr>
                <w:sz w:val="18"/>
              </w:rPr>
            </w:pPr>
          </w:p>
        </w:tc>
        <w:tc>
          <w:tcPr>
            <w:tcW w:w="510" w:type="dxa"/>
            <w:gridSpan w:val="2"/>
          </w:tcPr>
          <w:p w14:paraId="2209C6D3" w14:textId="77777777" w:rsidR="0048679D" w:rsidRPr="00A538DD" w:rsidRDefault="0048679D">
            <w:pPr>
              <w:spacing w:before="0"/>
              <w:jc w:val="right"/>
              <w:rPr>
                <w:sz w:val="18"/>
              </w:rPr>
            </w:pPr>
            <w:r w:rsidRPr="00A538DD">
              <w:rPr>
                <w:sz w:val="18"/>
              </w:rPr>
              <w:t>–464</w:t>
            </w:r>
          </w:p>
        </w:tc>
        <w:tc>
          <w:tcPr>
            <w:tcW w:w="824" w:type="dxa"/>
          </w:tcPr>
          <w:p w14:paraId="6C1D55A1" w14:textId="77777777" w:rsidR="0048679D" w:rsidRPr="00A538DD" w:rsidRDefault="0048679D">
            <w:pPr>
              <w:spacing w:before="0"/>
              <w:jc w:val="right"/>
              <w:rPr>
                <w:sz w:val="18"/>
              </w:rPr>
            </w:pPr>
            <w:r w:rsidRPr="00A538DD">
              <w:rPr>
                <w:sz w:val="18"/>
              </w:rPr>
              <w:t>71</w:t>
            </w:r>
          </w:p>
        </w:tc>
      </w:tr>
      <w:tr w:rsidR="00000000" w:rsidRPr="00A538DD" w14:paraId="081F2629" w14:textId="77777777">
        <w:tblPrEx>
          <w:tblCellMar>
            <w:top w:w="0" w:type="dxa"/>
            <w:bottom w:w="0" w:type="dxa"/>
          </w:tblCellMar>
        </w:tblPrEx>
        <w:trPr>
          <w:trHeight w:val="216"/>
        </w:trPr>
        <w:tc>
          <w:tcPr>
            <w:tcW w:w="2807" w:type="dxa"/>
            <w:gridSpan w:val="2"/>
          </w:tcPr>
          <w:p w14:paraId="6FB3FA7A" w14:textId="77777777" w:rsidR="0048679D" w:rsidRPr="00A538DD" w:rsidRDefault="0048679D">
            <w:pPr>
              <w:spacing w:before="0"/>
              <w:rPr>
                <w:sz w:val="18"/>
              </w:rPr>
            </w:pPr>
            <w:r w:rsidRPr="00A538DD">
              <w:rPr>
                <w:sz w:val="18"/>
              </w:rPr>
              <w:t>Avsättningar</w:t>
            </w:r>
          </w:p>
        </w:tc>
        <w:tc>
          <w:tcPr>
            <w:tcW w:w="907" w:type="dxa"/>
            <w:gridSpan w:val="2"/>
          </w:tcPr>
          <w:p w14:paraId="669D0E4F" w14:textId="77777777" w:rsidR="0048679D" w:rsidRPr="00A538DD" w:rsidRDefault="0048679D">
            <w:pPr>
              <w:spacing w:before="0"/>
              <w:jc w:val="right"/>
              <w:rPr>
                <w:sz w:val="18"/>
              </w:rPr>
            </w:pPr>
            <w:r w:rsidRPr="00A538DD">
              <w:rPr>
                <w:sz w:val="18"/>
              </w:rPr>
              <w:t>–</w:t>
            </w:r>
          </w:p>
        </w:tc>
        <w:tc>
          <w:tcPr>
            <w:tcW w:w="567" w:type="dxa"/>
            <w:gridSpan w:val="2"/>
          </w:tcPr>
          <w:p w14:paraId="323ACD6F" w14:textId="77777777" w:rsidR="0048679D" w:rsidRPr="00A538DD" w:rsidRDefault="0048679D">
            <w:pPr>
              <w:spacing w:before="0"/>
              <w:jc w:val="right"/>
              <w:rPr>
                <w:sz w:val="18"/>
              </w:rPr>
            </w:pPr>
          </w:p>
        </w:tc>
        <w:tc>
          <w:tcPr>
            <w:tcW w:w="680" w:type="dxa"/>
            <w:gridSpan w:val="2"/>
          </w:tcPr>
          <w:p w14:paraId="14E7E1E9" w14:textId="77777777" w:rsidR="0048679D" w:rsidRPr="00A538DD" w:rsidRDefault="0048679D">
            <w:pPr>
              <w:spacing w:before="0"/>
              <w:jc w:val="right"/>
              <w:rPr>
                <w:sz w:val="18"/>
              </w:rPr>
            </w:pPr>
          </w:p>
        </w:tc>
        <w:tc>
          <w:tcPr>
            <w:tcW w:w="510" w:type="dxa"/>
            <w:gridSpan w:val="2"/>
          </w:tcPr>
          <w:p w14:paraId="1ED25F2B" w14:textId="77777777" w:rsidR="0048679D" w:rsidRPr="00A538DD" w:rsidRDefault="0048679D">
            <w:pPr>
              <w:spacing w:before="0"/>
              <w:jc w:val="right"/>
              <w:rPr>
                <w:sz w:val="18"/>
              </w:rPr>
            </w:pPr>
          </w:p>
        </w:tc>
        <w:tc>
          <w:tcPr>
            <w:tcW w:w="510" w:type="dxa"/>
            <w:gridSpan w:val="2"/>
          </w:tcPr>
          <w:p w14:paraId="0799BEF4" w14:textId="77777777" w:rsidR="0048679D" w:rsidRPr="00A538DD" w:rsidRDefault="0048679D">
            <w:pPr>
              <w:spacing w:before="0"/>
              <w:jc w:val="right"/>
              <w:rPr>
                <w:sz w:val="18"/>
              </w:rPr>
            </w:pPr>
            <w:r w:rsidRPr="00A538DD">
              <w:rPr>
                <w:sz w:val="18"/>
              </w:rPr>
              <w:t>396</w:t>
            </w:r>
          </w:p>
        </w:tc>
        <w:tc>
          <w:tcPr>
            <w:tcW w:w="824" w:type="dxa"/>
          </w:tcPr>
          <w:p w14:paraId="303F5150" w14:textId="77777777" w:rsidR="0048679D" w:rsidRPr="00A538DD" w:rsidRDefault="0048679D">
            <w:pPr>
              <w:spacing w:before="0"/>
              <w:jc w:val="right"/>
              <w:rPr>
                <w:sz w:val="18"/>
              </w:rPr>
            </w:pPr>
            <w:r w:rsidRPr="00A538DD">
              <w:rPr>
                <w:sz w:val="18"/>
              </w:rPr>
              <w:t>396</w:t>
            </w:r>
          </w:p>
        </w:tc>
      </w:tr>
      <w:tr w:rsidR="00000000" w:rsidRPr="00A538DD" w14:paraId="3DDEDA55" w14:textId="77777777">
        <w:tblPrEx>
          <w:tblCellMar>
            <w:top w:w="0" w:type="dxa"/>
            <w:bottom w:w="0" w:type="dxa"/>
          </w:tblCellMar>
        </w:tblPrEx>
        <w:trPr>
          <w:trHeight w:val="216"/>
        </w:trPr>
        <w:tc>
          <w:tcPr>
            <w:tcW w:w="2807" w:type="dxa"/>
            <w:gridSpan w:val="2"/>
          </w:tcPr>
          <w:p w14:paraId="2E0799EF" w14:textId="77777777" w:rsidR="0048679D" w:rsidRPr="00A538DD" w:rsidRDefault="0048679D">
            <w:pPr>
              <w:spacing w:before="0"/>
              <w:rPr>
                <w:sz w:val="18"/>
              </w:rPr>
            </w:pPr>
            <w:r w:rsidRPr="00A538DD">
              <w:rPr>
                <w:sz w:val="18"/>
              </w:rPr>
              <w:t>Resultatutjämningsfond</w:t>
            </w:r>
          </w:p>
        </w:tc>
        <w:tc>
          <w:tcPr>
            <w:tcW w:w="907" w:type="dxa"/>
            <w:gridSpan w:val="2"/>
          </w:tcPr>
          <w:p w14:paraId="74A931A6" w14:textId="77777777" w:rsidR="0048679D" w:rsidRPr="00A538DD" w:rsidRDefault="0048679D">
            <w:pPr>
              <w:spacing w:before="0"/>
              <w:jc w:val="right"/>
              <w:rPr>
                <w:sz w:val="18"/>
              </w:rPr>
            </w:pPr>
            <w:r w:rsidRPr="00A538DD">
              <w:rPr>
                <w:sz w:val="18"/>
              </w:rPr>
              <w:t>31 141</w:t>
            </w:r>
          </w:p>
        </w:tc>
        <w:tc>
          <w:tcPr>
            <w:tcW w:w="567" w:type="dxa"/>
            <w:gridSpan w:val="2"/>
          </w:tcPr>
          <w:p w14:paraId="19E2A69E" w14:textId="77777777" w:rsidR="0048679D" w:rsidRPr="00A538DD" w:rsidRDefault="0048679D">
            <w:pPr>
              <w:spacing w:before="0"/>
              <w:jc w:val="right"/>
              <w:rPr>
                <w:sz w:val="18"/>
              </w:rPr>
            </w:pPr>
          </w:p>
        </w:tc>
        <w:tc>
          <w:tcPr>
            <w:tcW w:w="680" w:type="dxa"/>
            <w:gridSpan w:val="2"/>
          </w:tcPr>
          <w:p w14:paraId="271EB1E0" w14:textId="77777777" w:rsidR="0048679D" w:rsidRPr="00A538DD" w:rsidRDefault="0048679D">
            <w:pPr>
              <w:spacing w:before="0"/>
              <w:jc w:val="right"/>
              <w:rPr>
                <w:sz w:val="18"/>
              </w:rPr>
            </w:pPr>
            <w:r w:rsidRPr="00A538DD">
              <w:rPr>
                <w:sz w:val="18"/>
              </w:rPr>
              <w:t>–31 141</w:t>
            </w:r>
          </w:p>
        </w:tc>
        <w:tc>
          <w:tcPr>
            <w:tcW w:w="510" w:type="dxa"/>
            <w:gridSpan w:val="2"/>
          </w:tcPr>
          <w:p w14:paraId="5F9A93DF" w14:textId="77777777" w:rsidR="0048679D" w:rsidRPr="00A538DD" w:rsidRDefault="0048679D">
            <w:pPr>
              <w:spacing w:before="0"/>
              <w:jc w:val="right"/>
              <w:rPr>
                <w:sz w:val="18"/>
              </w:rPr>
            </w:pPr>
          </w:p>
        </w:tc>
        <w:tc>
          <w:tcPr>
            <w:tcW w:w="510" w:type="dxa"/>
            <w:gridSpan w:val="2"/>
          </w:tcPr>
          <w:p w14:paraId="4827C660" w14:textId="77777777" w:rsidR="0048679D" w:rsidRPr="00A538DD" w:rsidRDefault="0048679D">
            <w:pPr>
              <w:spacing w:before="0"/>
              <w:jc w:val="right"/>
              <w:rPr>
                <w:sz w:val="18"/>
              </w:rPr>
            </w:pPr>
          </w:p>
        </w:tc>
        <w:tc>
          <w:tcPr>
            <w:tcW w:w="824" w:type="dxa"/>
          </w:tcPr>
          <w:p w14:paraId="38F22E16" w14:textId="77777777" w:rsidR="0048679D" w:rsidRPr="00A538DD" w:rsidRDefault="0048679D">
            <w:pPr>
              <w:spacing w:before="0"/>
              <w:jc w:val="right"/>
              <w:rPr>
                <w:sz w:val="18"/>
              </w:rPr>
            </w:pPr>
            <w:r w:rsidRPr="00A538DD">
              <w:rPr>
                <w:sz w:val="18"/>
              </w:rPr>
              <w:t>–</w:t>
            </w:r>
          </w:p>
        </w:tc>
      </w:tr>
      <w:tr w:rsidR="00000000" w:rsidRPr="00A538DD" w14:paraId="6BBBE08C" w14:textId="77777777">
        <w:tblPrEx>
          <w:tblCellMar>
            <w:top w:w="0" w:type="dxa"/>
            <w:bottom w:w="0" w:type="dxa"/>
          </w:tblCellMar>
        </w:tblPrEx>
        <w:trPr>
          <w:trHeight w:val="216"/>
        </w:trPr>
        <w:tc>
          <w:tcPr>
            <w:tcW w:w="2807" w:type="dxa"/>
            <w:gridSpan w:val="2"/>
          </w:tcPr>
          <w:p w14:paraId="296ACEA4" w14:textId="77777777" w:rsidR="0048679D" w:rsidRPr="00A538DD" w:rsidRDefault="0048679D">
            <w:pPr>
              <w:spacing w:before="0"/>
              <w:rPr>
                <w:sz w:val="18"/>
              </w:rPr>
            </w:pPr>
            <w:r w:rsidRPr="00A538DD">
              <w:rPr>
                <w:sz w:val="18"/>
              </w:rPr>
              <w:t>Eget kapital</w:t>
            </w:r>
          </w:p>
        </w:tc>
        <w:tc>
          <w:tcPr>
            <w:tcW w:w="907" w:type="dxa"/>
            <w:gridSpan w:val="2"/>
          </w:tcPr>
          <w:p w14:paraId="0186224E" w14:textId="77777777" w:rsidR="0048679D" w:rsidRPr="00A538DD" w:rsidRDefault="0048679D">
            <w:pPr>
              <w:spacing w:before="0"/>
              <w:jc w:val="right"/>
              <w:rPr>
                <w:sz w:val="18"/>
              </w:rPr>
            </w:pPr>
            <w:r w:rsidRPr="00A538DD">
              <w:rPr>
                <w:sz w:val="18"/>
              </w:rPr>
              <w:t>50 556</w:t>
            </w:r>
          </w:p>
        </w:tc>
        <w:tc>
          <w:tcPr>
            <w:tcW w:w="567" w:type="dxa"/>
            <w:gridSpan w:val="2"/>
          </w:tcPr>
          <w:p w14:paraId="11DEAAB5" w14:textId="77777777" w:rsidR="0048679D" w:rsidRPr="00A538DD" w:rsidRDefault="0048679D">
            <w:pPr>
              <w:spacing w:before="0"/>
              <w:jc w:val="right"/>
              <w:rPr>
                <w:sz w:val="18"/>
              </w:rPr>
            </w:pPr>
          </w:p>
        </w:tc>
        <w:tc>
          <w:tcPr>
            <w:tcW w:w="680" w:type="dxa"/>
            <w:gridSpan w:val="2"/>
          </w:tcPr>
          <w:p w14:paraId="2647A737" w14:textId="77777777" w:rsidR="0048679D" w:rsidRPr="00A538DD" w:rsidRDefault="0048679D">
            <w:pPr>
              <w:spacing w:before="0"/>
              <w:jc w:val="right"/>
              <w:rPr>
                <w:sz w:val="18"/>
              </w:rPr>
            </w:pPr>
            <w:r w:rsidRPr="00A538DD">
              <w:rPr>
                <w:sz w:val="18"/>
              </w:rPr>
              <w:t>–50 556</w:t>
            </w:r>
          </w:p>
        </w:tc>
        <w:tc>
          <w:tcPr>
            <w:tcW w:w="510" w:type="dxa"/>
            <w:gridSpan w:val="2"/>
          </w:tcPr>
          <w:p w14:paraId="25E6B692" w14:textId="77777777" w:rsidR="0048679D" w:rsidRPr="00A538DD" w:rsidRDefault="0048679D">
            <w:pPr>
              <w:spacing w:before="0"/>
              <w:jc w:val="right"/>
              <w:rPr>
                <w:sz w:val="18"/>
              </w:rPr>
            </w:pPr>
          </w:p>
        </w:tc>
        <w:tc>
          <w:tcPr>
            <w:tcW w:w="510" w:type="dxa"/>
            <w:gridSpan w:val="2"/>
          </w:tcPr>
          <w:p w14:paraId="1EF6C91C" w14:textId="77777777" w:rsidR="0048679D" w:rsidRPr="00A538DD" w:rsidRDefault="0048679D">
            <w:pPr>
              <w:spacing w:before="0"/>
              <w:jc w:val="right"/>
              <w:rPr>
                <w:sz w:val="18"/>
              </w:rPr>
            </w:pPr>
          </w:p>
        </w:tc>
        <w:tc>
          <w:tcPr>
            <w:tcW w:w="824" w:type="dxa"/>
          </w:tcPr>
          <w:p w14:paraId="7C8DECA1" w14:textId="77777777" w:rsidR="0048679D" w:rsidRPr="00A538DD" w:rsidRDefault="0048679D">
            <w:pPr>
              <w:spacing w:before="0"/>
              <w:jc w:val="right"/>
              <w:rPr>
                <w:sz w:val="18"/>
              </w:rPr>
            </w:pPr>
            <w:r w:rsidRPr="00A538DD">
              <w:rPr>
                <w:sz w:val="18"/>
              </w:rPr>
              <w:t>–</w:t>
            </w:r>
          </w:p>
        </w:tc>
      </w:tr>
      <w:tr w:rsidR="00000000" w:rsidRPr="00A538DD" w14:paraId="6F97B611" w14:textId="77777777">
        <w:tblPrEx>
          <w:tblCellMar>
            <w:top w:w="0" w:type="dxa"/>
            <w:bottom w:w="0" w:type="dxa"/>
          </w:tblCellMar>
        </w:tblPrEx>
        <w:trPr>
          <w:cantSplit/>
          <w:trHeight w:val="216"/>
        </w:trPr>
        <w:tc>
          <w:tcPr>
            <w:tcW w:w="2807" w:type="dxa"/>
            <w:gridSpan w:val="2"/>
          </w:tcPr>
          <w:p w14:paraId="21A24D6D" w14:textId="77777777" w:rsidR="0048679D" w:rsidRPr="00A538DD" w:rsidRDefault="0048679D">
            <w:pPr>
              <w:spacing w:before="0"/>
              <w:jc w:val="left"/>
              <w:rPr>
                <w:sz w:val="18"/>
              </w:rPr>
            </w:pPr>
            <w:r w:rsidRPr="00A538DD">
              <w:rPr>
                <w:sz w:val="18"/>
              </w:rPr>
              <w:t>Grundfond</w:t>
            </w:r>
          </w:p>
        </w:tc>
        <w:tc>
          <w:tcPr>
            <w:tcW w:w="907" w:type="dxa"/>
            <w:gridSpan w:val="2"/>
          </w:tcPr>
          <w:p w14:paraId="6A811E18" w14:textId="77777777" w:rsidR="0048679D" w:rsidRPr="00A538DD" w:rsidRDefault="0048679D">
            <w:pPr>
              <w:jc w:val="right"/>
              <w:rPr>
                <w:sz w:val="18"/>
              </w:rPr>
            </w:pPr>
            <w:r w:rsidRPr="00A538DD">
              <w:rPr>
                <w:sz w:val="18"/>
              </w:rPr>
              <w:t>–</w:t>
            </w:r>
          </w:p>
        </w:tc>
        <w:tc>
          <w:tcPr>
            <w:tcW w:w="567" w:type="dxa"/>
            <w:gridSpan w:val="2"/>
          </w:tcPr>
          <w:p w14:paraId="766C7434" w14:textId="77777777" w:rsidR="0048679D" w:rsidRPr="00A538DD" w:rsidRDefault="0048679D">
            <w:pPr>
              <w:jc w:val="right"/>
              <w:rPr>
                <w:sz w:val="18"/>
              </w:rPr>
            </w:pPr>
          </w:p>
        </w:tc>
        <w:tc>
          <w:tcPr>
            <w:tcW w:w="680" w:type="dxa"/>
            <w:gridSpan w:val="2"/>
          </w:tcPr>
          <w:p w14:paraId="39B2E7E7" w14:textId="77777777" w:rsidR="0048679D" w:rsidRPr="00A538DD" w:rsidRDefault="0048679D">
            <w:pPr>
              <w:jc w:val="right"/>
              <w:rPr>
                <w:sz w:val="18"/>
              </w:rPr>
            </w:pPr>
            <w:r w:rsidRPr="00A538DD">
              <w:rPr>
                <w:sz w:val="18"/>
              </w:rPr>
              <w:t>1 000</w:t>
            </w:r>
          </w:p>
        </w:tc>
        <w:tc>
          <w:tcPr>
            <w:tcW w:w="510" w:type="dxa"/>
            <w:gridSpan w:val="2"/>
          </w:tcPr>
          <w:p w14:paraId="1F7749E2" w14:textId="77777777" w:rsidR="0048679D" w:rsidRPr="00A538DD" w:rsidRDefault="0048679D">
            <w:pPr>
              <w:jc w:val="right"/>
              <w:rPr>
                <w:sz w:val="18"/>
              </w:rPr>
            </w:pPr>
          </w:p>
        </w:tc>
        <w:tc>
          <w:tcPr>
            <w:tcW w:w="510" w:type="dxa"/>
            <w:gridSpan w:val="2"/>
          </w:tcPr>
          <w:p w14:paraId="3E5A2916" w14:textId="77777777" w:rsidR="0048679D" w:rsidRPr="00A538DD" w:rsidRDefault="0048679D">
            <w:pPr>
              <w:jc w:val="right"/>
              <w:rPr>
                <w:sz w:val="18"/>
              </w:rPr>
            </w:pPr>
          </w:p>
        </w:tc>
        <w:tc>
          <w:tcPr>
            <w:tcW w:w="824" w:type="dxa"/>
          </w:tcPr>
          <w:p w14:paraId="23E6FD7F" w14:textId="77777777" w:rsidR="0048679D" w:rsidRPr="00A538DD" w:rsidRDefault="0048679D">
            <w:pPr>
              <w:jc w:val="right"/>
              <w:rPr>
                <w:sz w:val="18"/>
              </w:rPr>
            </w:pPr>
            <w:r w:rsidRPr="00A538DD">
              <w:rPr>
                <w:sz w:val="18"/>
              </w:rPr>
              <w:t>1 000</w:t>
            </w:r>
          </w:p>
        </w:tc>
      </w:tr>
      <w:tr w:rsidR="00000000" w:rsidRPr="00A538DD" w14:paraId="7484AA5C" w14:textId="77777777">
        <w:tblPrEx>
          <w:tblCellMar>
            <w:top w:w="0" w:type="dxa"/>
            <w:bottom w:w="0" w:type="dxa"/>
          </w:tblCellMar>
        </w:tblPrEx>
        <w:trPr>
          <w:cantSplit/>
          <w:trHeight w:val="216"/>
        </w:trPr>
        <w:tc>
          <w:tcPr>
            <w:tcW w:w="2807" w:type="dxa"/>
            <w:gridSpan w:val="2"/>
          </w:tcPr>
          <w:p w14:paraId="2A30AE93" w14:textId="77777777" w:rsidR="0048679D" w:rsidRPr="00A538DD" w:rsidRDefault="0048679D">
            <w:pPr>
              <w:spacing w:before="0"/>
              <w:rPr>
                <w:sz w:val="18"/>
              </w:rPr>
            </w:pPr>
            <w:r w:rsidRPr="00A538DD">
              <w:rPr>
                <w:sz w:val="18"/>
              </w:rPr>
              <w:t>Reserver</w:t>
            </w:r>
          </w:p>
        </w:tc>
        <w:tc>
          <w:tcPr>
            <w:tcW w:w="907" w:type="dxa"/>
            <w:gridSpan w:val="2"/>
            <w:tcBorders>
              <w:bottom w:val="single" w:sz="4" w:space="0" w:color="auto"/>
            </w:tcBorders>
          </w:tcPr>
          <w:p w14:paraId="28A615BF" w14:textId="77777777" w:rsidR="0048679D" w:rsidRPr="00A538DD" w:rsidRDefault="0048679D">
            <w:pPr>
              <w:jc w:val="right"/>
              <w:rPr>
                <w:sz w:val="18"/>
              </w:rPr>
            </w:pPr>
            <w:r w:rsidRPr="00A538DD">
              <w:rPr>
                <w:sz w:val="18"/>
              </w:rPr>
              <w:t>–</w:t>
            </w:r>
          </w:p>
        </w:tc>
        <w:tc>
          <w:tcPr>
            <w:tcW w:w="567" w:type="dxa"/>
            <w:gridSpan w:val="2"/>
            <w:tcBorders>
              <w:bottom w:val="single" w:sz="4" w:space="0" w:color="auto"/>
            </w:tcBorders>
          </w:tcPr>
          <w:p w14:paraId="069CF9C9" w14:textId="77777777" w:rsidR="0048679D" w:rsidRPr="00A538DD" w:rsidRDefault="0048679D">
            <w:pPr>
              <w:jc w:val="right"/>
              <w:rPr>
                <w:sz w:val="18"/>
              </w:rPr>
            </w:pPr>
          </w:p>
        </w:tc>
        <w:tc>
          <w:tcPr>
            <w:tcW w:w="680" w:type="dxa"/>
            <w:gridSpan w:val="2"/>
            <w:tcBorders>
              <w:bottom w:val="single" w:sz="4" w:space="0" w:color="auto"/>
            </w:tcBorders>
          </w:tcPr>
          <w:p w14:paraId="4F274CBD" w14:textId="77777777" w:rsidR="0048679D" w:rsidRPr="00A538DD" w:rsidRDefault="0048679D">
            <w:pPr>
              <w:jc w:val="right"/>
              <w:rPr>
                <w:sz w:val="18"/>
              </w:rPr>
            </w:pPr>
            <w:r w:rsidRPr="00A538DD">
              <w:rPr>
                <w:sz w:val="18"/>
              </w:rPr>
              <w:t>80 697</w:t>
            </w:r>
          </w:p>
        </w:tc>
        <w:tc>
          <w:tcPr>
            <w:tcW w:w="510" w:type="dxa"/>
            <w:gridSpan w:val="2"/>
            <w:tcBorders>
              <w:bottom w:val="single" w:sz="4" w:space="0" w:color="auto"/>
            </w:tcBorders>
          </w:tcPr>
          <w:p w14:paraId="31B7DBC2" w14:textId="77777777" w:rsidR="0048679D" w:rsidRPr="00A538DD" w:rsidRDefault="0048679D">
            <w:pPr>
              <w:jc w:val="right"/>
              <w:rPr>
                <w:sz w:val="18"/>
              </w:rPr>
            </w:pPr>
          </w:p>
        </w:tc>
        <w:tc>
          <w:tcPr>
            <w:tcW w:w="510" w:type="dxa"/>
            <w:gridSpan w:val="2"/>
            <w:tcBorders>
              <w:bottom w:val="single" w:sz="4" w:space="0" w:color="auto"/>
            </w:tcBorders>
          </w:tcPr>
          <w:p w14:paraId="757666EF" w14:textId="77777777" w:rsidR="0048679D" w:rsidRPr="00A538DD" w:rsidRDefault="0048679D">
            <w:pPr>
              <w:jc w:val="right"/>
              <w:rPr>
                <w:sz w:val="18"/>
              </w:rPr>
            </w:pPr>
          </w:p>
        </w:tc>
        <w:tc>
          <w:tcPr>
            <w:tcW w:w="824" w:type="dxa"/>
            <w:tcBorders>
              <w:bottom w:val="single" w:sz="4" w:space="0" w:color="auto"/>
            </w:tcBorders>
          </w:tcPr>
          <w:p w14:paraId="5A57C746" w14:textId="77777777" w:rsidR="0048679D" w:rsidRPr="00A538DD" w:rsidRDefault="0048679D">
            <w:pPr>
              <w:jc w:val="right"/>
              <w:rPr>
                <w:sz w:val="18"/>
              </w:rPr>
            </w:pPr>
            <w:r w:rsidRPr="00A538DD">
              <w:rPr>
                <w:sz w:val="18"/>
              </w:rPr>
              <w:t>80 697</w:t>
            </w:r>
          </w:p>
        </w:tc>
      </w:tr>
      <w:tr w:rsidR="00000000" w:rsidRPr="00A538DD" w14:paraId="20B67C4C" w14:textId="77777777">
        <w:tblPrEx>
          <w:tblCellMar>
            <w:top w:w="0" w:type="dxa"/>
            <w:bottom w:w="0" w:type="dxa"/>
          </w:tblCellMar>
        </w:tblPrEx>
        <w:trPr>
          <w:cantSplit/>
          <w:trHeight w:val="216"/>
        </w:trPr>
        <w:tc>
          <w:tcPr>
            <w:tcW w:w="2807" w:type="dxa"/>
            <w:gridSpan w:val="2"/>
            <w:tcBorders>
              <w:bottom w:val="single" w:sz="4" w:space="0" w:color="auto"/>
            </w:tcBorders>
          </w:tcPr>
          <w:p w14:paraId="208874C6" w14:textId="77777777" w:rsidR="0048679D" w:rsidRPr="00A538DD" w:rsidRDefault="0048679D">
            <w:pPr>
              <w:jc w:val="left"/>
              <w:rPr>
                <w:sz w:val="18"/>
              </w:rPr>
            </w:pPr>
            <w:r w:rsidRPr="00A538DD">
              <w:rPr>
                <w:sz w:val="18"/>
              </w:rPr>
              <w:t>Summa</w:t>
            </w:r>
          </w:p>
        </w:tc>
        <w:tc>
          <w:tcPr>
            <w:tcW w:w="907" w:type="dxa"/>
            <w:gridSpan w:val="2"/>
            <w:tcBorders>
              <w:top w:val="single" w:sz="4" w:space="0" w:color="auto"/>
              <w:bottom w:val="single" w:sz="4" w:space="0" w:color="auto"/>
            </w:tcBorders>
          </w:tcPr>
          <w:p w14:paraId="2DF49264" w14:textId="77777777" w:rsidR="0048679D" w:rsidRPr="00A538DD" w:rsidRDefault="0048679D">
            <w:pPr>
              <w:jc w:val="right"/>
              <w:rPr>
                <w:sz w:val="18"/>
              </w:rPr>
            </w:pPr>
            <w:r w:rsidRPr="00A538DD">
              <w:rPr>
                <w:sz w:val="18"/>
              </w:rPr>
              <w:t>84 965</w:t>
            </w:r>
          </w:p>
        </w:tc>
        <w:tc>
          <w:tcPr>
            <w:tcW w:w="567" w:type="dxa"/>
            <w:gridSpan w:val="2"/>
            <w:tcBorders>
              <w:top w:val="single" w:sz="4" w:space="0" w:color="auto"/>
              <w:bottom w:val="single" w:sz="6" w:space="0" w:color="auto"/>
            </w:tcBorders>
          </w:tcPr>
          <w:p w14:paraId="1AA0E497" w14:textId="77777777" w:rsidR="0048679D" w:rsidRPr="00A538DD" w:rsidRDefault="0048679D">
            <w:pPr>
              <w:jc w:val="right"/>
              <w:rPr>
                <w:sz w:val="18"/>
              </w:rPr>
            </w:pPr>
            <w:r w:rsidRPr="00A538DD">
              <w:rPr>
                <w:sz w:val="18"/>
              </w:rPr>
              <w:t>0</w:t>
            </w:r>
          </w:p>
        </w:tc>
        <w:tc>
          <w:tcPr>
            <w:tcW w:w="680" w:type="dxa"/>
            <w:gridSpan w:val="2"/>
            <w:tcBorders>
              <w:top w:val="single" w:sz="4" w:space="0" w:color="auto"/>
              <w:bottom w:val="single" w:sz="6" w:space="0" w:color="auto"/>
            </w:tcBorders>
          </w:tcPr>
          <w:p w14:paraId="296E3BAA" w14:textId="77777777" w:rsidR="0048679D" w:rsidRPr="00A538DD" w:rsidRDefault="0048679D">
            <w:pPr>
              <w:jc w:val="right"/>
              <w:rPr>
                <w:sz w:val="18"/>
              </w:rPr>
            </w:pPr>
            <w:r w:rsidRPr="00A538DD">
              <w:rPr>
                <w:sz w:val="18"/>
              </w:rPr>
              <w:t>0</w:t>
            </w:r>
          </w:p>
        </w:tc>
        <w:tc>
          <w:tcPr>
            <w:tcW w:w="510" w:type="dxa"/>
            <w:gridSpan w:val="2"/>
            <w:tcBorders>
              <w:top w:val="single" w:sz="4" w:space="0" w:color="auto"/>
              <w:bottom w:val="single" w:sz="6" w:space="0" w:color="auto"/>
            </w:tcBorders>
          </w:tcPr>
          <w:p w14:paraId="04F3B530" w14:textId="77777777" w:rsidR="0048679D" w:rsidRPr="00A538DD" w:rsidRDefault="0048679D">
            <w:pPr>
              <w:jc w:val="right"/>
              <w:rPr>
                <w:sz w:val="18"/>
              </w:rPr>
            </w:pPr>
            <w:r w:rsidRPr="00A538DD">
              <w:rPr>
                <w:sz w:val="18"/>
              </w:rPr>
              <w:t>-73</w:t>
            </w:r>
          </w:p>
        </w:tc>
        <w:tc>
          <w:tcPr>
            <w:tcW w:w="510" w:type="dxa"/>
            <w:gridSpan w:val="2"/>
            <w:tcBorders>
              <w:top w:val="single" w:sz="4" w:space="0" w:color="auto"/>
              <w:bottom w:val="single" w:sz="6" w:space="0" w:color="auto"/>
            </w:tcBorders>
          </w:tcPr>
          <w:p w14:paraId="147AB068" w14:textId="77777777" w:rsidR="0048679D" w:rsidRPr="00A538DD" w:rsidRDefault="0048679D">
            <w:pPr>
              <w:jc w:val="right"/>
              <w:rPr>
                <w:sz w:val="18"/>
              </w:rPr>
            </w:pPr>
            <w:r w:rsidRPr="00A538DD">
              <w:rPr>
                <w:sz w:val="18"/>
              </w:rPr>
              <w:t>0</w:t>
            </w:r>
          </w:p>
        </w:tc>
        <w:tc>
          <w:tcPr>
            <w:tcW w:w="824" w:type="dxa"/>
            <w:tcBorders>
              <w:top w:val="single" w:sz="4" w:space="0" w:color="auto"/>
              <w:bottom w:val="single" w:sz="6" w:space="0" w:color="auto"/>
            </w:tcBorders>
          </w:tcPr>
          <w:p w14:paraId="41CE4193" w14:textId="77777777" w:rsidR="0048679D" w:rsidRPr="00A538DD" w:rsidRDefault="0048679D">
            <w:pPr>
              <w:jc w:val="right"/>
              <w:rPr>
                <w:sz w:val="18"/>
              </w:rPr>
            </w:pPr>
            <w:r w:rsidRPr="00A538DD">
              <w:rPr>
                <w:sz w:val="18"/>
              </w:rPr>
              <w:t>84 892</w:t>
            </w:r>
          </w:p>
        </w:tc>
      </w:tr>
    </w:tbl>
    <w:p w14:paraId="13CB2590" w14:textId="77777777" w:rsidR="0048679D" w:rsidRPr="00A538DD" w:rsidRDefault="0048679D"/>
    <w:p w14:paraId="736CB065" w14:textId="77777777" w:rsidR="0048679D" w:rsidRPr="00A538DD" w:rsidRDefault="0048679D">
      <w:pPr>
        <w:numPr>
          <w:ilvl w:val="0"/>
          <w:numId w:val="20"/>
        </w:numPr>
        <w:tabs>
          <w:tab w:val="clear" w:pos="720"/>
        </w:tabs>
        <w:ind w:left="0" w:hanging="284"/>
        <w:rPr>
          <w:sz w:val="20"/>
        </w:rPr>
      </w:pPr>
      <w:r w:rsidRPr="00A538DD">
        <w:rPr>
          <w:sz w:val="20"/>
        </w:rPr>
        <w:t xml:space="preserve">Omföring av upplupen ränta till posterna ”Förutbetalda kostnader och upplupna intäkter” samt ”Upplupna kostnader och förutbetalda intäkter”. </w:t>
      </w:r>
    </w:p>
    <w:p w14:paraId="2BB7FD8A" w14:textId="77777777" w:rsidR="0048679D" w:rsidRPr="00A538DD" w:rsidRDefault="0048679D">
      <w:pPr>
        <w:numPr>
          <w:ilvl w:val="0"/>
          <w:numId w:val="20"/>
        </w:numPr>
        <w:tabs>
          <w:tab w:val="clear" w:pos="720"/>
        </w:tabs>
        <w:ind w:left="0" w:hanging="284"/>
        <w:jc w:val="left"/>
        <w:rPr>
          <w:sz w:val="20"/>
        </w:rPr>
      </w:pPr>
      <w:r w:rsidRPr="00A538DD">
        <w:rPr>
          <w:sz w:val="20"/>
        </w:rPr>
        <w:t>Omföring av posterna ”Resultatutjämningsfond” och ”Eget kapital” till posterna ”Grundfond” och ”Reserver”.</w:t>
      </w:r>
    </w:p>
    <w:p w14:paraId="4C8671DF" w14:textId="77777777" w:rsidR="0048679D" w:rsidRPr="00A538DD" w:rsidRDefault="0048679D">
      <w:pPr>
        <w:numPr>
          <w:ilvl w:val="0"/>
          <w:numId w:val="20"/>
        </w:numPr>
        <w:tabs>
          <w:tab w:val="clear" w:pos="720"/>
        </w:tabs>
        <w:ind w:left="0" w:hanging="284"/>
        <w:jc w:val="left"/>
        <w:rPr>
          <w:sz w:val="20"/>
        </w:rPr>
      </w:pPr>
      <w:r w:rsidRPr="00A538DD">
        <w:rPr>
          <w:sz w:val="20"/>
        </w:rPr>
        <w:t>Omföring av posterna ”Fondlikvidfordringar” och ”Fondlikvidskulder” till posten ”Banktillgodohavanden och värd</w:t>
      </w:r>
      <w:r w:rsidRPr="00A538DD">
        <w:rPr>
          <w:sz w:val="20"/>
        </w:rPr>
        <w:t>e</w:t>
      </w:r>
      <w:r w:rsidRPr="00A538DD">
        <w:rPr>
          <w:sz w:val="20"/>
        </w:rPr>
        <w:t xml:space="preserve">papper”. </w:t>
      </w:r>
    </w:p>
    <w:p w14:paraId="5CCB5093" w14:textId="77777777" w:rsidR="0048679D" w:rsidRPr="00A538DD" w:rsidRDefault="0048679D">
      <w:pPr>
        <w:numPr>
          <w:ilvl w:val="0"/>
          <w:numId w:val="20"/>
        </w:numPr>
        <w:tabs>
          <w:tab w:val="clear" w:pos="720"/>
        </w:tabs>
        <w:ind w:left="0" w:hanging="284"/>
        <w:rPr>
          <w:sz w:val="20"/>
        </w:rPr>
      </w:pPr>
      <w:r w:rsidRPr="00A538DD">
        <w:rPr>
          <w:sz w:val="20"/>
        </w:rPr>
        <w:t>Omföring av avsättningar om 212 miljoner kronor samt pensionsskulden om 184 miljoner kronor exklusive reserverad särskild löneskatt till posten ”Avsättningar”. Dessutom omföring av reserverad särskild löneskatt a</w:t>
      </w:r>
      <w:r w:rsidRPr="00A538DD">
        <w:rPr>
          <w:sz w:val="20"/>
        </w:rPr>
        <w:t>v</w:t>
      </w:r>
      <w:r w:rsidRPr="00A538DD">
        <w:rPr>
          <w:sz w:val="20"/>
        </w:rPr>
        <w:t>seende pensionsskulden om 44 miljoner kronor samt omföring av seme</w:t>
      </w:r>
      <w:r w:rsidRPr="00A538DD">
        <w:rPr>
          <w:sz w:val="20"/>
        </w:rPr>
        <w:t>s</w:t>
      </w:r>
      <w:r w:rsidRPr="00A538DD">
        <w:rPr>
          <w:sz w:val="20"/>
        </w:rPr>
        <w:t>terlöneskulden om 24 miljoner kronor inklusive reserverade sociala a</w:t>
      </w:r>
      <w:r w:rsidRPr="00A538DD">
        <w:rPr>
          <w:sz w:val="20"/>
        </w:rPr>
        <w:t>v</w:t>
      </w:r>
      <w:r w:rsidRPr="00A538DD">
        <w:rPr>
          <w:sz w:val="20"/>
        </w:rPr>
        <w:t>gifter till posten ”Upplupna kostn</w:t>
      </w:r>
      <w:r w:rsidRPr="00A538DD">
        <w:rPr>
          <w:sz w:val="20"/>
        </w:rPr>
        <w:t>a</w:t>
      </w:r>
      <w:r w:rsidRPr="00A538DD">
        <w:rPr>
          <w:sz w:val="20"/>
        </w:rPr>
        <w:t>der och förutbetalda intäkter”.</w:t>
      </w:r>
    </w:p>
    <w:p w14:paraId="7EDF0C10" w14:textId="77777777" w:rsidR="0048679D" w:rsidRPr="00A538DD" w:rsidRDefault="0048679D">
      <w:pPr>
        <w:pStyle w:val="Rubrik2"/>
        <w:spacing w:before="0"/>
        <w:ind w:hanging="284"/>
      </w:pPr>
      <w:bookmarkStart w:id="36" w:name="_Toc97613761"/>
      <w:r w:rsidRPr="00A538DD">
        <w:br w:type="page"/>
        <w:t>Femårsöversikt</w:t>
      </w:r>
      <w:bookmarkEnd w:id="36"/>
    </w:p>
    <w:p w14:paraId="4DDEBAE5" w14:textId="77777777" w:rsidR="0048679D" w:rsidRPr="00A538DD" w:rsidRDefault="0048679D">
      <w:pPr>
        <w:pStyle w:val="Brdtextmedindrag"/>
      </w:pPr>
      <w:r w:rsidRPr="00A538DD">
        <w:t>I femårsöversikten presenteras balans- och resultaträkningarna omräknade i enlighet med nu gällande redovisningsprinciper med undantag av att ingen omräkning gjorts för åren 2000–2003 avseende redovisning av orealiserade vinster och förluster på särskilt värdereglerings</w:t>
      </w:r>
      <w:r w:rsidRPr="00A538DD">
        <w:softHyphen/>
        <w:t>konto.</w:t>
      </w:r>
    </w:p>
    <w:p w14:paraId="74B4D168" w14:textId="77777777" w:rsidR="0048679D" w:rsidRPr="00A538DD" w:rsidRDefault="0048679D">
      <w:pPr>
        <w:ind w:hanging="284"/>
      </w:pPr>
      <w:r w:rsidRPr="00A538DD">
        <w:t>Miljoner kronor</w:t>
      </w:r>
    </w:p>
    <w:tbl>
      <w:tblPr>
        <w:tblW w:w="0" w:type="auto"/>
        <w:tblInd w:w="-284" w:type="dxa"/>
        <w:tblLayout w:type="fixed"/>
        <w:tblCellMar>
          <w:left w:w="30" w:type="dxa"/>
          <w:right w:w="30" w:type="dxa"/>
        </w:tblCellMar>
        <w:tblLook w:val="0000" w:firstRow="0" w:lastRow="0" w:firstColumn="0" w:lastColumn="0" w:noHBand="0" w:noVBand="0"/>
      </w:tblPr>
      <w:tblGrid>
        <w:gridCol w:w="1701"/>
        <w:gridCol w:w="964"/>
        <w:gridCol w:w="964"/>
        <w:gridCol w:w="964"/>
        <w:gridCol w:w="964"/>
        <w:gridCol w:w="964"/>
      </w:tblGrid>
      <w:tr w:rsidR="00000000" w:rsidRPr="00A538DD" w14:paraId="529E502A" w14:textId="77777777">
        <w:tblPrEx>
          <w:tblCellMar>
            <w:top w:w="0" w:type="dxa"/>
            <w:bottom w:w="0" w:type="dxa"/>
          </w:tblCellMar>
        </w:tblPrEx>
        <w:trPr>
          <w:cantSplit/>
          <w:trHeight w:val="308"/>
        </w:trPr>
        <w:tc>
          <w:tcPr>
            <w:tcW w:w="1701" w:type="dxa"/>
          </w:tcPr>
          <w:p w14:paraId="57D28A66" w14:textId="77777777" w:rsidR="0048679D" w:rsidRPr="00A538DD" w:rsidRDefault="0048679D">
            <w:pPr>
              <w:pStyle w:val="Deltagare"/>
              <w:keepLines w:val="0"/>
              <w:spacing w:before="62" w:line="250" w:lineRule="atLeast"/>
              <w:rPr>
                <w:noProof w:val="0"/>
              </w:rPr>
            </w:pPr>
            <w:r w:rsidRPr="00A538DD">
              <w:rPr>
                <w:noProof w:val="0"/>
              </w:rPr>
              <w:t>Balansräkning</w:t>
            </w:r>
          </w:p>
        </w:tc>
        <w:tc>
          <w:tcPr>
            <w:tcW w:w="964" w:type="dxa"/>
          </w:tcPr>
          <w:p w14:paraId="43146291" w14:textId="77777777" w:rsidR="0048679D" w:rsidRPr="00A538DD" w:rsidRDefault="0048679D">
            <w:pPr>
              <w:jc w:val="right"/>
            </w:pPr>
          </w:p>
        </w:tc>
        <w:tc>
          <w:tcPr>
            <w:tcW w:w="964" w:type="dxa"/>
          </w:tcPr>
          <w:p w14:paraId="001623A8" w14:textId="77777777" w:rsidR="0048679D" w:rsidRPr="00A538DD" w:rsidRDefault="0048679D">
            <w:pPr>
              <w:jc w:val="right"/>
            </w:pPr>
          </w:p>
        </w:tc>
        <w:tc>
          <w:tcPr>
            <w:tcW w:w="964" w:type="dxa"/>
          </w:tcPr>
          <w:p w14:paraId="6C628260" w14:textId="77777777" w:rsidR="0048679D" w:rsidRPr="00A538DD" w:rsidRDefault="0048679D">
            <w:pPr>
              <w:jc w:val="right"/>
            </w:pPr>
          </w:p>
        </w:tc>
        <w:tc>
          <w:tcPr>
            <w:tcW w:w="964" w:type="dxa"/>
          </w:tcPr>
          <w:p w14:paraId="1A308C5F" w14:textId="77777777" w:rsidR="0048679D" w:rsidRPr="00A538DD" w:rsidRDefault="0048679D">
            <w:pPr>
              <w:jc w:val="right"/>
            </w:pPr>
          </w:p>
        </w:tc>
        <w:tc>
          <w:tcPr>
            <w:tcW w:w="964" w:type="dxa"/>
          </w:tcPr>
          <w:p w14:paraId="5385E490" w14:textId="77777777" w:rsidR="0048679D" w:rsidRPr="00A538DD" w:rsidRDefault="0048679D">
            <w:pPr>
              <w:jc w:val="right"/>
            </w:pPr>
          </w:p>
        </w:tc>
      </w:tr>
      <w:tr w:rsidR="00000000" w:rsidRPr="00A538DD" w14:paraId="1E48F43A" w14:textId="77777777">
        <w:tblPrEx>
          <w:tblCellMar>
            <w:top w:w="0" w:type="dxa"/>
            <w:bottom w:w="0" w:type="dxa"/>
          </w:tblCellMar>
        </w:tblPrEx>
        <w:trPr>
          <w:cantSplit/>
          <w:trHeight w:val="216"/>
        </w:trPr>
        <w:tc>
          <w:tcPr>
            <w:tcW w:w="1701" w:type="dxa"/>
          </w:tcPr>
          <w:p w14:paraId="1E762BA9" w14:textId="77777777" w:rsidR="0048679D" w:rsidRPr="00A538DD" w:rsidRDefault="0048679D">
            <w:pPr>
              <w:rPr>
                <w:sz w:val="18"/>
              </w:rPr>
            </w:pPr>
          </w:p>
        </w:tc>
        <w:tc>
          <w:tcPr>
            <w:tcW w:w="964" w:type="dxa"/>
            <w:tcBorders>
              <w:bottom w:val="single" w:sz="4" w:space="0" w:color="auto"/>
            </w:tcBorders>
          </w:tcPr>
          <w:p w14:paraId="3675A20D" w14:textId="77777777" w:rsidR="0048679D" w:rsidRPr="00A538DD" w:rsidRDefault="0048679D">
            <w:pPr>
              <w:jc w:val="right"/>
              <w:rPr>
                <w:b/>
                <w:sz w:val="18"/>
              </w:rPr>
            </w:pPr>
            <w:r w:rsidRPr="00A538DD">
              <w:rPr>
                <w:b/>
                <w:sz w:val="18"/>
              </w:rPr>
              <w:t>2004-12-31</w:t>
            </w:r>
          </w:p>
        </w:tc>
        <w:tc>
          <w:tcPr>
            <w:tcW w:w="964" w:type="dxa"/>
            <w:tcBorders>
              <w:bottom w:val="single" w:sz="4" w:space="0" w:color="auto"/>
            </w:tcBorders>
          </w:tcPr>
          <w:p w14:paraId="59D69447" w14:textId="77777777" w:rsidR="0048679D" w:rsidRPr="00A538DD" w:rsidRDefault="0048679D">
            <w:pPr>
              <w:jc w:val="right"/>
              <w:rPr>
                <w:b/>
                <w:sz w:val="18"/>
              </w:rPr>
            </w:pPr>
            <w:r w:rsidRPr="00A538DD">
              <w:rPr>
                <w:b/>
                <w:sz w:val="18"/>
              </w:rPr>
              <w:t>2003-12-31</w:t>
            </w:r>
          </w:p>
        </w:tc>
        <w:tc>
          <w:tcPr>
            <w:tcW w:w="964" w:type="dxa"/>
            <w:tcBorders>
              <w:bottom w:val="single" w:sz="4" w:space="0" w:color="auto"/>
            </w:tcBorders>
          </w:tcPr>
          <w:p w14:paraId="1803538B" w14:textId="77777777" w:rsidR="0048679D" w:rsidRPr="00A538DD" w:rsidRDefault="0048679D">
            <w:pPr>
              <w:jc w:val="right"/>
              <w:rPr>
                <w:b/>
                <w:sz w:val="18"/>
              </w:rPr>
            </w:pPr>
            <w:r w:rsidRPr="00A538DD">
              <w:rPr>
                <w:b/>
                <w:sz w:val="18"/>
              </w:rPr>
              <w:t>2002-12-31</w:t>
            </w:r>
          </w:p>
        </w:tc>
        <w:tc>
          <w:tcPr>
            <w:tcW w:w="964" w:type="dxa"/>
            <w:tcBorders>
              <w:bottom w:val="single" w:sz="4" w:space="0" w:color="auto"/>
            </w:tcBorders>
          </w:tcPr>
          <w:p w14:paraId="52A8B69D" w14:textId="77777777" w:rsidR="0048679D" w:rsidRPr="00A538DD" w:rsidRDefault="0048679D">
            <w:pPr>
              <w:jc w:val="right"/>
              <w:rPr>
                <w:b/>
                <w:sz w:val="18"/>
              </w:rPr>
            </w:pPr>
            <w:r w:rsidRPr="00A538DD">
              <w:rPr>
                <w:b/>
                <w:sz w:val="18"/>
              </w:rPr>
              <w:t>2001-12-31</w:t>
            </w:r>
          </w:p>
        </w:tc>
        <w:tc>
          <w:tcPr>
            <w:tcW w:w="964" w:type="dxa"/>
            <w:tcBorders>
              <w:bottom w:val="single" w:sz="4" w:space="0" w:color="auto"/>
            </w:tcBorders>
          </w:tcPr>
          <w:p w14:paraId="2D728AF0" w14:textId="77777777" w:rsidR="0048679D" w:rsidRPr="00A538DD" w:rsidRDefault="0048679D">
            <w:pPr>
              <w:jc w:val="right"/>
              <w:rPr>
                <w:b/>
                <w:sz w:val="18"/>
              </w:rPr>
            </w:pPr>
            <w:r w:rsidRPr="00A538DD">
              <w:rPr>
                <w:b/>
                <w:sz w:val="18"/>
              </w:rPr>
              <w:t>2000-12-31</w:t>
            </w:r>
          </w:p>
        </w:tc>
      </w:tr>
      <w:tr w:rsidR="00000000" w:rsidRPr="00A538DD" w14:paraId="3306EC1F" w14:textId="77777777">
        <w:tblPrEx>
          <w:tblCellMar>
            <w:top w:w="0" w:type="dxa"/>
            <w:bottom w:w="0" w:type="dxa"/>
          </w:tblCellMar>
        </w:tblPrEx>
        <w:trPr>
          <w:cantSplit/>
          <w:trHeight w:val="216"/>
        </w:trPr>
        <w:tc>
          <w:tcPr>
            <w:tcW w:w="1701" w:type="dxa"/>
          </w:tcPr>
          <w:p w14:paraId="6FCE2325" w14:textId="77777777" w:rsidR="0048679D" w:rsidRPr="00A538DD" w:rsidRDefault="0048679D">
            <w:pPr>
              <w:rPr>
                <w:b/>
                <w:sz w:val="18"/>
              </w:rPr>
            </w:pPr>
            <w:r w:rsidRPr="00A538DD">
              <w:rPr>
                <w:b/>
                <w:sz w:val="18"/>
              </w:rPr>
              <w:t>TILLGÅNGAR</w:t>
            </w:r>
          </w:p>
        </w:tc>
        <w:tc>
          <w:tcPr>
            <w:tcW w:w="964" w:type="dxa"/>
          </w:tcPr>
          <w:p w14:paraId="5227269F" w14:textId="77777777" w:rsidR="0048679D" w:rsidRPr="00A538DD" w:rsidRDefault="0048679D">
            <w:pPr>
              <w:jc w:val="right"/>
              <w:rPr>
                <w:b/>
                <w:sz w:val="18"/>
              </w:rPr>
            </w:pPr>
          </w:p>
        </w:tc>
        <w:tc>
          <w:tcPr>
            <w:tcW w:w="964" w:type="dxa"/>
          </w:tcPr>
          <w:p w14:paraId="4301760E" w14:textId="77777777" w:rsidR="0048679D" w:rsidRPr="00A538DD" w:rsidRDefault="0048679D">
            <w:pPr>
              <w:jc w:val="right"/>
              <w:rPr>
                <w:b/>
                <w:sz w:val="18"/>
              </w:rPr>
            </w:pPr>
          </w:p>
        </w:tc>
        <w:tc>
          <w:tcPr>
            <w:tcW w:w="964" w:type="dxa"/>
          </w:tcPr>
          <w:p w14:paraId="2A1ADE30" w14:textId="77777777" w:rsidR="0048679D" w:rsidRPr="00A538DD" w:rsidRDefault="0048679D">
            <w:pPr>
              <w:jc w:val="right"/>
              <w:rPr>
                <w:b/>
                <w:sz w:val="18"/>
              </w:rPr>
            </w:pPr>
          </w:p>
        </w:tc>
        <w:tc>
          <w:tcPr>
            <w:tcW w:w="964" w:type="dxa"/>
          </w:tcPr>
          <w:p w14:paraId="63CAAEE1" w14:textId="77777777" w:rsidR="0048679D" w:rsidRPr="00A538DD" w:rsidRDefault="0048679D">
            <w:pPr>
              <w:jc w:val="right"/>
              <w:rPr>
                <w:b/>
                <w:sz w:val="18"/>
              </w:rPr>
            </w:pPr>
          </w:p>
        </w:tc>
        <w:tc>
          <w:tcPr>
            <w:tcW w:w="964" w:type="dxa"/>
          </w:tcPr>
          <w:p w14:paraId="71A3C69A" w14:textId="77777777" w:rsidR="0048679D" w:rsidRPr="00A538DD" w:rsidRDefault="0048679D">
            <w:pPr>
              <w:jc w:val="right"/>
              <w:rPr>
                <w:b/>
                <w:sz w:val="18"/>
              </w:rPr>
            </w:pPr>
          </w:p>
        </w:tc>
      </w:tr>
      <w:tr w:rsidR="00000000" w:rsidRPr="00A538DD" w14:paraId="24F90980" w14:textId="77777777">
        <w:tblPrEx>
          <w:tblCellMar>
            <w:top w:w="0" w:type="dxa"/>
            <w:bottom w:w="0" w:type="dxa"/>
          </w:tblCellMar>
        </w:tblPrEx>
        <w:trPr>
          <w:cantSplit/>
          <w:trHeight w:val="216"/>
        </w:trPr>
        <w:tc>
          <w:tcPr>
            <w:tcW w:w="1701" w:type="dxa"/>
          </w:tcPr>
          <w:p w14:paraId="2B9D2393" w14:textId="77777777" w:rsidR="0048679D" w:rsidRPr="00A538DD" w:rsidRDefault="0048679D">
            <w:pPr>
              <w:rPr>
                <w:sz w:val="18"/>
              </w:rPr>
            </w:pPr>
          </w:p>
        </w:tc>
        <w:tc>
          <w:tcPr>
            <w:tcW w:w="964" w:type="dxa"/>
          </w:tcPr>
          <w:p w14:paraId="466A8EBA" w14:textId="77777777" w:rsidR="0048679D" w:rsidRPr="00A538DD" w:rsidRDefault="0048679D">
            <w:pPr>
              <w:jc w:val="right"/>
              <w:rPr>
                <w:sz w:val="18"/>
              </w:rPr>
            </w:pPr>
          </w:p>
        </w:tc>
        <w:tc>
          <w:tcPr>
            <w:tcW w:w="964" w:type="dxa"/>
          </w:tcPr>
          <w:p w14:paraId="00F244A0" w14:textId="77777777" w:rsidR="0048679D" w:rsidRPr="00A538DD" w:rsidRDefault="0048679D">
            <w:pPr>
              <w:jc w:val="right"/>
              <w:rPr>
                <w:sz w:val="18"/>
              </w:rPr>
            </w:pPr>
          </w:p>
        </w:tc>
        <w:tc>
          <w:tcPr>
            <w:tcW w:w="964" w:type="dxa"/>
          </w:tcPr>
          <w:p w14:paraId="693F5370" w14:textId="77777777" w:rsidR="0048679D" w:rsidRPr="00A538DD" w:rsidRDefault="0048679D">
            <w:pPr>
              <w:jc w:val="right"/>
              <w:rPr>
                <w:sz w:val="18"/>
              </w:rPr>
            </w:pPr>
          </w:p>
        </w:tc>
        <w:tc>
          <w:tcPr>
            <w:tcW w:w="964" w:type="dxa"/>
          </w:tcPr>
          <w:p w14:paraId="3D70DB10" w14:textId="77777777" w:rsidR="0048679D" w:rsidRPr="00A538DD" w:rsidRDefault="0048679D">
            <w:pPr>
              <w:jc w:val="right"/>
              <w:rPr>
                <w:sz w:val="18"/>
              </w:rPr>
            </w:pPr>
          </w:p>
        </w:tc>
        <w:tc>
          <w:tcPr>
            <w:tcW w:w="964" w:type="dxa"/>
          </w:tcPr>
          <w:p w14:paraId="2D90BEEB" w14:textId="77777777" w:rsidR="0048679D" w:rsidRPr="00A538DD" w:rsidRDefault="0048679D">
            <w:pPr>
              <w:jc w:val="right"/>
              <w:rPr>
                <w:sz w:val="18"/>
              </w:rPr>
            </w:pPr>
          </w:p>
        </w:tc>
      </w:tr>
      <w:tr w:rsidR="00000000" w:rsidRPr="00A538DD" w14:paraId="40367AD2" w14:textId="77777777">
        <w:tblPrEx>
          <w:tblCellMar>
            <w:top w:w="0" w:type="dxa"/>
            <w:bottom w:w="0" w:type="dxa"/>
          </w:tblCellMar>
        </w:tblPrEx>
        <w:trPr>
          <w:cantSplit/>
          <w:trHeight w:val="216"/>
        </w:trPr>
        <w:tc>
          <w:tcPr>
            <w:tcW w:w="1701" w:type="dxa"/>
          </w:tcPr>
          <w:p w14:paraId="00EE3BF6" w14:textId="77777777" w:rsidR="0048679D" w:rsidRPr="00A538DD" w:rsidRDefault="0048679D">
            <w:pPr>
              <w:rPr>
                <w:b/>
                <w:sz w:val="18"/>
              </w:rPr>
            </w:pPr>
            <w:r w:rsidRPr="00A538DD">
              <w:rPr>
                <w:b/>
                <w:sz w:val="18"/>
              </w:rPr>
              <w:t>Guld</w:t>
            </w:r>
          </w:p>
        </w:tc>
        <w:tc>
          <w:tcPr>
            <w:tcW w:w="964" w:type="dxa"/>
          </w:tcPr>
          <w:p w14:paraId="4E7EF248" w14:textId="77777777" w:rsidR="0048679D" w:rsidRPr="00A538DD" w:rsidRDefault="0048679D">
            <w:pPr>
              <w:jc w:val="right"/>
              <w:rPr>
                <w:sz w:val="18"/>
              </w:rPr>
            </w:pPr>
            <w:r w:rsidRPr="00A538DD">
              <w:rPr>
                <w:sz w:val="18"/>
              </w:rPr>
              <w:t>17 393</w:t>
            </w:r>
          </w:p>
        </w:tc>
        <w:tc>
          <w:tcPr>
            <w:tcW w:w="964" w:type="dxa"/>
          </w:tcPr>
          <w:p w14:paraId="77218A8C" w14:textId="77777777" w:rsidR="0048679D" w:rsidRPr="00A538DD" w:rsidRDefault="0048679D">
            <w:pPr>
              <w:jc w:val="right"/>
              <w:rPr>
                <w:sz w:val="18"/>
              </w:rPr>
            </w:pPr>
            <w:r w:rsidRPr="00A538DD">
              <w:rPr>
                <w:sz w:val="18"/>
              </w:rPr>
              <w:t>18 030</w:t>
            </w:r>
          </w:p>
        </w:tc>
        <w:tc>
          <w:tcPr>
            <w:tcW w:w="964" w:type="dxa"/>
          </w:tcPr>
          <w:p w14:paraId="5CCD12B8" w14:textId="77777777" w:rsidR="0048679D" w:rsidRPr="00A538DD" w:rsidRDefault="0048679D">
            <w:pPr>
              <w:jc w:val="right"/>
              <w:rPr>
                <w:sz w:val="18"/>
              </w:rPr>
            </w:pPr>
            <w:r w:rsidRPr="00A538DD">
              <w:rPr>
                <w:sz w:val="18"/>
              </w:rPr>
              <w:t>18 210</w:t>
            </w:r>
          </w:p>
        </w:tc>
        <w:tc>
          <w:tcPr>
            <w:tcW w:w="964" w:type="dxa"/>
          </w:tcPr>
          <w:p w14:paraId="42541268" w14:textId="77777777" w:rsidR="0048679D" w:rsidRPr="00A538DD" w:rsidRDefault="0048679D">
            <w:pPr>
              <w:jc w:val="right"/>
              <w:rPr>
                <w:sz w:val="18"/>
              </w:rPr>
            </w:pPr>
            <w:r w:rsidRPr="00A538DD">
              <w:rPr>
                <w:sz w:val="18"/>
              </w:rPr>
              <w:t>17 436</w:t>
            </w:r>
          </w:p>
        </w:tc>
        <w:tc>
          <w:tcPr>
            <w:tcW w:w="964" w:type="dxa"/>
          </w:tcPr>
          <w:p w14:paraId="2E52F966" w14:textId="77777777" w:rsidR="0048679D" w:rsidRPr="00A538DD" w:rsidRDefault="0048679D">
            <w:pPr>
              <w:jc w:val="right"/>
              <w:rPr>
                <w:sz w:val="18"/>
              </w:rPr>
            </w:pPr>
            <w:r w:rsidRPr="00A538DD">
              <w:rPr>
                <w:sz w:val="18"/>
              </w:rPr>
              <w:t>15 428</w:t>
            </w:r>
          </w:p>
        </w:tc>
      </w:tr>
      <w:tr w:rsidR="00000000" w:rsidRPr="00A538DD" w14:paraId="53083807" w14:textId="77777777">
        <w:tblPrEx>
          <w:tblCellMar>
            <w:top w:w="0" w:type="dxa"/>
            <w:bottom w:w="0" w:type="dxa"/>
          </w:tblCellMar>
        </w:tblPrEx>
        <w:trPr>
          <w:cantSplit/>
          <w:trHeight w:val="216"/>
        </w:trPr>
        <w:tc>
          <w:tcPr>
            <w:tcW w:w="1701" w:type="dxa"/>
          </w:tcPr>
          <w:p w14:paraId="0512B00C" w14:textId="77777777" w:rsidR="0048679D" w:rsidRPr="00A538DD" w:rsidRDefault="0048679D">
            <w:pPr>
              <w:rPr>
                <w:sz w:val="18"/>
              </w:rPr>
            </w:pPr>
          </w:p>
        </w:tc>
        <w:tc>
          <w:tcPr>
            <w:tcW w:w="964" w:type="dxa"/>
          </w:tcPr>
          <w:p w14:paraId="38F86319" w14:textId="77777777" w:rsidR="0048679D" w:rsidRPr="00A538DD" w:rsidRDefault="0048679D">
            <w:pPr>
              <w:jc w:val="right"/>
              <w:rPr>
                <w:sz w:val="18"/>
              </w:rPr>
            </w:pPr>
          </w:p>
        </w:tc>
        <w:tc>
          <w:tcPr>
            <w:tcW w:w="964" w:type="dxa"/>
          </w:tcPr>
          <w:p w14:paraId="2BFE8C67" w14:textId="77777777" w:rsidR="0048679D" w:rsidRPr="00A538DD" w:rsidRDefault="0048679D">
            <w:pPr>
              <w:jc w:val="right"/>
              <w:rPr>
                <w:sz w:val="18"/>
              </w:rPr>
            </w:pPr>
          </w:p>
        </w:tc>
        <w:tc>
          <w:tcPr>
            <w:tcW w:w="964" w:type="dxa"/>
          </w:tcPr>
          <w:p w14:paraId="5F5D087C" w14:textId="77777777" w:rsidR="0048679D" w:rsidRPr="00A538DD" w:rsidRDefault="0048679D">
            <w:pPr>
              <w:jc w:val="right"/>
              <w:rPr>
                <w:sz w:val="18"/>
              </w:rPr>
            </w:pPr>
          </w:p>
        </w:tc>
        <w:tc>
          <w:tcPr>
            <w:tcW w:w="964" w:type="dxa"/>
          </w:tcPr>
          <w:p w14:paraId="0F1B5850" w14:textId="77777777" w:rsidR="0048679D" w:rsidRPr="00A538DD" w:rsidRDefault="0048679D">
            <w:pPr>
              <w:jc w:val="right"/>
              <w:rPr>
                <w:sz w:val="18"/>
              </w:rPr>
            </w:pPr>
          </w:p>
        </w:tc>
        <w:tc>
          <w:tcPr>
            <w:tcW w:w="964" w:type="dxa"/>
          </w:tcPr>
          <w:p w14:paraId="2717B1AE" w14:textId="77777777" w:rsidR="0048679D" w:rsidRPr="00A538DD" w:rsidRDefault="0048679D">
            <w:pPr>
              <w:jc w:val="right"/>
              <w:rPr>
                <w:sz w:val="18"/>
              </w:rPr>
            </w:pPr>
          </w:p>
        </w:tc>
      </w:tr>
      <w:tr w:rsidR="00000000" w:rsidRPr="00A538DD" w14:paraId="4E2E3911" w14:textId="77777777">
        <w:tblPrEx>
          <w:tblCellMar>
            <w:top w:w="0" w:type="dxa"/>
            <w:bottom w:w="0" w:type="dxa"/>
          </w:tblCellMar>
        </w:tblPrEx>
        <w:trPr>
          <w:trHeight w:val="216"/>
        </w:trPr>
        <w:tc>
          <w:tcPr>
            <w:tcW w:w="1701" w:type="dxa"/>
          </w:tcPr>
          <w:p w14:paraId="7D5A39E2" w14:textId="77777777" w:rsidR="0048679D" w:rsidRPr="00A538DD" w:rsidRDefault="0048679D">
            <w:pPr>
              <w:jc w:val="left"/>
              <w:rPr>
                <w:b/>
                <w:sz w:val="18"/>
              </w:rPr>
            </w:pPr>
            <w:r w:rsidRPr="00A538DD">
              <w:rPr>
                <w:b/>
                <w:sz w:val="18"/>
              </w:rPr>
              <w:t>Fordringar i utändsk valuta på hemmah</w:t>
            </w:r>
            <w:r w:rsidRPr="00A538DD">
              <w:rPr>
                <w:b/>
                <w:sz w:val="18"/>
              </w:rPr>
              <w:t>ö</w:t>
            </w:r>
            <w:r w:rsidRPr="00A538DD">
              <w:rPr>
                <w:b/>
                <w:sz w:val="18"/>
              </w:rPr>
              <w:t xml:space="preserve">rande utanför </w:t>
            </w:r>
            <w:r w:rsidRPr="00A538DD">
              <w:rPr>
                <w:b/>
                <w:sz w:val="18"/>
              </w:rPr>
              <w:br/>
              <w:t>Sver</w:t>
            </w:r>
            <w:r w:rsidRPr="00A538DD">
              <w:rPr>
                <w:b/>
                <w:sz w:val="18"/>
              </w:rPr>
              <w:t>i</w:t>
            </w:r>
            <w:r w:rsidRPr="00A538DD">
              <w:rPr>
                <w:b/>
                <w:sz w:val="18"/>
              </w:rPr>
              <w:t xml:space="preserve">ge </w:t>
            </w:r>
          </w:p>
        </w:tc>
        <w:tc>
          <w:tcPr>
            <w:tcW w:w="964" w:type="dxa"/>
          </w:tcPr>
          <w:p w14:paraId="096B8F09" w14:textId="77777777" w:rsidR="0048679D" w:rsidRPr="00A538DD" w:rsidRDefault="0048679D">
            <w:pPr>
              <w:jc w:val="right"/>
              <w:rPr>
                <w:sz w:val="18"/>
              </w:rPr>
            </w:pPr>
          </w:p>
        </w:tc>
        <w:tc>
          <w:tcPr>
            <w:tcW w:w="964" w:type="dxa"/>
          </w:tcPr>
          <w:p w14:paraId="7E5B1087" w14:textId="77777777" w:rsidR="0048679D" w:rsidRPr="00A538DD" w:rsidRDefault="0048679D">
            <w:pPr>
              <w:jc w:val="right"/>
              <w:rPr>
                <w:sz w:val="18"/>
              </w:rPr>
            </w:pPr>
          </w:p>
        </w:tc>
        <w:tc>
          <w:tcPr>
            <w:tcW w:w="964" w:type="dxa"/>
          </w:tcPr>
          <w:p w14:paraId="0695F718" w14:textId="77777777" w:rsidR="0048679D" w:rsidRPr="00A538DD" w:rsidRDefault="0048679D">
            <w:pPr>
              <w:jc w:val="right"/>
              <w:rPr>
                <w:sz w:val="18"/>
              </w:rPr>
            </w:pPr>
          </w:p>
        </w:tc>
        <w:tc>
          <w:tcPr>
            <w:tcW w:w="964" w:type="dxa"/>
          </w:tcPr>
          <w:p w14:paraId="4235047F" w14:textId="77777777" w:rsidR="0048679D" w:rsidRPr="00A538DD" w:rsidRDefault="0048679D">
            <w:pPr>
              <w:jc w:val="right"/>
              <w:rPr>
                <w:sz w:val="18"/>
              </w:rPr>
            </w:pPr>
          </w:p>
        </w:tc>
        <w:tc>
          <w:tcPr>
            <w:tcW w:w="964" w:type="dxa"/>
          </w:tcPr>
          <w:p w14:paraId="06FA5F7F" w14:textId="77777777" w:rsidR="0048679D" w:rsidRPr="00A538DD" w:rsidRDefault="0048679D">
            <w:pPr>
              <w:jc w:val="right"/>
              <w:rPr>
                <w:sz w:val="18"/>
              </w:rPr>
            </w:pPr>
          </w:p>
        </w:tc>
      </w:tr>
      <w:tr w:rsidR="00000000" w:rsidRPr="00A538DD" w14:paraId="4BC0730F" w14:textId="77777777">
        <w:tblPrEx>
          <w:tblCellMar>
            <w:top w:w="0" w:type="dxa"/>
            <w:bottom w:w="0" w:type="dxa"/>
          </w:tblCellMar>
        </w:tblPrEx>
        <w:trPr>
          <w:cantSplit/>
          <w:trHeight w:val="216"/>
        </w:trPr>
        <w:tc>
          <w:tcPr>
            <w:tcW w:w="1701" w:type="dxa"/>
          </w:tcPr>
          <w:p w14:paraId="5E502847" w14:textId="77777777" w:rsidR="0048679D" w:rsidRPr="00A538DD" w:rsidRDefault="0048679D">
            <w:pPr>
              <w:rPr>
                <w:sz w:val="18"/>
              </w:rPr>
            </w:pPr>
            <w:r w:rsidRPr="00A538DD">
              <w:rPr>
                <w:sz w:val="18"/>
              </w:rPr>
              <w:t>Fordringar på IMF</w:t>
            </w:r>
          </w:p>
        </w:tc>
        <w:tc>
          <w:tcPr>
            <w:tcW w:w="964" w:type="dxa"/>
          </w:tcPr>
          <w:p w14:paraId="4426033C" w14:textId="77777777" w:rsidR="0048679D" w:rsidRPr="00A538DD" w:rsidRDefault="0048679D">
            <w:pPr>
              <w:jc w:val="right"/>
              <w:rPr>
                <w:sz w:val="18"/>
              </w:rPr>
            </w:pPr>
            <w:r w:rsidRPr="00A538DD">
              <w:rPr>
                <w:sz w:val="18"/>
              </w:rPr>
              <w:t>10 148</w:t>
            </w:r>
          </w:p>
        </w:tc>
        <w:tc>
          <w:tcPr>
            <w:tcW w:w="964" w:type="dxa"/>
          </w:tcPr>
          <w:p w14:paraId="0156EDAA" w14:textId="77777777" w:rsidR="0048679D" w:rsidRPr="00A538DD" w:rsidRDefault="0048679D">
            <w:pPr>
              <w:jc w:val="right"/>
              <w:rPr>
                <w:sz w:val="18"/>
              </w:rPr>
            </w:pPr>
            <w:r w:rsidRPr="00A538DD">
              <w:rPr>
                <w:sz w:val="18"/>
              </w:rPr>
              <w:t>12 241</w:t>
            </w:r>
          </w:p>
        </w:tc>
        <w:tc>
          <w:tcPr>
            <w:tcW w:w="964" w:type="dxa"/>
          </w:tcPr>
          <w:p w14:paraId="7EE85690" w14:textId="77777777" w:rsidR="0048679D" w:rsidRPr="00A538DD" w:rsidRDefault="0048679D">
            <w:pPr>
              <w:jc w:val="right"/>
              <w:rPr>
                <w:sz w:val="18"/>
              </w:rPr>
            </w:pPr>
            <w:r w:rsidRPr="00A538DD">
              <w:rPr>
                <w:sz w:val="18"/>
              </w:rPr>
              <w:t>14 269</w:t>
            </w:r>
          </w:p>
        </w:tc>
        <w:tc>
          <w:tcPr>
            <w:tcW w:w="964" w:type="dxa"/>
          </w:tcPr>
          <w:p w14:paraId="324DE147" w14:textId="77777777" w:rsidR="0048679D" w:rsidRPr="00A538DD" w:rsidRDefault="0048679D">
            <w:pPr>
              <w:jc w:val="right"/>
              <w:rPr>
                <w:sz w:val="18"/>
              </w:rPr>
            </w:pPr>
            <w:r w:rsidRPr="00A538DD">
              <w:rPr>
                <w:sz w:val="18"/>
              </w:rPr>
              <w:t>13 254</w:t>
            </w:r>
          </w:p>
        </w:tc>
        <w:tc>
          <w:tcPr>
            <w:tcW w:w="964" w:type="dxa"/>
          </w:tcPr>
          <w:p w14:paraId="70C835AF" w14:textId="77777777" w:rsidR="0048679D" w:rsidRPr="00A538DD" w:rsidRDefault="0048679D">
            <w:pPr>
              <w:jc w:val="right"/>
              <w:rPr>
                <w:sz w:val="18"/>
              </w:rPr>
            </w:pPr>
            <w:r w:rsidRPr="00A538DD">
              <w:rPr>
                <w:sz w:val="18"/>
              </w:rPr>
              <w:t>10 608</w:t>
            </w:r>
          </w:p>
        </w:tc>
      </w:tr>
      <w:tr w:rsidR="00000000" w:rsidRPr="00A538DD" w14:paraId="049FBBE7" w14:textId="77777777">
        <w:tblPrEx>
          <w:tblCellMar>
            <w:top w:w="0" w:type="dxa"/>
            <w:bottom w:w="0" w:type="dxa"/>
          </w:tblCellMar>
        </w:tblPrEx>
        <w:trPr>
          <w:cantSplit/>
          <w:trHeight w:val="216"/>
        </w:trPr>
        <w:tc>
          <w:tcPr>
            <w:tcW w:w="1701" w:type="dxa"/>
          </w:tcPr>
          <w:p w14:paraId="310AE349" w14:textId="77777777" w:rsidR="0048679D" w:rsidRPr="00A538DD" w:rsidRDefault="0048679D">
            <w:pPr>
              <w:jc w:val="left"/>
              <w:rPr>
                <w:sz w:val="18"/>
              </w:rPr>
            </w:pPr>
            <w:r w:rsidRPr="00A538DD">
              <w:rPr>
                <w:sz w:val="18"/>
              </w:rPr>
              <w:t>Banktillgodohavanden och värd</w:t>
            </w:r>
            <w:r w:rsidRPr="00A538DD">
              <w:rPr>
                <w:sz w:val="18"/>
              </w:rPr>
              <w:t>e</w:t>
            </w:r>
            <w:r w:rsidRPr="00A538DD">
              <w:rPr>
                <w:sz w:val="18"/>
              </w:rPr>
              <w:t>papper</w:t>
            </w:r>
          </w:p>
        </w:tc>
        <w:tc>
          <w:tcPr>
            <w:tcW w:w="964" w:type="dxa"/>
            <w:tcBorders>
              <w:bottom w:val="single" w:sz="6" w:space="0" w:color="auto"/>
            </w:tcBorders>
            <w:vAlign w:val="bottom"/>
          </w:tcPr>
          <w:p w14:paraId="09BE4363" w14:textId="77777777" w:rsidR="0048679D" w:rsidRPr="00A538DD" w:rsidRDefault="0048679D">
            <w:pPr>
              <w:jc w:val="right"/>
              <w:rPr>
                <w:sz w:val="18"/>
              </w:rPr>
            </w:pPr>
            <w:r w:rsidRPr="00A538DD">
              <w:rPr>
                <w:sz w:val="18"/>
              </w:rPr>
              <w:br/>
              <w:t>135 108</w:t>
            </w:r>
          </w:p>
        </w:tc>
        <w:tc>
          <w:tcPr>
            <w:tcW w:w="964" w:type="dxa"/>
            <w:tcBorders>
              <w:bottom w:val="single" w:sz="6" w:space="0" w:color="auto"/>
            </w:tcBorders>
          </w:tcPr>
          <w:p w14:paraId="632BD49A" w14:textId="77777777" w:rsidR="0048679D" w:rsidRPr="00A538DD" w:rsidRDefault="0048679D">
            <w:pPr>
              <w:jc w:val="right"/>
              <w:rPr>
                <w:sz w:val="18"/>
              </w:rPr>
            </w:pPr>
          </w:p>
          <w:p w14:paraId="2387F528" w14:textId="77777777" w:rsidR="0048679D" w:rsidRPr="00A538DD" w:rsidRDefault="0048679D">
            <w:pPr>
              <w:jc w:val="right"/>
              <w:rPr>
                <w:sz w:val="18"/>
              </w:rPr>
            </w:pPr>
            <w:r w:rsidRPr="00A538DD">
              <w:rPr>
                <w:sz w:val="18"/>
              </w:rPr>
              <w:t>129 031</w:t>
            </w:r>
          </w:p>
        </w:tc>
        <w:tc>
          <w:tcPr>
            <w:tcW w:w="964" w:type="dxa"/>
            <w:tcBorders>
              <w:bottom w:val="single" w:sz="6" w:space="0" w:color="auto"/>
            </w:tcBorders>
          </w:tcPr>
          <w:p w14:paraId="31D4D7DF" w14:textId="77777777" w:rsidR="0048679D" w:rsidRPr="00A538DD" w:rsidRDefault="0048679D">
            <w:pPr>
              <w:jc w:val="right"/>
              <w:rPr>
                <w:sz w:val="18"/>
              </w:rPr>
            </w:pPr>
          </w:p>
          <w:p w14:paraId="4D6A65C5" w14:textId="77777777" w:rsidR="0048679D" w:rsidRPr="00A538DD" w:rsidRDefault="0048679D">
            <w:pPr>
              <w:jc w:val="right"/>
              <w:rPr>
                <w:sz w:val="18"/>
              </w:rPr>
            </w:pPr>
            <w:r w:rsidRPr="00A538DD">
              <w:rPr>
                <w:sz w:val="18"/>
              </w:rPr>
              <w:t>133 659</w:t>
            </w:r>
          </w:p>
        </w:tc>
        <w:tc>
          <w:tcPr>
            <w:tcW w:w="964" w:type="dxa"/>
            <w:tcBorders>
              <w:bottom w:val="single" w:sz="6" w:space="0" w:color="auto"/>
            </w:tcBorders>
          </w:tcPr>
          <w:p w14:paraId="05CF15A7" w14:textId="77777777" w:rsidR="0048679D" w:rsidRPr="00A538DD" w:rsidRDefault="0048679D">
            <w:pPr>
              <w:jc w:val="right"/>
              <w:rPr>
                <w:sz w:val="18"/>
              </w:rPr>
            </w:pPr>
            <w:r w:rsidRPr="00A538DD">
              <w:rPr>
                <w:sz w:val="18"/>
              </w:rPr>
              <w:br/>
              <w:t>132 321</w:t>
            </w:r>
          </w:p>
        </w:tc>
        <w:tc>
          <w:tcPr>
            <w:tcW w:w="964" w:type="dxa"/>
            <w:tcBorders>
              <w:bottom w:val="single" w:sz="6" w:space="0" w:color="auto"/>
            </w:tcBorders>
          </w:tcPr>
          <w:p w14:paraId="747E6E66" w14:textId="77777777" w:rsidR="0048679D" w:rsidRPr="00A538DD" w:rsidRDefault="0048679D">
            <w:pPr>
              <w:jc w:val="right"/>
              <w:rPr>
                <w:sz w:val="18"/>
              </w:rPr>
            </w:pPr>
          </w:p>
          <w:p w14:paraId="315E2AE1" w14:textId="77777777" w:rsidR="0048679D" w:rsidRPr="00A538DD" w:rsidRDefault="0048679D">
            <w:pPr>
              <w:jc w:val="right"/>
              <w:rPr>
                <w:sz w:val="18"/>
              </w:rPr>
            </w:pPr>
            <w:r w:rsidRPr="00A538DD">
              <w:rPr>
                <w:sz w:val="18"/>
              </w:rPr>
              <w:t>139 038</w:t>
            </w:r>
          </w:p>
        </w:tc>
      </w:tr>
      <w:tr w:rsidR="00000000" w:rsidRPr="00A538DD" w14:paraId="6A9E985D" w14:textId="77777777">
        <w:tblPrEx>
          <w:tblCellMar>
            <w:top w:w="0" w:type="dxa"/>
            <w:bottom w:w="0" w:type="dxa"/>
          </w:tblCellMar>
        </w:tblPrEx>
        <w:trPr>
          <w:cantSplit/>
          <w:trHeight w:val="216"/>
        </w:trPr>
        <w:tc>
          <w:tcPr>
            <w:tcW w:w="1701" w:type="dxa"/>
          </w:tcPr>
          <w:p w14:paraId="7EF84F4D" w14:textId="77777777" w:rsidR="0048679D" w:rsidRPr="00A538DD" w:rsidRDefault="0048679D">
            <w:pPr>
              <w:rPr>
                <w:sz w:val="18"/>
              </w:rPr>
            </w:pPr>
          </w:p>
        </w:tc>
        <w:tc>
          <w:tcPr>
            <w:tcW w:w="964" w:type="dxa"/>
          </w:tcPr>
          <w:p w14:paraId="17073AA1" w14:textId="77777777" w:rsidR="0048679D" w:rsidRPr="00A538DD" w:rsidRDefault="0048679D">
            <w:pPr>
              <w:jc w:val="right"/>
              <w:rPr>
                <w:sz w:val="18"/>
              </w:rPr>
            </w:pPr>
            <w:r w:rsidRPr="00A538DD">
              <w:rPr>
                <w:sz w:val="18"/>
              </w:rPr>
              <w:t>145 256</w:t>
            </w:r>
          </w:p>
        </w:tc>
        <w:tc>
          <w:tcPr>
            <w:tcW w:w="964" w:type="dxa"/>
          </w:tcPr>
          <w:p w14:paraId="0B60FD7F" w14:textId="77777777" w:rsidR="0048679D" w:rsidRPr="00A538DD" w:rsidRDefault="0048679D">
            <w:pPr>
              <w:jc w:val="right"/>
              <w:rPr>
                <w:sz w:val="18"/>
              </w:rPr>
            </w:pPr>
            <w:r w:rsidRPr="00A538DD">
              <w:rPr>
                <w:sz w:val="18"/>
              </w:rPr>
              <w:t>141 272</w:t>
            </w:r>
          </w:p>
        </w:tc>
        <w:tc>
          <w:tcPr>
            <w:tcW w:w="964" w:type="dxa"/>
          </w:tcPr>
          <w:p w14:paraId="22E99DCC" w14:textId="77777777" w:rsidR="0048679D" w:rsidRPr="00A538DD" w:rsidRDefault="0048679D">
            <w:pPr>
              <w:jc w:val="right"/>
              <w:rPr>
                <w:sz w:val="18"/>
              </w:rPr>
            </w:pPr>
            <w:r w:rsidRPr="00A538DD">
              <w:rPr>
                <w:sz w:val="18"/>
              </w:rPr>
              <w:t>147 928</w:t>
            </w:r>
          </w:p>
        </w:tc>
        <w:tc>
          <w:tcPr>
            <w:tcW w:w="964" w:type="dxa"/>
          </w:tcPr>
          <w:p w14:paraId="77575879" w14:textId="77777777" w:rsidR="0048679D" w:rsidRPr="00A538DD" w:rsidRDefault="0048679D">
            <w:pPr>
              <w:jc w:val="right"/>
              <w:rPr>
                <w:sz w:val="18"/>
              </w:rPr>
            </w:pPr>
            <w:r w:rsidRPr="00A538DD">
              <w:rPr>
                <w:sz w:val="18"/>
              </w:rPr>
              <w:t>145 575</w:t>
            </w:r>
          </w:p>
        </w:tc>
        <w:tc>
          <w:tcPr>
            <w:tcW w:w="964" w:type="dxa"/>
          </w:tcPr>
          <w:p w14:paraId="6CEA1117" w14:textId="77777777" w:rsidR="0048679D" w:rsidRPr="00A538DD" w:rsidRDefault="0048679D">
            <w:pPr>
              <w:jc w:val="right"/>
              <w:rPr>
                <w:sz w:val="18"/>
              </w:rPr>
            </w:pPr>
            <w:r w:rsidRPr="00A538DD">
              <w:rPr>
                <w:sz w:val="18"/>
              </w:rPr>
              <w:t>149 646</w:t>
            </w:r>
          </w:p>
        </w:tc>
      </w:tr>
      <w:tr w:rsidR="00000000" w:rsidRPr="00A538DD" w14:paraId="0FE44CAD" w14:textId="77777777">
        <w:tblPrEx>
          <w:tblCellMar>
            <w:top w:w="0" w:type="dxa"/>
            <w:bottom w:w="0" w:type="dxa"/>
          </w:tblCellMar>
        </w:tblPrEx>
        <w:trPr>
          <w:cantSplit/>
          <w:trHeight w:val="216"/>
        </w:trPr>
        <w:tc>
          <w:tcPr>
            <w:tcW w:w="1701" w:type="dxa"/>
          </w:tcPr>
          <w:p w14:paraId="61480F1C" w14:textId="77777777" w:rsidR="0048679D" w:rsidRPr="00A538DD" w:rsidRDefault="0048679D">
            <w:pPr>
              <w:jc w:val="left"/>
              <w:rPr>
                <w:b/>
                <w:sz w:val="18"/>
              </w:rPr>
            </w:pPr>
            <w:r w:rsidRPr="00A538DD">
              <w:rPr>
                <w:b/>
                <w:sz w:val="18"/>
              </w:rPr>
              <w:t>Utlåning i svenska kronor till pennin</w:t>
            </w:r>
            <w:r w:rsidRPr="00A538DD">
              <w:rPr>
                <w:b/>
                <w:sz w:val="18"/>
              </w:rPr>
              <w:t>g</w:t>
            </w:r>
            <w:r w:rsidRPr="00A538DD">
              <w:rPr>
                <w:b/>
                <w:sz w:val="18"/>
              </w:rPr>
              <w:t>politiska mo</w:t>
            </w:r>
            <w:r w:rsidRPr="00A538DD">
              <w:rPr>
                <w:b/>
                <w:sz w:val="18"/>
              </w:rPr>
              <w:t>t</w:t>
            </w:r>
            <w:r w:rsidRPr="00A538DD">
              <w:rPr>
                <w:b/>
                <w:sz w:val="18"/>
              </w:rPr>
              <w:t>parter</w:t>
            </w:r>
          </w:p>
        </w:tc>
        <w:tc>
          <w:tcPr>
            <w:tcW w:w="964" w:type="dxa"/>
          </w:tcPr>
          <w:p w14:paraId="24789185" w14:textId="77777777" w:rsidR="0048679D" w:rsidRPr="00A538DD" w:rsidRDefault="0048679D">
            <w:pPr>
              <w:jc w:val="right"/>
              <w:rPr>
                <w:sz w:val="18"/>
              </w:rPr>
            </w:pPr>
          </w:p>
        </w:tc>
        <w:tc>
          <w:tcPr>
            <w:tcW w:w="964" w:type="dxa"/>
          </w:tcPr>
          <w:p w14:paraId="407367D2" w14:textId="77777777" w:rsidR="0048679D" w:rsidRPr="00A538DD" w:rsidRDefault="0048679D">
            <w:pPr>
              <w:jc w:val="right"/>
              <w:rPr>
                <w:sz w:val="18"/>
              </w:rPr>
            </w:pPr>
          </w:p>
        </w:tc>
        <w:tc>
          <w:tcPr>
            <w:tcW w:w="964" w:type="dxa"/>
          </w:tcPr>
          <w:p w14:paraId="2662A83A" w14:textId="77777777" w:rsidR="0048679D" w:rsidRPr="00A538DD" w:rsidRDefault="0048679D">
            <w:pPr>
              <w:jc w:val="right"/>
              <w:rPr>
                <w:sz w:val="18"/>
              </w:rPr>
            </w:pPr>
          </w:p>
        </w:tc>
        <w:tc>
          <w:tcPr>
            <w:tcW w:w="964" w:type="dxa"/>
          </w:tcPr>
          <w:p w14:paraId="31DC70BE" w14:textId="77777777" w:rsidR="0048679D" w:rsidRPr="00A538DD" w:rsidRDefault="0048679D">
            <w:pPr>
              <w:jc w:val="right"/>
              <w:rPr>
                <w:sz w:val="18"/>
              </w:rPr>
            </w:pPr>
          </w:p>
        </w:tc>
        <w:tc>
          <w:tcPr>
            <w:tcW w:w="964" w:type="dxa"/>
          </w:tcPr>
          <w:p w14:paraId="70DE0149" w14:textId="77777777" w:rsidR="0048679D" w:rsidRPr="00A538DD" w:rsidRDefault="0048679D">
            <w:pPr>
              <w:jc w:val="right"/>
              <w:rPr>
                <w:sz w:val="18"/>
              </w:rPr>
            </w:pPr>
          </w:p>
        </w:tc>
      </w:tr>
      <w:tr w:rsidR="00000000" w:rsidRPr="00A538DD" w14:paraId="42CFFCF7" w14:textId="77777777">
        <w:tblPrEx>
          <w:tblCellMar>
            <w:top w:w="0" w:type="dxa"/>
            <w:bottom w:w="0" w:type="dxa"/>
          </w:tblCellMar>
        </w:tblPrEx>
        <w:trPr>
          <w:cantSplit/>
          <w:trHeight w:val="216"/>
        </w:trPr>
        <w:tc>
          <w:tcPr>
            <w:tcW w:w="1701" w:type="dxa"/>
          </w:tcPr>
          <w:p w14:paraId="445E45C4" w14:textId="77777777" w:rsidR="0048679D" w:rsidRPr="00A538DD" w:rsidRDefault="0048679D">
            <w:pPr>
              <w:jc w:val="left"/>
              <w:rPr>
                <w:sz w:val="18"/>
              </w:rPr>
            </w:pPr>
            <w:r w:rsidRPr="00A538DD">
              <w:rPr>
                <w:sz w:val="18"/>
              </w:rPr>
              <w:t>Huvudsakliga refina</w:t>
            </w:r>
            <w:r w:rsidRPr="00A538DD">
              <w:rPr>
                <w:sz w:val="18"/>
              </w:rPr>
              <w:t>n</w:t>
            </w:r>
            <w:r w:rsidRPr="00A538DD">
              <w:rPr>
                <w:sz w:val="18"/>
              </w:rPr>
              <w:t>sieringstransakti</w:t>
            </w:r>
            <w:r w:rsidRPr="00A538DD">
              <w:rPr>
                <w:sz w:val="18"/>
              </w:rPr>
              <w:t>o</w:t>
            </w:r>
            <w:r w:rsidRPr="00A538DD">
              <w:rPr>
                <w:sz w:val="18"/>
              </w:rPr>
              <w:t>ner</w:t>
            </w:r>
          </w:p>
        </w:tc>
        <w:tc>
          <w:tcPr>
            <w:tcW w:w="964" w:type="dxa"/>
            <w:vAlign w:val="bottom"/>
          </w:tcPr>
          <w:p w14:paraId="6FA73D87" w14:textId="77777777" w:rsidR="0048679D" w:rsidRPr="00A538DD" w:rsidRDefault="0048679D">
            <w:pPr>
              <w:jc w:val="right"/>
              <w:rPr>
                <w:sz w:val="18"/>
              </w:rPr>
            </w:pPr>
            <w:r w:rsidRPr="00A538DD">
              <w:rPr>
                <w:sz w:val="18"/>
              </w:rPr>
              <w:br/>
              <w:t>17 000</w:t>
            </w:r>
          </w:p>
        </w:tc>
        <w:tc>
          <w:tcPr>
            <w:tcW w:w="964" w:type="dxa"/>
            <w:vAlign w:val="bottom"/>
          </w:tcPr>
          <w:p w14:paraId="7DF04F43" w14:textId="77777777" w:rsidR="0048679D" w:rsidRPr="00A538DD" w:rsidRDefault="0048679D">
            <w:pPr>
              <w:jc w:val="right"/>
              <w:rPr>
                <w:sz w:val="18"/>
              </w:rPr>
            </w:pPr>
            <w:r w:rsidRPr="00A538DD">
              <w:rPr>
                <w:sz w:val="18"/>
              </w:rPr>
              <w:br/>
              <w:t>23 800</w:t>
            </w:r>
          </w:p>
        </w:tc>
        <w:tc>
          <w:tcPr>
            <w:tcW w:w="964" w:type="dxa"/>
            <w:vAlign w:val="bottom"/>
          </w:tcPr>
          <w:p w14:paraId="071DBAD9" w14:textId="77777777" w:rsidR="0048679D" w:rsidRPr="00A538DD" w:rsidRDefault="0048679D">
            <w:pPr>
              <w:jc w:val="right"/>
              <w:rPr>
                <w:sz w:val="18"/>
              </w:rPr>
            </w:pPr>
          </w:p>
          <w:p w14:paraId="1A95D3E7" w14:textId="77777777" w:rsidR="0048679D" w:rsidRPr="00A538DD" w:rsidRDefault="0048679D">
            <w:pPr>
              <w:jc w:val="right"/>
              <w:rPr>
                <w:sz w:val="18"/>
              </w:rPr>
            </w:pPr>
            <w:r w:rsidRPr="00A538DD">
              <w:rPr>
                <w:sz w:val="18"/>
              </w:rPr>
              <w:t>29 179</w:t>
            </w:r>
          </w:p>
        </w:tc>
        <w:tc>
          <w:tcPr>
            <w:tcW w:w="964" w:type="dxa"/>
            <w:vAlign w:val="bottom"/>
          </w:tcPr>
          <w:p w14:paraId="00EEF9D2" w14:textId="77777777" w:rsidR="0048679D" w:rsidRPr="00A538DD" w:rsidRDefault="0048679D">
            <w:pPr>
              <w:jc w:val="right"/>
              <w:rPr>
                <w:sz w:val="18"/>
              </w:rPr>
            </w:pPr>
          </w:p>
          <w:p w14:paraId="6AF2A9E7" w14:textId="77777777" w:rsidR="0048679D" w:rsidRPr="00A538DD" w:rsidRDefault="0048679D">
            <w:pPr>
              <w:jc w:val="right"/>
              <w:rPr>
                <w:sz w:val="18"/>
              </w:rPr>
            </w:pPr>
            <w:r w:rsidRPr="00A538DD">
              <w:rPr>
                <w:sz w:val="18"/>
              </w:rPr>
              <w:t>65 030</w:t>
            </w:r>
          </w:p>
        </w:tc>
        <w:tc>
          <w:tcPr>
            <w:tcW w:w="964" w:type="dxa"/>
            <w:vAlign w:val="bottom"/>
          </w:tcPr>
          <w:p w14:paraId="7A6D0118" w14:textId="77777777" w:rsidR="0048679D" w:rsidRPr="00A538DD" w:rsidRDefault="0048679D">
            <w:pPr>
              <w:jc w:val="right"/>
              <w:rPr>
                <w:sz w:val="18"/>
              </w:rPr>
            </w:pPr>
            <w:r w:rsidRPr="00A538DD">
              <w:rPr>
                <w:sz w:val="18"/>
              </w:rPr>
              <w:br/>
              <w:t>40 817</w:t>
            </w:r>
          </w:p>
        </w:tc>
      </w:tr>
      <w:tr w:rsidR="00000000" w:rsidRPr="00A538DD" w14:paraId="522BE4FD" w14:textId="77777777">
        <w:tblPrEx>
          <w:tblCellMar>
            <w:top w:w="0" w:type="dxa"/>
            <w:bottom w:w="0" w:type="dxa"/>
          </w:tblCellMar>
        </w:tblPrEx>
        <w:trPr>
          <w:cantSplit/>
          <w:trHeight w:val="216"/>
        </w:trPr>
        <w:tc>
          <w:tcPr>
            <w:tcW w:w="1701" w:type="dxa"/>
          </w:tcPr>
          <w:p w14:paraId="40286453" w14:textId="77777777" w:rsidR="0048679D" w:rsidRPr="00A538DD" w:rsidRDefault="0048679D">
            <w:pPr>
              <w:jc w:val="left"/>
              <w:rPr>
                <w:sz w:val="18"/>
              </w:rPr>
            </w:pPr>
            <w:r w:rsidRPr="00A538DD">
              <w:rPr>
                <w:sz w:val="18"/>
              </w:rPr>
              <w:t>Finjusterande tran</w:t>
            </w:r>
            <w:r w:rsidRPr="00A538DD">
              <w:rPr>
                <w:sz w:val="18"/>
              </w:rPr>
              <w:t>s</w:t>
            </w:r>
            <w:r w:rsidRPr="00A538DD">
              <w:rPr>
                <w:sz w:val="18"/>
              </w:rPr>
              <w:t>aktioner</w:t>
            </w:r>
          </w:p>
        </w:tc>
        <w:tc>
          <w:tcPr>
            <w:tcW w:w="964" w:type="dxa"/>
            <w:vAlign w:val="bottom"/>
          </w:tcPr>
          <w:p w14:paraId="689DA0C3" w14:textId="77777777" w:rsidR="0048679D" w:rsidRPr="00A538DD" w:rsidRDefault="0048679D">
            <w:pPr>
              <w:jc w:val="right"/>
              <w:rPr>
                <w:sz w:val="18"/>
              </w:rPr>
            </w:pPr>
            <w:r w:rsidRPr="00A538DD">
              <w:rPr>
                <w:sz w:val="18"/>
              </w:rPr>
              <w:t>–</w:t>
            </w:r>
          </w:p>
        </w:tc>
        <w:tc>
          <w:tcPr>
            <w:tcW w:w="964" w:type="dxa"/>
            <w:vAlign w:val="bottom"/>
          </w:tcPr>
          <w:p w14:paraId="022D462A" w14:textId="77777777" w:rsidR="0048679D" w:rsidRPr="00A538DD" w:rsidRDefault="0048679D">
            <w:pPr>
              <w:jc w:val="right"/>
              <w:rPr>
                <w:sz w:val="18"/>
              </w:rPr>
            </w:pPr>
            <w:r w:rsidRPr="00A538DD">
              <w:rPr>
                <w:sz w:val="18"/>
              </w:rPr>
              <w:t>–</w:t>
            </w:r>
          </w:p>
        </w:tc>
        <w:tc>
          <w:tcPr>
            <w:tcW w:w="964" w:type="dxa"/>
            <w:vAlign w:val="bottom"/>
          </w:tcPr>
          <w:p w14:paraId="1DE96D43" w14:textId="77777777" w:rsidR="0048679D" w:rsidRPr="00A538DD" w:rsidRDefault="0048679D">
            <w:pPr>
              <w:jc w:val="right"/>
              <w:rPr>
                <w:sz w:val="18"/>
              </w:rPr>
            </w:pPr>
            <w:r w:rsidRPr="00A538DD">
              <w:rPr>
                <w:sz w:val="18"/>
              </w:rPr>
              <w:t>1 415</w:t>
            </w:r>
          </w:p>
        </w:tc>
        <w:tc>
          <w:tcPr>
            <w:tcW w:w="964" w:type="dxa"/>
            <w:vAlign w:val="bottom"/>
          </w:tcPr>
          <w:p w14:paraId="1F115911" w14:textId="77777777" w:rsidR="0048679D" w:rsidRPr="00A538DD" w:rsidRDefault="0048679D">
            <w:pPr>
              <w:jc w:val="right"/>
              <w:rPr>
                <w:sz w:val="18"/>
              </w:rPr>
            </w:pPr>
            <w:r w:rsidRPr="00A538DD">
              <w:rPr>
                <w:sz w:val="18"/>
              </w:rPr>
              <w:t>3 986</w:t>
            </w:r>
          </w:p>
        </w:tc>
        <w:tc>
          <w:tcPr>
            <w:tcW w:w="964" w:type="dxa"/>
            <w:vAlign w:val="bottom"/>
          </w:tcPr>
          <w:p w14:paraId="7792B4B8" w14:textId="77777777" w:rsidR="0048679D" w:rsidRPr="00A538DD" w:rsidRDefault="0048679D">
            <w:pPr>
              <w:jc w:val="right"/>
              <w:rPr>
                <w:sz w:val="18"/>
              </w:rPr>
            </w:pPr>
            <w:r w:rsidRPr="00A538DD">
              <w:rPr>
                <w:sz w:val="18"/>
              </w:rPr>
              <w:t>2 284</w:t>
            </w:r>
          </w:p>
        </w:tc>
      </w:tr>
      <w:tr w:rsidR="00000000" w:rsidRPr="00A538DD" w14:paraId="747189F7" w14:textId="77777777">
        <w:tblPrEx>
          <w:tblCellMar>
            <w:top w:w="0" w:type="dxa"/>
            <w:bottom w:w="0" w:type="dxa"/>
          </w:tblCellMar>
        </w:tblPrEx>
        <w:trPr>
          <w:cantSplit/>
          <w:trHeight w:val="216"/>
        </w:trPr>
        <w:tc>
          <w:tcPr>
            <w:tcW w:w="1701" w:type="dxa"/>
          </w:tcPr>
          <w:p w14:paraId="78FC9858" w14:textId="77777777" w:rsidR="0048679D" w:rsidRPr="00A538DD" w:rsidRDefault="0048679D">
            <w:pPr>
              <w:jc w:val="left"/>
              <w:rPr>
                <w:sz w:val="18"/>
              </w:rPr>
            </w:pPr>
            <w:r w:rsidRPr="00A538DD">
              <w:rPr>
                <w:sz w:val="18"/>
              </w:rPr>
              <w:t>Utlåningsfacilitet</w:t>
            </w:r>
          </w:p>
        </w:tc>
        <w:tc>
          <w:tcPr>
            <w:tcW w:w="964" w:type="dxa"/>
            <w:tcBorders>
              <w:bottom w:val="single" w:sz="6" w:space="0" w:color="auto"/>
            </w:tcBorders>
          </w:tcPr>
          <w:p w14:paraId="0D6D7164" w14:textId="77777777" w:rsidR="0048679D" w:rsidRPr="00A538DD" w:rsidRDefault="0048679D">
            <w:pPr>
              <w:jc w:val="right"/>
              <w:rPr>
                <w:sz w:val="18"/>
              </w:rPr>
            </w:pPr>
            <w:r w:rsidRPr="00A538DD">
              <w:rPr>
                <w:sz w:val="18"/>
              </w:rPr>
              <w:t>2</w:t>
            </w:r>
          </w:p>
        </w:tc>
        <w:tc>
          <w:tcPr>
            <w:tcW w:w="964" w:type="dxa"/>
            <w:tcBorders>
              <w:bottom w:val="single" w:sz="6" w:space="0" w:color="auto"/>
            </w:tcBorders>
          </w:tcPr>
          <w:p w14:paraId="3AA3C1E6" w14:textId="77777777" w:rsidR="0048679D" w:rsidRPr="00A538DD" w:rsidRDefault="0048679D">
            <w:pPr>
              <w:jc w:val="right"/>
              <w:rPr>
                <w:sz w:val="18"/>
              </w:rPr>
            </w:pPr>
            <w:r w:rsidRPr="00A538DD">
              <w:rPr>
                <w:sz w:val="18"/>
              </w:rPr>
              <w:t>0</w:t>
            </w:r>
          </w:p>
        </w:tc>
        <w:tc>
          <w:tcPr>
            <w:tcW w:w="964" w:type="dxa"/>
            <w:tcBorders>
              <w:bottom w:val="single" w:sz="6" w:space="0" w:color="auto"/>
            </w:tcBorders>
          </w:tcPr>
          <w:p w14:paraId="375273B7" w14:textId="77777777" w:rsidR="0048679D" w:rsidRPr="00A538DD" w:rsidRDefault="0048679D">
            <w:pPr>
              <w:jc w:val="right"/>
              <w:rPr>
                <w:sz w:val="18"/>
              </w:rPr>
            </w:pPr>
            <w:r w:rsidRPr="00A538DD">
              <w:rPr>
                <w:sz w:val="18"/>
              </w:rPr>
              <w:t>87</w:t>
            </w:r>
          </w:p>
        </w:tc>
        <w:tc>
          <w:tcPr>
            <w:tcW w:w="964" w:type="dxa"/>
            <w:tcBorders>
              <w:bottom w:val="single" w:sz="6" w:space="0" w:color="auto"/>
            </w:tcBorders>
          </w:tcPr>
          <w:p w14:paraId="712E012E" w14:textId="77777777" w:rsidR="0048679D" w:rsidRPr="00A538DD" w:rsidRDefault="0048679D">
            <w:pPr>
              <w:jc w:val="right"/>
              <w:rPr>
                <w:sz w:val="18"/>
              </w:rPr>
            </w:pPr>
            <w:r w:rsidRPr="00A538DD">
              <w:rPr>
                <w:sz w:val="18"/>
              </w:rPr>
              <w:t>29</w:t>
            </w:r>
          </w:p>
        </w:tc>
        <w:tc>
          <w:tcPr>
            <w:tcW w:w="964" w:type="dxa"/>
            <w:tcBorders>
              <w:bottom w:val="single" w:sz="6" w:space="0" w:color="auto"/>
            </w:tcBorders>
          </w:tcPr>
          <w:p w14:paraId="0CF0296A" w14:textId="77777777" w:rsidR="0048679D" w:rsidRPr="00A538DD" w:rsidRDefault="0048679D">
            <w:pPr>
              <w:jc w:val="right"/>
              <w:rPr>
                <w:sz w:val="18"/>
              </w:rPr>
            </w:pPr>
            <w:r w:rsidRPr="00A538DD">
              <w:rPr>
                <w:sz w:val="18"/>
              </w:rPr>
              <w:t>48</w:t>
            </w:r>
          </w:p>
        </w:tc>
      </w:tr>
      <w:tr w:rsidR="00000000" w:rsidRPr="00A538DD" w14:paraId="7B3EA682" w14:textId="77777777">
        <w:tblPrEx>
          <w:tblCellMar>
            <w:top w:w="0" w:type="dxa"/>
            <w:bottom w:w="0" w:type="dxa"/>
          </w:tblCellMar>
        </w:tblPrEx>
        <w:trPr>
          <w:cantSplit/>
          <w:trHeight w:val="216"/>
        </w:trPr>
        <w:tc>
          <w:tcPr>
            <w:tcW w:w="1701" w:type="dxa"/>
          </w:tcPr>
          <w:p w14:paraId="42C6CD5B" w14:textId="77777777" w:rsidR="0048679D" w:rsidRPr="00A538DD" w:rsidRDefault="0048679D">
            <w:pPr>
              <w:rPr>
                <w:sz w:val="18"/>
              </w:rPr>
            </w:pPr>
          </w:p>
        </w:tc>
        <w:tc>
          <w:tcPr>
            <w:tcW w:w="964" w:type="dxa"/>
          </w:tcPr>
          <w:p w14:paraId="5FC0E304" w14:textId="77777777" w:rsidR="0048679D" w:rsidRPr="00A538DD" w:rsidRDefault="0048679D">
            <w:pPr>
              <w:jc w:val="right"/>
              <w:rPr>
                <w:sz w:val="18"/>
              </w:rPr>
            </w:pPr>
            <w:r w:rsidRPr="00A538DD">
              <w:rPr>
                <w:sz w:val="18"/>
              </w:rPr>
              <w:t>17 002</w:t>
            </w:r>
          </w:p>
        </w:tc>
        <w:tc>
          <w:tcPr>
            <w:tcW w:w="964" w:type="dxa"/>
          </w:tcPr>
          <w:p w14:paraId="05D1EAD2" w14:textId="77777777" w:rsidR="0048679D" w:rsidRPr="00A538DD" w:rsidRDefault="0048679D">
            <w:pPr>
              <w:jc w:val="right"/>
              <w:rPr>
                <w:sz w:val="18"/>
              </w:rPr>
            </w:pPr>
            <w:r w:rsidRPr="00A538DD">
              <w:rPr>
                <w:sz w:val="18"/>
              </w:rPr>
              <w:t>23 800</w:t>
            </w:r>
          </w:p>
        </w:tc>
        <w:tc>
          <w:tcPr>
            <w:tcW w:w="964" w:type="dxa"/>
          </w:tcPr>
          <w:p w14:paraId="612A3003" w14:textId="77777777" w:rsidR="0048679D" w:rsidRPr="00A538DD" w:rsidRDefault="0048679D">
            <w:pPr>
              <w:jc w:val="right"/>
              <w:rPr>
                <w:sz w:val="18"/>
              </w:rPr>
            </w:pPr>
            <w:r w:rsidRPr="00A538DD">
              <w:rPr>
                <w:sz w:val="18"/>
              </w:rPr>
              <w:t>30 681</w:t>
            </w:r>
          </w:p>
        </w:tc>
        <w:tc>
          <w:tcPr>
            <w:tcW w:w="964" w:type="dxa"/>
          </w:tcPr>
          <w:p w14:paraId="2A80C5FF" w14:textId="77777777" w:rsidR="0048679D" w:rsidRPr="00A538DD" w:rsidRDefault="0048679D">
            <w:pPr>
              <w:jc w:val="right"/>
              <w:rPr>
                <w:sz w:val="18"/>
              </w:rPr>
            </w:pPr>
            <w:r w:rsidRPr="00A538DD">
              <w:rPr>
                <w:sz w:val="18"/>
              </w:rPr>
              <w:t>69 045</w:t>
            </w:r>
          </w:p>
        </w:tc>
        <w:tc>
          <w:tcPr>
            <w:tcW w:w="964" w:type="dxa"/>
          </w:tcPr>
          <w:p w14:paraId="2938987C" w14:textId="77777777" w:rsidR="0048679D" w:rsidRPr="00A538DD" w:rsidRDefault="0048679D">
            <w:pPr>
              <w:jc w:val="right"/>
              <w:rPr>
                <w:sz w:val="18"/>
              </w:rPr>
            </w:pPr>
            <w:r w:rsidRPr="00A538DD">
              <w:rPr>
                <w:sz w:val="18"/>
              </w:rPr>
              <w:t>43 149</w:t>
            </w:r>
          </w:p>
        </w:tc>
      </w:tr>
      <w:tr w:rsidR="00000000" w:rsidRPr="00A538DD" w14:paraId="692BCD51" w14:textId="77777777">
        <w:tblPrEx>
          <w:tblCellMar>
            <w:top w:w="0" w:type="dxa"/>
            <w:bottom w:w="0" w:type="dxa"/>
          </w:tblCellMar>
        </w:tblPrEx>
        <w:trPr>
          <w:cantSplit/>
          <w:trHeight w:val="216"/>
        </w:trPr>
        <w:tc>
          <w:tcPr>
            <w:tcW w:w="1701" w:type="dxa"/>
          </w:tcPr>
          <w:p w14:paraId="2D86C4C9" w14:textId="77777777" w:rsidR="0048679D" w:rsidRPr="00A538DD" w:rsidRDefault="0048679D">
            <w:pPr>
              <w:rPr>
                <w:sz w:val="18"/>
              </w:rPr>
            </w:pPr>
          </w:p>
        </w:tc>
        <w:tc>
          <w:tcPr>
            <w:tcW w:w="964" w:type="dxa"/>
          </w:tcPr>
          <w:p w14:paraId="26381ABA" w14:textId="77777777" w:rsidR="0048679D" w:rsidRPr="00A538DD" w:rsidRDefault="0048679D">
            <w:pPr>
              <w:jc w:val="right"/>
              <w:rPr>
                <w:sz w:val="18"/>
              </w:rPr>
            </w:pPr>
          </w:p>
        </w:tc>
        <w:tc>
          <w:tcPr>
            <w:tcW w:w="964" w:type="dxa"/>
          </w:tcPr>
          <w:p w14:paraId="516624E4" w14:textId="77777777" w:rsidR="0048679D" w:rsidRPr="00A538DD" w:rsidRDefault="0048679D">
            <w:pPr>
              <w:jc w:val="right"/>
              <w:rPr>
                <w:sz w:val="18"/>
              </w:rPr>
            </w:pPr>
          </w:p>
        </w:tc>
        <w:tc>
          <w:tcPr>
            <w:tcW w:w="964" w:type="dxa"/>
          </w:tcPr>
          <w:p w14:paraId="56A21811" w14:textId="77777777" w:rsidR="0048679D" w:rsidRPr="00A538DD" w:rsidRDefault="0048679D">
            <w:pPr>
              <w:jc w:val="right"/>
              <w:rPr>
                <w:sz w:val="18"/>
              </w:rPr>
            </w:pPr>
          </w:p>
        </w:tc>
        <w:tc>
          <w:tcPr>
            <w:tcW w:w="964" w:type="dxa"/>
          </w:tcPr>
          <w:p w14:paraId="23822AD4" w14:textId="77777777" w:rsidR="0048679D" w:rsidRPr="00A538DD" w:rsidRDefault="0048679D">
            <w:pPr>
              <w:jc w:val="right"/>
              <w:rPr>
                <w:sz w:val="18"/>
              </w:rPr>
            </w:pPr>
          </w:p>
        </w:tc>
        <w:tc>
          <w:tcPr>
            <w:tcW w:w="964" w:type="dxa"/>
          </w:tcPr>
          <w:p w14:paraId="53B1DB02" w14:textId="77777777" w:rsidR="0048679D" w:rsidRPr="00A538DD" w:rsidRDefault="0048679D">
            <w:pPr>
              <w:jc w:val="right"/>
              <w:rPr>
                <w:sz w:val="18"/>
              </w:rPr>
            </w:pPr>
          </w:p>
        </w:tc>
      </w:tr>
      <w:tr w:rsidR="00000000" w:rsidRPr="00A538DD" w14:paraId="7C969D41" w14:textId="77777777">
        <w:tblPrEx>
          <w:tblCellMar>
            <w:top w:w="0" w:type="dxa"/>
            <w:bottom w:w="0" w:type="dxa"/>
          </w:tblCellMar>
        </w:tblPrEx>
        <w:trPr>
          <w:trHeight w:val="216"/>
        </w:trPr>
        <w:tc>
          <w:tcPr>
            <w:tcW w:w="1701" w:type="dxa"/>
          </w:tcPr>
          <w:p w14:paraId="5070845A" w14:textId="77777777" w:rsidR="0048679D" w:rsidRPr="00A538DD" w:rsidRDefault="0048679D">
            <w:pPr>
              <w:jc w:val="left"/>
              <w:rPr>
                <w:b/>
                <w:sz w:val="18"/>
              </w:rPr>
            </w:pPr>
            <w:r w:rsidRPr="00A538DD">
              <w:rPr>
                <w:b/>
                <w:sz w:val="18"/>
              </w:rPr>
              <w:t>Värdepapper i svenska kronor utgivna av hemma</w:t>
            </w:r>
            <w:r w:rsidRPr="00A538DD">
              <w:rPr>
                <w:b/>
                <w:sz w:val="18"/>
              </w:rPr>
              <w:softHyphen/>
              <w:t>hörande i Sverige</w:t>
            </w:r>
          </w:p>
        </w:tc>
        <w:tc>
          <w:tcPr>
            <w:tcW w:w="964" w:type="dxa"/>
            <w:vAlign w:val="bottom"/>
          </w:tcPr>
          <w:p w14:paraId="07924811" w14:textId="77777777" w:rsidR="0048679D" w:rsidRPr="00A538DD" w:rsidRDefault="0048679D">
            <w:pPr>
              <w:jc w:val="right"/>
              <w:rPr>
                <w:sz w:val="18"/>
              </w:rPr>
            </w:pPr>
            <w:r w:rsidRPr="00A538DD">
              <w:rPr>
                <w:sz w:val="18"/>
              </w:rPr>
              <w:br/>
              <w:t>–</w:t>
            </w:r>
          </w:p>
        </w:tc>
        <w:tc>
          <w:tcPr>
            <w:tcW w:w="964" w:type="dxa"/>
            <w:vAlign w:val="bottom"/>
          </w:tcPr>
          <w:p w14:paraId="11E35FB6" w14:textId="77777777" w:rsidR="0048679D" w:rsidRPr="00A538DD" w:rsidRDefault="0048679D">
            <w:pPr>
              <w:jc w:val="right"/>
              <w:rPr>
                <w:sz w:val="18"/>
              </w:rPr>
            </w:pPr>
            <w:r w:rsidRPr="00A538DD">
              <w:rPr>
                <w:sz w:val="18"/>
              </w:rPr>
              <w:t>–</w:t>
            </w:r>
          </w:p>
        </w:tc>
        <w:tc>
          <w:tcPr>
            <w:tcW w:w="964" w:type="dxa"/>
            <w:vAlign w:val="bottom"/>
          </w:tcPr>
          <w:p w14:paraId="5ADB910C" w14:textId="77777777" w:rsidR="0048679D" w:rsidRPr="00A538DD" w:rsidRDefault="0048679D">
            <w:pPr>
              <w:jc w:val="right"/>
              <w:rPr>
                <w:sz w:val="18"/>
              </w:rPr>
            </w:pPr>
          </w:p>
          <w:p w14:paraId="34586196" w14:textId="77777777" w:rsidR="0048679D" w:rsidRPr="00A538DD" w:rsidRDefault="0048679D">
            <w:pPr>
              <w:jc w:val="right"/>
              <w:rPr>
                <w:sz w:val="18"/>
              </w:rPr>
            </w:pPr>
            <w:r w:rsidRPr="00A538DD">
              <w:rPr>
                <w:sz w:val="18"/>
              </w:rPr>
              <w:t>–</w:t>
            </w:r>
          </w:p>
        </w:tc>
        <w:tc>
          <w:tcPr>
            <w:tcW w:w="964" w:type="dxa"/>
            <w:vAlign w:val="bottom"/>
          </w:tcPr>
          <w:p w14:paraId="3DA4845E" w14:textId="77777777" w:rsidR="0048679D" w:rsidRPr="00A538DD" w:rsidRDefault="0048679D">
            <w:pPr>
              <w:jc w:val="right"/>
              <w:rPr>
                <w:sz w:val="18"/>
              </w:rPr>
            </w:pPr>
          </w:p>
          <w:p w14:paraId="6B76F1EC" w14:textId="77777777" w:rsidR="0048679D" w:rsidRPr="00A538DD" w:rsidRDefault="0048679D">
            <w:pPr>
              <w:jc w:val="right"/>
              <w:rPr>
                <w:sz w:val="18"/>
              </w:rPr>
            </w:pPr>
            <w:r w:rsidRPr="00A538DD">
              <w:rPr>
                <w:sz w:val="18"/>
              </w:rPr>
              <w:t>–</w:t>
            </w:r>
          </w:p>
        </w:tc>
        <w:tc>
          <w:tcPr>
            <w:tcW w:w="964" w:type="dxa"/>
            <w:vAlign w:val="bottom"/>
          </w:tcPr>
          <w:p w14:paraId="4D2BDA87" w14:textId="77777777" w:rsidR="0048679D" w:rsidRPr="00A538DD" w:rsidRDefault="0048679D">
            <w:pPr>
              <w:jc w:val="right"/>
              <w:rPr>
                <w:sz w:val="18"/>
              </w:rPr>
            </w:pPr>
          </w:p>
          <w:p w14:paraId="266B472F" w14:textId="77777777" w:rsidR="0048679D" w:rsidRPr="00A538DD" w:rsidRDefault="0048679D">
            <w:pPr>
              <w:jc w:val="right"/>
              <w:rPr>
                <w:sz w:val="18"/>
              </w:rPr>
            </w:pPr>
            <w:r w:rsidRPr="00A538DD">
              <w:rPr>
                <w:sz w:val="18"/>
              </w:rPr>
              <w:t>19 893</w:t>
            </w:r>
          </w:p>
        </w:tc>
      </w:tr>
      <w:tr w:rsidR="00000000" w:rsidRPr="00A538DD" w14:paraId="47BCE2BB" w14:textId="77777777">
        <w:tblPrEx>
          <w:tblCellMar>
            <w:top w:w="0" w:type="dxa"/>
            <w:bottom w:w="0" w:type="dxa"/>
          </w:tblCellMar>
        </w:tblPrEx>
        <w:trPr>
          <w:cantSplit/>
          <w:trHeight w:val="216"/>
        </w:trPr>
        <w:tc>
          <w:tcPr>
            <w:tcW w:w="1701" w:type="dxa"/>
          </w:tcPr>
          <w:p w14:paraId="391BB5E2" w14:textId="77777777" w:rsidR="0048679D" w:rsidRPr="00A538DD" w:rsidRDefault="0048679D">
            <w:pPr>
              <w:jc w:val="left"/>
              <w:rPr>
                <w:sz w:val="18"/>
              </w:rPr>
            </w:pPr>
            <w:r w:rsidRPr="00A538DD">
              <w:rPr>
                <w:sz w:val="18"/>
              </w:rPr>
              <w:t>Övriga tillgångar</w:t>
            </w:r>
          </w:p>
        </w:tc>
        <w:tc>
          <w:tcPr>
            <w:tcW w:w="964" w:type="dxa"/>
          </w:tcPr>
          <w:p w14:paraId="771D6EE6" w14:textId="77777777" w:rsidR="0048679D" w:rsidRPr="00A538DD" w:rsidRDefault="0048679D">
            <w:pPr>
              <w:jc w:val="right"/>
              <w:rPr>
                <w:sz w:val="18"/>
              </w:rPr>
            </w:pPr>
          </w:p>
        </w:tc>
        <w:tc>
          <w:tcPr>
            <w:tcW w:w="964" w:type="dxa"/>
          </w:tcPr>
          <w:p w14:paraId="3F34588D" w14:textId="77777777" w:rsidR="0048679D" w:rsidRPr="00A538DD" w:rsidRDefault="0048679D">
            <w:pPr>
              <w:jc w:val="right"/>
              <w:rPr>
                <w:sz w:val="18"/>
              </w:rPr>
            </w:pPr>
          </w:p>
        </w:tc>
        <w:tc>
          <w:tcPr>
            <w:tcW w:w="964" w:type="dxa"/>
          </w:tcPr>
          <w:p w14:paraId="563601BF" w14:textId="77777777" w:rsidR="0048679D" w:rsidRPr="00A538DD" w:rsidRDefault="0048679D">
            <w:pPr>
              <w:jc w:val="right"/>
              <w:rPr>
                <w:sz w:val="18"/>
              </w:rPr>
            </w:pPr>
          </w:p>
        </w:tc>
        <w:tc>
          <w:tcPr>
            <w:tcW w:w="964" w:type="dxa"/>
          </w:tcPr>
          <w:p w14:paraId="70EDE522" w14:textId="77777777" w:rsidR="0048679D" w:rsidRPr="00A538DD" w:rsidRDefault="0048679D">
            <w:pPr>
              <w:jc w:val="right"/>
              <w:rPr>
                <w:sz w:val="18"/>
              </w:rPr>
            </w:pPr>
          </w:p>
        </w:tc>
        <w:tc>
          <w:tcPr>
            <w:tcW w:w="964" w:type="dxa"/>
          </w:tcPr>
          <w:p w14:paraId="717C4701" w14:textId="77777777" w:rsidR="0048679D" w:rsidRPr="00A538DD" w:rsidRDefault="0048679D">
            <w:pPr>
              <w:jc w:val="right"/>
              <w:rPr>
                <w:sz w:val="18"/>
              </w:rPr>
            </w:pPr>
          </w:p>
        </w:tc>
      </w:tr>
      <w:tr w:rsidR="00000000" w:rsidRPr="00A538DD" w14:paraId="7BF0D0EF" w14:textId="77777777">
        <w:tblPrEx>
          <w:tblCellMar>
            <w:top w:w="0" w:type="dxa"/>
            <w:bottom w:w="0" w:type="dxa"/>
          </w:tblCellMar>
        </w:tblPrEx>
        <w:trPr>
          <w:cantSplit/>
          <w:trHeight w:val="216"/>
        </w:trPr>
        <w:tc>
          <w:tcPr>
            <w:tcW w:w="1701" w:type="dxa"/>
          </w:tcPr>
          <w:p w14:paraId="3452F308" w14:textId="77777777" w:rsidR="0048679D" w:rsidRPr="00A538DD" w:rsidRDefault="0048679D">
            <w:pPr>
              <w:jc w:val="left"/>
              <w:rPr>
                <w:sz w:val="18"/>
              </w:rPr>
            </w:pPr>
          </w:p>
          <w:p w14:paraId="6D423E3D" w14:textId="77777777" w:rsidR="0048679D" w:rsidRPr="00A538DD" w:rsidRDefault="0048679D">
            <w:pPr>
              <w:pStyle w:val="Normaltindrag"/>
            </w:pPr>
          </w:p>
        </w:tc>
        <w:tc>
          <w:tcPr>
            <w:tcW w:w="964" w:type="dxa"/>
          </w:tcPr>
          <w:p w14:paraId="215A9D2D" w14:textId="77777777" w:rsidR="0048679D" w:rsidRPr="00A538DD" w:rsidRDefault="0048679D">
            <w:pPr>
              <w:jc w:val="right"/>
              <w:rPr>
                <w:sz w:val="18"/>
              </w:rPr>
            </w:pPr>
          </w:p>
        </w:tc>
        <w:tc>
          <w:tcPr>
            <w:tcW w:w="964" w:type="dxa"/>
          </w:tcPr>
          <w:p w14:paraId="2C4C9A4B" w14:textId="77777777" w:rsidR="0048679D" w:rsidRPr="00A538DD" w:rsidRDefault="0048679D">
            <w:pPr>
              <w:jc w:val="right"/>
              <w:rPr>
                <w:sz w:val="18"/>
              </w:rPr>
            </w:pPr>
          </w:p>
        </w:tc>
        <w:tc>
          <w:tcPr>
            <w:tcW w:w="964" w:type="dxa"/>
          </w:tcPr>
          <w:p w14:paraId="11C80C03" w14:textId="77777777" w:rsidR="0048679D" w:rsidRPr="00A538DD" w:rsidRDefault="0048679D">
            <w:pPr>
              <w:jc w:val="right"/>
              <w:rPr>
                <w:sz w:val="18"/>
              </w:rPr>
            </w:pPr>
          </w:p>
        </w:tc>
        <w:tc>
          <w:tcPr>
            <w:tcW w:w="964" w:type="dxa"/>
          </w:tcPr>
          <w:p w14:paraId="42817D9F" w14:textId="77777777" w:rsidR="0048679D" w:rsidRPr="00A538DD" w:rsidRDefault="0048679D">
            <w:pPr>
              <w:jc w:val="right"/>
              <w:rPr>
                <w:sz w:val="18"/>
              </w:rPr>
            </w:pPr>
          </w:p>
        </w:tc>
        <w:tc>
          <w:tcPr>
            <w:tcW w:w="964" w:type="dxa"/>
          </w:tcPr>
          <w:p w14:paraId="7CBD0EE1" w14:textId="77777777" w:rsidR="0048679D" w:rsidRPr="00A538DD" w:rsidRDefault="0048679D">
            <w:pPr>
              <w:jc w:val="right"/>
              <w:rPr>
                <w:sz w:val="18"/>
              </w:rPr>
            </w:pPr>
          </w:p>
        </w:tc>
      </w:tr>
    </w:tbl>
    <w:p w14:paraId="608C631F" w14:textId="77777777" w:rsidR="0048679D" w:rsidRPr="00A538DD" w:rsidRDefault="0048679D"/>
    <w:tbl>
      <w:tblPr>
        <w:tblW w:w="0" w:type="auto"/>
        <w:tblLayout w:type="fixed"/>
        <w:tblCellMar>
          <w:left w:w="30" w:type="dxa"/>
          <w:right w:w="30" w:type="dxa"/>
        </w:tblCellMar>
        <w:tblLook w:val="0000" w:firstRow="0" w:lastRow="0" w:firstColumn="0" w:lastColumn="0" w:noHBand="0" w:noVBand="0"/>
      </w:tblPr>
      <w:tblGrid>
        <w:gridCol w:w="1701"/>
        <w:gridCol w:w="964"/>
        <w:gridCol w:w="964"/>
        <w:gridCol w:w="964"/>
        <w:gridCol w:w="964"/>
        <w:gridCol w:w="964"/>
      </w:tblGrid>
      <w:tr w:rsidR="00000000" w:rsidRPr="00A538DD" w14:paraId="6AB3D5DA" w14:textId="77777777">
        <w:tblPrEx>
          <w:tblCellMar>
            <w:top w:w="0" w:type="dxa"/>
            <w:bottom w:w="0" w:type="dxa"/>
          </w:tblCellMar>
        </w:tblPrEx>
        <w:trPr>
          <w:cantSplit/>
          <w:trHeight w:val="216"/>
        </w:trPr>
        <w:tc>
          <w:tcPr>
            <w:tcW w:w="1701" w:type="dxa"/>
          </w:tcPr>
          <w:p w14:paraId="04C397AC" w14:textId="77777777" w:rsidR="0048679D" w:rsidRPr="00A538DD" w:rsidRDefault="0048679D">
            <w:pPr>
              <w:jc w:val="left"/>
              <w:rPr>
                <w:sz w:val="18"/>
              </w:rPr>
            </w:pPr>
          </w:p>
        </w:tc>
        <w:tc>
          <w:tcPr>
            <w:tcW w:w="964" w:type="dxa"/>
          </w:tcPr>
          <w:p w14:paraId="5E9E5B2D" w14:textId="77777777" w:rsidR="0048679D" w:rsidRPr="00A538DD" w:rsidRDefault="0048679D">
            <w:pPr>
              <w:jc w:val="right"/>
              <w:rPr>
                <w:b/>
                <w:sz w:val="18"/>
              </w:rPr>
            </w:pPr>
            <w:r w:rsidRPr="00A538DD">
              <w:rPr>
                <w:b/>
                <w:sz w:val="18"/>
              </w:rPr>
              <w:t>2004-12-31</w:t>
            </w:r>
          </w:p>
        </w:tc>
        <w:tc>
          <w:tcPr>
            <w:tcW w:w="964" w:type="dxa"/>
          </w:tcPr>
          <w:p w14:paraId="7C1CC84D" w14:textId="77777777" w:rsidR="0048679D" w:rsidRPr="00A538DD" w:rsidRDefault="0048679D">
            <w:pPr>
              <w:jc w:val="right"/>
              <w:rPr>
                <w:b/>
                <w:sz w:val="18"/>
              </w:rPr>
            </w:pPr>
            <w:r w:rsidRPr="00A538DD">
              <w:rPr>
                <w:b/>
                <w:sz w:val="18"/>
              </w:rPr>
              <w:t>2003-12-31</w:t>
            </w:r>
          </w:p>
        </w:tc>
        <w:tc>
          <w:tcPr>
            <w:tcW w:w="964" w:type="dxa"/>
          </w:tcPr>
          <w:p w14:paraId="773D34F2" w14:textId="77777777" w:rsidR="0048679D" w:rsidRPr="00A538DD" w:rsidRDefault="0048679D">
            <w:pPr>
              <w:jc w:val="right"/>
              <w:rPr>
                <w:b/>
                <w:sz w:val="18"/>
              </w:rPr>
            </w:pPr>
            <w:r w:rsidRPr="00A538DD">
              <w:rPr>
                <w:b/>
                <w:sz w:val="18"/>
              </w:rPr>
              <w:t>2002-12-31</w:t>
            </w:r>
          </w:p>
        </w:tc>
        <w:tc>
          <w:tcPr>
            <w:tcW w:w="964" w:type="dxa"/>
          </w:tcPr>
          <w:p w14:paraId="0225153D" w14:textId="77777777" w:rsidR="0048679D" w:rsidRPr="00A538DD" w:rsidRDefault="0048679D">
            <w:pPr>
              <w:jc w:val="right"/>
              <w:rPr>
                <w:b/>
                <w:sz w:val="18"/>
              </w:rPr>
            </w:pPr>
            <w:r w:rsidRPr="00A538DD">
              <w:rPr>
                <w:b/>
                <w:sz w:val="18"/>
              </w:rPr>
              <w:t>2001-12-31</w:t>
            </w:r>
          </w:p>
        </w:tc>
        <w:tc>
          <w:tcPr>
            <w:tcW w:w="964" w:type="dxa"/>
          </w:tcPr>
          <w:p w14:paraId="63AC793C" w14:textId="77777777" w:rsidR="0048679D" w:rsidRPr="00A538DD" w:rsidRDefault="0048679D">
            <w:pPr>
              <w:jc w:val="right"/>
              <w:rPr>
                <w:b/>
                <w:sz w:val="18"/>
              </w:rPr>
            </w:pPr>
            <w:r w:rsidRPr="00A538DD">
              <w:rPr>
                <w:b/>
                <w:sz w:val="18"/>
              </w:rPr>
              <w:t>2000-12-31</w:t>
            </w:r>
          </w:p>
        </w:tc>
      </w:tr>
      <w:tr w:rsidR="00000000" w:rsidRPr="00A538DD" w14:paraId="2DC0C8BD" w14:textId="77777777">
        <w:tblPrEx>
          <w:tblCellMar>
            <w:top w:w="0" w:type="dxa"/>
            <w:bottom w:w="0" w:type="dxa"/>
          </w:tblCellMar>
        </w:tblPrEx>
        <w:trPr>
          <w:cantSplit/>
          <w:trHeight w:val="216"/>
        </w:trPr>
        <w:tc>
          <w:tcPr>
            <w:tcW w:w="1701" w:type="dxa"/>
          </w:tcPr>
          <w:p w14:paraId="102001FC" w14:textId="77777777" w:rsidR="0048679D" w:rsidRPr="00A538DD" w:rsidRDefault="0048679D">
            <w:pPr>
              <w:jc w:val="left"/>
              <w:rPr>
                <w:sz w:val="18"/>
              </w:rPr>
            </w:pPr>
            <w:r w:rsidRPr="00A538DD">
              <w:rPr>
                <w:sz w:val="18"/>
              </w:rPr>
              <w:t>Materiella och imm</w:t>
            </w:r>
            <w:r w:rsidRPr="00A538DD">
              <w:rPr>
                <w:sz w:val="18"/>
              </w:rPr>
              <w:t>a</w:t>
            </w:r>
            <w:r w:rsidRPr="00A538DD">
              <w:rPr>
                <w:sz w:val="18"/>
              </w:rPr>
              <w:t>teriella anläggning</w:t>
            </w:r>
            <w:r w:rsidRPr="00A538DD">
              <w:rPr>
                <w:sz w:val="18"/>
              </w:rPr>
              <w:t>s</w:t>
            </w:r>
            <w:r w:rsidRPr="00A538DD">
              <w:rPr>
                <w:sz w:val="18"/>
              </w:rPr>
              <w:t>tillgångar</w:t>
            </w:r>
          </w:p>
        </w:tc>
        <w:tc>
          <w:tcPr>
            <w:tcW w:w="964" w:type="dxa"/>
            <w:vAlign w:val="bottom"/>
          </w:tcPr>
          <w:p w14:paraId="36F8E8B4" w14:textId="77777777" w:rsidR="0048679D" w:rsidRPr="00A538DD" w:rsidRDefault="0048679D">
            <w:pPr>
              <w:jc w:val="right"/>
              <w:rPr>
                <w:sz w:val="18"/>
              </w:rPr>
            </w:pPr>
            <w:r w:rsidRPr="00A538DD">
              <w:rPr>
                <w:sz w:val="18"/>
              </w:rPr>
              <w:br/>
              <w:t>538</w:t>
            </w:r>
          </w:p>
        </w:tc>
        <w:tc>
          <w:tcPr>
            <w:tcW w:w="964" w:type="dxa"/>
            <w:vAlign w:val="bottom"/>
          </w:tcPr>
          <w:p w14:paraId="06041829" w14:textId="77777777" w:rsidR="0048679D" w:rsidRPr="00A538DD" w:rsidRDefault="0048679D">
            <w:pPr>
              <w:jc w:val="right"/>
              <w:rPr>
                <w:sz w:val="18"/>
              </w:rPr>
            </w:pPr>
            <w:r w:rsidRPr="00A538DD">
              <w:rPr>
                <w:sz w:val="18"/>
              </w:rPr>
              <w:br/>
              <w:t>509</w:t>
            </w:r>
          </w:p>
        </w:tc>
        <w:tc>
          <w:tcPr>
            <w:tcW w:w="964" w:type="dxa"/>
            <w:vAlign w:val="bottom"/>
          </w:tcPr>
          <w:p w14:paraId="661F9D68" w14:textId="77777777" w:rsidR="0048679D" w:rsidRPr="00A538DD" w:rsidRDefault="0048679D">
            <w:pPr>
              <w:jc w:val="right"/>
              <w:rPr>
                <w:sz w:val="18"/>
              </w:rPr>
            </w:pPr>
            <w:r w:rsidRPr="00A538DD">
              <w:rPr>
                <w:sz w:val="18"/>
              </w:rPr>
              <w:br/>
              <w:t>455</w:t>
            </w:r>
          </w:p>
        </w:tc>
        <w:tc>
          <w:tcPr>
            <w:tcW w:w="964" w:type="dxa"/>
            <w:vAlign w:val="bottom"/>
          </w:tcPr>
          <w:p w14:paraId="65E687AE" w14:textId="77777777" w:rsidR="0048679D" w:rsidRPr="00A538DD" w:rsidRDefault="0048679D">
            <w:pPr>
              <w:jc w:val="right"/>
              <w:rPr>
                <w:sz w:val="18"/>
              </w:rPr>
            </w:pPr>
            <w:r w:rsidRPr="00A538DD">
              <w:rPr>
                <w:sz w:val="18"/>
              </w:rPr>
              <w:br/>
              <w:t>406</w:t>
            </w:r>
          </w:p>
        </w:tc>
        <w:tc>
          <w:tcPr>
            <w:tcW w:w="964" w:type="dxa"/>
            <w:vAlign w:val="bottom"/>
          </w:tcPr>
          <w:p w14:paraId="57F00370" w14:textId="77777777" w:rsidR="0048679D" w:rsidRPr="00A538DD" w:rsidRDefault="0048679D">
            <w:pPr>
              <w:jc w:val="right"/>
              <w:rPr>
                <w:sz w:val="18"/>
              </w:rPr>
            </w:pPr>
            <w:r w:rsidRPr="00A538DD">
              <w:rPr>
                <w:sz w:val="18"/>
              </w:rPr>
              <w:br/>
              <w:t>372</w:t>
            </w:r>
          </w:p>
        </w:tc>
      </w:tr>
      <w:tr w:rsidR="00000000" w:rsidRPr="00A538DD" w14:paraId="7BEE2DDE" w14:textId="77777777">
        <w:tblPrEx>
          <w:tblCellMar>
            <w:top w:w="0" w:type="dxa"/>
            <w:bottom w:w="0" w:type="dxa"/>
          </w:tblCellMar>
        </w:tblPrEx>
        <w:trPr>
          <w:cantSplit/>
          <w:trHeight w:val="216"/>
        </w:trPr>
        <w:tc>
          <w:tcPr>
            <w:tcW w:w="1701" w:type="dxa"/>
          </w:tcPr>
          <w:p w14:paraId="57E1C776" w14:textId="77777777" w:rsidR="0048679D" w:rsidRPr="00A538DD" w:rsidRDefault="0048679D">
            <w:pPr>
              <w:jc w:val="left"/>
              <w:rPr>
                <w:sz w:val="18"/>
              </w:rPr>
            </w:pPr>
            <w:r w:rsidRPr="00A538DD">
              <w:rPr>
                <w:sz w:val="18"/>
              </w:rPr>
              <w:t>Finansiella til</w:t>
            </w:r>
            <w:r w:rsidRPr="00A538DD">
              <w:rPr>
                <w:sz w:val="18"/>
              </w:rPr>
              <w:t>l</w:t>
            </w:r>
            <w:r w:rsidRPr="00A538DD">
              <w:rPr>
                <w:sz w:val="18"/>
              </w:rPr>
              <w:t>gångar</w:t>
            </w:r>
          </w:p>
        </w:tc>
        <w:tc>
          <w:tcPr>
            <w:tcW w:w="964" w:type="dxa"/>
          </w:tcPr>
          <w:p w14:paraId="0BADDAAE" w14:textId="77777777" w:rsidR="0048679D" w:rsidRPr="00A538DD" w:rsidRDefault="0048679D">
            <w:pPr>
              <w:jc w:val="right"/>
              <w:rPr>
                <w:sz w:val="18"/>
              </w:rPr>
            </w:pPr>
            <w:r w:rsidRPr="00A538DD">
              <w:rPr>
                <w:sz w:val="18"/>
              </w:rPr>
              <w:t>410</w:t>
            </w:r>
          </w:p>
        </w:tc>
        <w:tc>
          <w:tcPr>
            <w:tcW w:w="964" w:type="dxa"/>
          </w:tcPr>
          <w:p w14:paraId="27AAEC66" w14:textId="77777777" w:rsidR="0048679D" w:rsidRPr="00A538DD" w:rsidRDefault="0048679D">
            <w:pPr>
              <w:jc w:val="right"/>
              <w:rPr>
                <w:sz w:val="18"/>
              </w:rPr>
            </w:pPr>
            <w:r w:rsidRPr="00A538DD">
              <w:rPr>
                <w:sz w:val="18"/>
              </w:rPr>
              <w:t>324</w:t>
            </w:r>
          </w:p>
        </w:tc>
        <w:tc>
          <w:tcPr>
            <w:tcW w:w="964" w:type="dxa"/>
          </w:tcPr>
          <w:p w14:paraId="633BDED1" w14:textId="77777777" w:rsidR="0048679D" w:rsidRPr="00A538DD" w:rsidRDefault="0048679D">
            <w:pPr>
              <w:jc w:val="right"/>
              <w:rPr>
                <w:sz w:val="18"/>
              </w:rPr>
            </w:pPr>
            <w:r w:rsidRPr="00A538DD">
              <w:rPr>
                <w:sz w:val="18"/>
              </w:rPr>
              <w:t>382</w:t>
            </w:r>
          </w:p>
        </w:tc>
        <w:tc>
          <w:tcPr>
            <w:tcW w:w="964" w:type="dxa"/>
          </w:tcPr>
          <w:p w14:paraId="0ADFE8FF" w14:textId="77777777" w:rsidR="0048679D" w:rsidRPr="00A538DD" w:rsidRDefault="0048679D">
            <w:pPr>
              <w:jc w:val="right"/>
              <w:rPr>
                <w:sz w:val="18"/>
              </w:rPr>
            </w:pPr>
            <w:r w:rsidRPr="00A538DD">
              <w:rPr>
                <w:sz w:val="18"/>
              </w:rPr>
              <w:t>617</w:t>
            </w:r>
          </w:p>
        </w:tc>
        <w:tc>
          <w:tcPr>
            <w:tcW w:w="964" w:type="dxa"/>
          </w:tcPr>
          <w:p w14:paraId="4AFA35C9" w14:textId="77777777" w:rsidR="0048679D" w:rsidRPr="00A538DD" w:rsidRDefault="0048679D">
            <w:pPr>
              <w:jc w:val="right"/>
              <w:rPr>
                <w:sz w:val="18"/>
              </w:rPr>
            </w:pPr>
            <w:r w:rsidRPr="00A538DD">
              <w:rPr>
                <w:sz w:val="18"/>
              </w:rPr>
              <w:t>667</w:t>
            </w:r>
          </w:p>
        </w:tc>
      </w:tr>
      <w:tr w:rsidR="00000000" w:rsidRPr="00A538DD" w14:paraId="5FF719F0" w14:textId="77777777">
        <w:tblPrEx>
          <w:tblCellMar>
            <w:top w:w="0" w:type="dxa"/>
            <w:bottom w:w="0" w:type="dxa"/>
          </w:tblCellMar>
        </w:tblPrEx>
        <w:trPr>
          <w:cantSplit/>
          <w:trHeight w:val="216"/>
        </w:trPr>
        <w:tc>
          <w:tcPr>
            <w:tcW w:w="1701" w:type="dxa"/>
          </w:tcPr>
          <w:p w14:paraId="7B629348" w14:textId="77777777" w:rsidR="0048679D" w:rsidRPr="00A538DD" w:rsidRDefault="0048679D">
            <w:pPr>
              <w:jc w:val="left"/>
              <w:rPr>
                <w:sz w:val="18"/>
              </w:rPr>
            </w:pPr>
            <w:r w:rsidRPr="00A538DD">
              <w:rPr>
                <w:sz w:val="18"/>
              </w:rPr>
              <w:t>Derivatinstrument</w:t>
            </w:r>
          </w:p>
        </w:tc>
        <w:tc>
          <w:tcPr>
            <w:tcW w:w="964" w:type="dxa"/>
          </w:tcPr>
          <w:p w14:paraId="0FB93841" w14:textId="77777777" w:rsidR="0048679D" w:rsidRPr="00A538DD" w:rsidRDefault="0048679D">
            <w:pPr>
              <w:jc w:val="right"/>
              <w:rPr>
                <w:sz w:val="18"/>
              </w:rPr>
            </w:pPr>
          </w:p>
        </w:tc>
        <w:tc>
          <w:tcPr>
            <w:tcW w:w="964" w:type="dxa"/>
          </w:tcPr>
          <w:p w14:paraId="4FAFDC45" w14:textId="77777777" w:rsidR="0048679D" w:rsidRPr="00A538DD" w:rsidRDefault="0048679D">
            <w:pPr>
              <w:jc w:val="right"/>
              <w:rPr>
                <w:sz w:val="18"/>
              </w:rPr>
            </w:pPr>
            <w:r w:rsidRPr="00A538DD">
              <w:rPr>
                <w:sz w:val="18"/>
              </w:rPr>
              <w:t>–</w:t>
            </w:r>
          </w:p>
        </w:tc>
        <w:tc>
          <w:tcPr>
            <w:tcW w:w="964" w:type="dxa"/>
          </w:tcPr>
          <w:p w14:paraId="28A227EC" w14:textId="77777777" w:rsidR="0048679D" w:rsidRPr="00A538DD" w:rsidRDefault="0048679D">
            <w:pPr>
              <w:jc w:val="right"/>
              <w:rPr>
                <w:sz w:val="18"/>
              </w:rPr>
            </w:pPr>
            <w:r w:rsidRPr="00A538DD">
              <w:rPr>
                <w:sz w:val="18"/>
              </w:rPr>
              <w:t>–</w:t>
            </w:r>
          </w:p>
        </w:tc>
        <w:tc>
          <w:tcPr>
            <w:tcW w:w="964" w:type="dxa"/>
          </w:tcPr>
          <w:p w14:paraId="6FE24EF1" w14:textId="77777777" w:rsidR="0048679D" w:rsidRPr="00A538DD" w:rsidRDefault="0048679D">
            <w:pPr>
              <w:jc w:val="right"/>
              <w:rPr>
                <w:sz w:val="18"/>
              </w:rPr>
            </w:pPr>
            <w:r w:rsidRPr="00A538DD">
              <w:rPr>
                <w:sz w:val="18"/>
              </w:rPr>
              <w:t>–</w:t>
            </w:r>
          </w:p>
        </w:tc>
        <w:tc>
          <w:tcPr>
            <w:tcW w:w="964" w:type="dxa"/>
          </w:tcPr>
          <w:p w14:paraId="57FB54F5" w14:textId="77777777" w:rsidR="0048679D" w:rsidRPr="00A538DD" w:rsidRDefault="0048679D">
            <w:pPr>
              <w:jc w:val="right"/>
              <w:rPr>
                <w:sz w:val="18"/>
              </w:rPr>
            </w:pPr>
            <w:r w:rsidRPr="00A538DD">
              <w:rPr>
                <w:sz w:val="18"/>
              </w:rPr>
              <w:t>–</w:t>
            </w:r>
          </w:p>
        </w:tc>
      </w:tr>
      <w:tr w:rsidR="00000000" w:rsidRPr="00A538DD" w14:paraId="1F3B71E8" w14:textId="77777777">
        <w:tblPrEx>
          <w:tblCellMar>
            <w:top w:w="0" w:type="dxa"/>
            <w:bottom w:w="0" w:type="dxa"/>
          </w:tblCellMar>
        </w:tblPrEx>
        <w:trPr>
          <w:cantSplit/>
          <w:trHeight w:val="216"/>
        </w:trPr>
        <w:tc>
          <w:tcPr>
            <w:tcW w:w="1701" w:type="dxa"/>
          </w:tcPr>
          <w:p w14:paraId="25AAEB59" w14:textId="77777777" w:rsidR="0048679D" w:rsidRPr="00A538DD" w:rsidRDefault="0048679D">
            <w:pPr>
              <w:jc w:val="left"/>
              <w:rPr>
                <w:sz w:val="18"/>
              </w:rPr>
            </w:pPr>
            <w:r w:rsidRPr="00A538DD">
              <w:rPr>
                <w:sz w:val="18"/>
              </w:rPr>
              <w:t>Förutbetalda kostn</w:t>
            </w:r>
            <w:r w:rsidRPr="00A538DD">
              <w:rPr>
                <w:sz w:val="18"/>
              </w:rPr>
              <w:t>a</w:t>
            </w:r>
            <w:r w:rsidRPr="00A538DD">
              <w:rPr>
                <w:sz w:val="18"/>
              </w:rPr>
              <w:t xml:space="preserve">der och </w:t>
            </w:r>
            <w:r w:rsidRPr="00A538DD">
              <w:rPr>
                <w:sz w:val="18"/>
              </w:rPr>
              <w:br/>
              <w:t>upplupna intäkter</w:t>
            </w:r>
          </w:p>
        </w:tc>
        <w:tc>
          <w:tcPr>
            <w:tcW w:w="964" w:type="dxa"/>
          </w:tcPr>
          <w:p w14:paraId="29138309" w14:textId="77777777" w:rsidR="0048679D" w:rsidRPr="00A538DD" w:rsidRDefault="0048679D">
            <w:pPr>
              <w:jc w:val="right"/>
              <w:rPr>
                <w:sz w:val="18"/>
              </w:rPr>
            </w:pPr>
            <w:r w:rsidRPr="00A538DD">
              <w:rPr>
                <w:sz w:val="18"/>
              </w:rPr>
              <w:br/>
              <w:t>1 963</w:t>
            </w:r>
          </w:p>
        </w:tc>
        <w:tc>
          <w:tcPr>
            <w:tcW w:w="964" w:type="dxa"/>
          </w:tcPr>
          <w:p w14:paraId="6C96B19B" w14:textId="77777777" w:rsidR="0048679D" w:rsidRPr="00A538DD" w:rsidRDefault="0048679D">
            <w:pPr>
              <w:jc w:val="right"/>
              <w:rPr>
                <w:sz w:val="18"/>
              </w:rPr>
            </w:pPr>
          </w:p>
          <w:p w14:paraId="6C287022" w14:textId="77777777" w:rsidR="0048679D" w:rsidRPr="00A538DD" w:rsidRDefault="0048679D">
            <w:pPr>
              <w:jc w:val="right"/>
              <w:rPr>
                <w:sz w:val="18"/>
              </w:rPr>
            </w:pPr>
            <w:r w:rsidRPr="00A538DD">
              <w:rPr>
                <w:sz w:val="18"/>
              </w:rPr>
              <w:t xml:space="preserve">2 005 </w:t>
            </w:r>
          </w:p>
        </w:tc>
        <w:tc>
          <w:tcPr>
            <w:tcW w:w="964" w:type="dxa"/>
          </w:tcPr>
          <w:p w14:paraId="6662A6AF" w14:textId="77777777" w:rsidR="0048679D" w:rsidRPr="00A538DD" w:rsidRDefault="0048679D">
            <w:pPr>
              <w:jc w:val="right"/>
              <w:rPr>
                <w:sz w:val="18"/>
              </w:rPr>
            </w:pPr>
          </w:p>
          <w:p w14:paraId="71A17BC9" w14:textId="77777777" w:rsidR="0048679D" w:rsidRPr="00A538DD" w:rsidRDefault="0048679D">
            <w:pPr>
              <w:jc w:val="right"/>
              <w:rPr>
                <w:sz w:val="18"/>
              </w:rPr>
            </w:pPr>
            <w:r w:rsidRPr="00A538DD">
              <w:rPr>
                <w:sz w:val="18"/>
              </w:rPr>
              <w:t>2 558</w:t>
            </w:r>
          </w:p>
        </w:tc>
        <w:tc>
          <w:tcPr>
            <w:tcW w:w="964" w:type="dxa"/>
          </w:tcPr>
          <w:p w14:paraId="5B16C3A8" w14:textId="77777777" w:rsidR="0048679D" w:rsidRPr="00A538DD" w:rsidRDefault="0048679D">
            <w:pPr>
              <w:jc w:val="right"/>
              <w:rPr>
                <w:sz w:val="18"/>
              </w:rPr>
            </w:pPr>
          </w:p>
          <w:p w14:paraId="135CE4C4" w14:textId="77777777" w:rsidR="0048679D" w:rsidRPr="00A538DD" w:rsidRDefault="0048679D">
            <w:pPr>
              <w:jc w:val="right"/>
              <w:rPr>
                <w:sz w:val="18"/>
              </w:rPr>
            </w:pPr>
            <w:r w:rsidRPr="00A538DD">
              <w:rPr>
                <w:sz w:val="18"/>
              </w:rPr>
              <w:t>2 238</w:t>
            </w:r>
          </w:p>
        </w:tc>
        <w:tc>
          <w:tcPr>
            <w:tcW w:w="964" w:type="dxa"/>
          </w:tcPr>
          <w:p w14:paraId="6DC0F9C8" w14:textId="77777777" w:rsidR="0048679D" w:rsidRPr="00A538DD" w:rsidRDefault="0048679D">
            <w:pPr>
              <w:jc w:val="right"/>
              <w:rPr>
                <w:sz w:val="18"/>
              </w:rPr>
            </w:pPr>
            <w:r w:rsidRPr="00A538DD">
              <w:rPr>
                <w:sz w:val="18"/>
              </w:rPr>
              <w:br/>
              <w:t>3 400</w:t>
            </w:r>
          </w:p>
        </w:tc>
      </w:tr>
      <w:tr w:rsidR="00000000" w:rsidRPr="00A538DD" w14:paraId="3B1A4E75" w14:textId="77777777">
        <w:tblPrEx>
          <w:tblCellMar>
            <w:top w:w="0" w:type="dxa"/>
            <w:bottom w:w="0" w:type="dxa"/>
          </w:tblCellMar>
        </w:tblPrEx>
        <w:trPr>
          <w:cantSplit/>
          <w:trHeight w:val="216"/>
        </w:trPr>
        <w:tc>
          <w:tcPr>
            <w:tcW w:w="1701" w:type="dxa"/>
          </w:tcPr>
          <w:p w14:paraId="468D9BAF" w14:textId="77777777" w:rsidR="0048679D" w:rsidRPr="00A538DD" w:rsidRDefault="0048679D">
            <w:pPr>
              <w:jc w:val="left"/>
              <w:rPr>
                <w:sz w:val="18"/>
              </w:rPr>
            </w:pPr>
            <w:r w:rsidRPr="00A538DD">
              <w:rPr>
                <w:sz w:val="18"/>
              </w:rPr>
              <w:t>Övriga tillgångar</w:t>
            </w:r>
          </w:p>
        </w:tc>
        <w:tc>
          <w:tcPr>
            <w:tcW w:w="964" w:type="dxa"/>
            <w:tcBorders>
              <w:bottom w:val="single" w:sz="6" w:space="0" w:color="auto"/>
            </w:tcBorders>
          </w:tcPr>
          <w:p w14:paraId="419A7093" w14:textId="77777777" w:rsidR="0048679D" w:rsidRPr="00A538DD" w:rsidRDefault="0048679D">
            <w:pPr>
              <w:jc w:val="right"/>
              <w:rPr>
                <w:sz w:val="18"/>
              </w:rPr>
            </w:pPr>
            <w:r w:rsidRPr="00A538DD">
              <w:rPr>
                <w:sz w:val="18"/>
              </w:rPr>
              <w:t>294</w:t>
            </w:r>
          </w:p>
        </w:tc>
        <w:tc>
          <w:tcPr>
            <w:tcW w:w="964" w:type="dxa"/>
            <w:tcBorders>
              <w:bottom w:val="single" w:sz="6" w:space="0" w:color="auto"/>
            </w:tcBorders>
          </w:tcPr>
          <w:p w14:paraId="5CDD95BC" w14:textId="77777777" w:rsidR="0048679D" w:rsidRPr="00A538DD" w:rsidRDefault="0048679D">
            <w:pPr>
              <w:jc w:val="right"/>
              <w:rPr>
                <w:sz w:val="18"/>
              </w:rPr>
            </w:pPr>
            <w:r w:rsidRPr="00A538DD">
              <w:rPr>
                <w:sz w:val="18"/>
              </w:rPr>
              <w:t>291</w:t>
            </w:r>
          </w:p>
        </w:tc>
        <w:tc>
          <w:tcPr>
            <w:tcW w:w="964" w:type="dxa"/>
            <w:tcBorders>
              <w:bottom w:val="single" w:sz="6" w:space="0" w:color="auto"/>
            </w:tcBorders>
          </w:tcPr>
          <w:p w14:paraId="3BC64170" w14:textId="77777777" w:rsidR="0048679D" w:rsidRPr="00A538DD" w:rsidRDefault="0048679D">
            <w:pPr>
              <w:jc w:val="right"/>
              <w:rPr>
                <w:sz w:val="18"/>
              </w:rPr>
            </w:pPr>
            <w:r w:rsidRPr="00A538DD">
              <w:rPr>
                <w:sz w:val="18"/>
              </w:rPr>
              <w:t>226</w:t>
            </w:r>
          </w:p>
        </w:tc>
        <w:tc>
          <w:tcPr>
            <w:tcW w:w="964" w:type="dxa"/>
            <w:tcBorders>
              <w:bottom w:val="single" w:sz="6" w:space="0" w:color="auto"/>
            </w:tcBorders>
          </w:tcPr>
          <w:p w14:paraId="3FC92DFE" w14:textId="77777777" w:rsidR="0048679D" w:rsidRPr="00A538DD" w:rsidRDefault="0048679D">
            <w:pPr>
              <w:jc w:val="right"/>
              <w:rPr>
                <w:sz w:val="18"/>
              </w:rPr>
            </w:pPr>
            <w:r w:rsidRPr="00A538DD">
              <w:rPr>
                <w:sz w:val="18"/>
              </w:rPr>
              <w:t>215</w:t>
            </w:r>
          </w:p>
        </w:tc>
        <w:tc>
          <w:tcPr>
            <w:tcW w:w="964" w:type="dxa"/>
            <w:tcBorders>
              <w:bottom w:val="single" w:sz="6" w:space="0" w:color="auto"/>
            </w:tcBorders>
          </w:tcPr>
          <w:p w14:paraId="23F64DFB" w14:textId="77777777" w:rsidR="0048679D" w:rsidRPr="00A538DD" w:rsidRDefault="0048679D">
            <w:pPr>
              <w:jc w:val="right"/>
              <w:rPr>
                <w:sz w:val="18"/>
              </w:rPr>
            </w:pPr>
            <w:r w:rsidRPr="00A538DD">
              <w:rPr>
                <w:sz w:val="18"/>
              </w:rPr>
              <w:t>207</w:t>
            </w:r>
          </w:p>
        </w:tc>
      </w:tr>
      <w:tr w:rsidR="00000000" w:rsidRPr="00A538DD" w14:paraId="71750BAE" w14:textId="77777777">
        <w:tblPrEx>
          <w:tblCellMar>
            <w:top w:w="0" w:type="dxa"/>
            <w:bottom w:w="0" w:type="dxa"/>
          </w:tblCellMar>
        </w:tblPrEx>
        <w:trPr>
          <w:cantSplit/>
          <w:trHeight w:val="216"/>
        </w:trPr>
        <w:tc>
          <w:tcPr>
            <w:tcW w:w="1701" w:type="dxa"/>
          </w:tcPr>
          <w:p w14:paraId="7B40A1C9" w14:textId="77777777" w:rsidR="0048679D" w:rsidRPr="00A538DD" w:rsidRDefault="0048679D">
            <w:pPr>
              <w:jc w:val="left"/>
              <w:rPr>
                <w:sz w:val="18"/>
              </w:rPr>
            </w:pPr>
          </w:p>
        </w:tc>
        <w:tc>
          <w:tcPr>
            <w:tcW w:w="964" w:type="dxa"/>
          </w:tcPr>
          <w:p w14:paraId="798BA091" w14:textId="77777777" w:rsidR="0048679D" w:rsidRPr="00A538DD" w:rsidRDefault="0048679D">
            <w:pPr>
              <w:jc w:val="right"/>
              <w:rPr>
                <w:sz w:val="18"/>
              </w:rPr>
            </w:pPr>
            <w:r w:rsidRPr="00A538DD">
              <w:rPr>
                <w:sz w:val="18"/>
              </w:rPr>
              <w:t>3 205</w:t>
            </w:r>
          </w:p>
        </w:tc>
        <w:tc>
          <w:tcPr>
            <w:tcW w:w="964" w:type="dxa"/>
          </w:tcPr>
          <w:p w14:paraId="7C9BC0F3" w14:textId="77777777" w:rsidR="0048679D" w:rsidRPr="00A538DD" w:rsidRDefault="0048679D">
            <w:pPr>
              <w:jc w:val="right"/>
              <w:rPr>
                <w:sz w:val="18"/>
              </w:rPr>
            </w:pPr>
            <w:r w:rsidRPr="00A538DD">
              <w:rPr>
                <w:sz w:val="18"/>
              </w:rPr>
              <w:t>3 129</w:t>
            </w:r>
          </w:p>
        </w:tc>
        <w:tc>
          <w:tcPr>
            <w:tcW w:w="964" w:type="dxa"/>
          </w:tcPr>
          <w:p w14:paraId="7E46283A" w14:textId="77777777" w:rsidR="0048679D" w:rsidRPr="00A538DD" w:rsidRDefault="0048679D">
            <w:pPr>
              <w:jc w:val="right"/>
              <w:rPr>
                <w:sz w:val="18"/>
              </w:rPr>
            </w:pPr>
            <w:r w:rsidRPr="00A538DD">
              <w:rPr>
                <w:sz w:val="18"/>
              </w:rPr>
              <w:t>3 621</w:t>
            </w:r>
          </w:p>
        </w:tc>
        <w:tc>
          <w:tcPr>
            <w:tcW w:w="964" w:type="dxa"/>
          </w:tcPr>
          <w:p w14:paraId="6482464F" w14:textId="77777777" w:rsidR="0048679D" w:rsidRPr="00A538DD" w:rsidRDefault="0048679D">
            <w:pPr>
              <w:jc w:val="right"/>
              <w:rPr>
                <w:sz w:val="18"/>
              </w:rPr>
            </w:pPr>
            <w:r w:rsidRPr="00A538DD">
              <w:rPr>
                <w:sz w:val="18"/>
              </w:rPr>
              <w:t>3 476</w:t>
            </w:r>
          </w:p>
        </w:tc>
        <w:tc>
          <w:tcPr>
            <w:tcW w:w="964" w:type="dxa"/>
          </w:tcPr>
          <w:p w14:paraId="74D02DAC" w14:textId="77777777" w:rsidR="0048679D" w:rsidRPr="00A538DD" w:rsidRDefault="0048679D">
            <w:pPr>
              <w:jc w:val="right"/>
              <w:rPr>
                <w:sz w:val="18"/>
              </w:rPr>
            </w:pPr>
            <w:r w:rsidRPr="00A538DD">
              <w:rPr>
                <w:sz w:val="18"/>
              </w:rPr>
              <w:t>4 646</w:t>
            </w:r>
          </w:p>
        </w:tc>
      </w:tr>
      <w:tr w:rsidR="00000000" w:rsidRPr="00A538DD" w14:paraId="493F0994" w14:textId="77777777">
        <w:tblPrEx>
          <w:tblCellMar>
            <w:top w:w="0" w:type="dxa"/>
            <w:bottom w:w="0" w:type="dxa"/>
          </w:tblCellMar>
        </w:tblPrEx>
        <w:trPr>
          <w:cantSplit/>
          <w:trHeight w:val="216"/>
        </w:trPr>
        <w:tc>
          <w:tcPr>
            <w:tcW w:w="1701" w:type="dxa"/>
          </w:tcPr>
          <w:p w14:paraId="324DF724" w14:textId="77777777" w:rsidR="0048679D" w:rsidRPr="00A538DD" w:rsidRDefault="0048679D">
            <w:pPr>
              <w:jc w:val="left"/>
              <w:rPr>
                <w:sz w:val="18"/>
              </w:rPr>
            </w:pPr>
          </w:p>
        </w:tc>
        <w:tc>
          <w:tcPr>
            <w:tcW w:w="964" w:type="dxa"/>
          </w:tcPr>
          <w:p w14:paraId="740EED54" w14:textId="77777777" w:rsidR="0048679D" w:rsidRPr="00A538DD" w:rsidRDefault="0048679D">
            <w:pPr>
              <w:jc w:val="right"/>
              <w:rPr>
                <w:sz w:val="18"/>
              </w:rPr>
            </w:pPr>
          </w:p>
        </w:tc>
        <w:tc>
          <w:tcPr>
            <w:tcW w:w="964" w:type="dxa"/>
          </w:tcPr>
          <w:p w14:paraId="7BB393C4" w14:textId="77777777" w:rsidR="0048679D" w:rsidRPr="00A538DD" w:rsidRDefault="0048679D">
            <w:pPr>
              <w:jc w:val="right"/>
              <w:rPr>
                <w:sz w:val="18"/>
              </w:rPr>
            </w:pPr>
          </w:p>
        </w:tc>
        <w:tc>
          <w:tcPr>
            <w:tcW w:w="964" w:type="dxa"/>
          </w:tcPr>
          <w:p w14:paraId="3338C7E8" w14:textId="77777777" w:rsidR="0048679D" w:rsidRPr="00A538DD" w:rsidRDefault="0048679D">
            <w:pPr>
              <w:jc w:val="right"/>
              <w:rPr>
                <w:sz w:val="18"/>
              </w:rPr>
            </w:pPr>
          </w:p>
        </w:tc>
        <w:tc>
          <w:tcPr>
            <w:tcW w:w="964" w:type="dxa"/>
          </w:tcPr>
          <w:p w14:paraId="2459D2F2" w14:textId="77777777" w:rsidR="0048679D" w:rsidRPr="00A538DD" w:rsidRDefault="0048679D">
            <w:pPr>
              <w:jc w:val="right"/>
              <w:rPr>
                <w:sz w:val="18"/>
              </w:rPr>
            </w:pPr>
          </w:p>
        </w:tc>
        <w:tc>
          <w:tcPr>
            <w:tcW w:w="964" w:type="dxa"/>
          </w:tcPr>
          <w:p w14:paraId="24FE4237" w14:textId="77777777" w:rsidR="0048679D" w:rsidRPr="00A538DD" w:rsidRDefault="0048679D">
            <w:pPr>
              <w:jc w:val="right"/>
              <w:rPr>
                <w:sz w:val="18"/>
              </w:rPr>
            </w:pPr>
          </w:p>
        </w:tc>
      </w:tr>
      <w:tr w:rsidR="00000000" w:rsidRPr="00A538DD" w14:paraId="2378C480" w14:textId="77777777">
        <w:tblPrEx>
          <w:tblCellMar>
            <w:top w:w="0" w:type="dxa"/>
            <w:bottom w:w="0" w:type="dxa"/>
          </w:tblCellMar>
        </w:tblPrEx>
        <w:trPr>
          <w:cantSplit/>
          <w:trHeight w:val="228"/>
        </w:trPr>
        <w:tc>
          <w:tcPr>
            <w:tcW w:w="1701" w:type="dxa"/>
          </w:tcPr>
          <w:p w14:paraId="125F4531" w14:textId="77777777" w:rsidR="0048679D" w:rsidRPr="00A538DD" w:rsidRDefault="0048679D">
            <w:pPr>
              <w:jc w:val="left"/>
              <w:rPr>
                <w:b/>
                <w:sz w:val="18"/>
              </w:rPr>
            </w:pPr>
            <w:r w:rsidRPr="00A538DD">
              <w:rPr>
                <w:b/>
                <w:sz w:val="18"/>
              </w:rPr>
              <w:t>SUMMA TIL</w:t>
            </w:r>
            <w:r w:rsidRPr="00A538DD">
              <w:rPr>
                <w:b/>
                <w:sz w:val="18"/>
              </w:rPr>
              <w:t>L</w:t>
            </w:r>
            <w:r w:rsidRPr="00A538DD">
              <w:rPr>
                <w:b/>
                <w:sz w:val="18"/>
              </w:rPr>
              <w:t>GÅNGAR</w:t>
            </w:r>
          </w:p>
        </w:tc>
        <w:tc>
          <w:tcPr>
            <w:tcW w:w="964" w:type="dxa"/>
            <w:vAlign w:val="bottom"/>
          </w:tcPr>
          <w:p w14:paraId="6BEE14C8" w14:textId="77777777" w:rsidR="0048679D" w:rsidRPr="00A538DD" w:rsidRDefault="0048679D">
            <w:pPr>
              <w:jc w:val="right"/>
              <w:rPr>
                <w:b/>
                <w:sz w:val="18"/>
              </w:rPr>
            </w:pPr>
            <w:r w:rsidRPr="00A538DD">
              <w:rPr>
                <w:b/>
                <w:sz w:val="18"/>
              </w:rPr>
              <w:t>182 856</w:t>
            </w:r>
          </w:p>
        </w:tc>
        <w:tc>
          <w:tcPr>
            <w:tcW w:w="964" w:type="dxa"/>
            <w:vAlign w:val="bottom"/>
          </w:tcPr>
          <w:p w14:paraId="27A02E66" w14:textId="77777777" w:rsidR="0048679D" w:rsidRPr="00A538DD" w:rsidRDefault="0048679D">
            <w:pPr>
              <w:jc w:val="right"/>
              <w:rPr>
                <w:b/>
                <w:sz w:val="18"/>
              </w:rPr>
            </w:pPr>
            <w:r w:rsidRPr="00A538DD">
              <w:rPr>
                <w:b/>
                <w:sz w:val="18"/>
              </w:rPr>
              <w:t>186 231</w:t>
            </w:r>
          </w:p>
        </w:tc>
        <w:tc>
          <w:tcPr>
            <w:tcW w:w="964" w:type="dxa"/>
            <w:vAlign w:val="bottom"/>
          </w:tcPr>
          <w:p w14:paraId="4720CEB4" w14:textId="77777777" w:rsidR="0048679D" w:rsidRPr="00A538DD" w:rsidRDefault="0048679D">
            <w:pPr>
              <w:jc w:val="right"/>
              <w:rPr>
                <w:b/>
                <w:sz w:val="18"/>
              </w:rPr>
            </w:pPr>
            <w:r w:rsidRPr="00A538DD">
              <w:rPr>
                <w:b/>
                <w:sz w:val="18"/>
              </w:rPr>
              <w:t>200 440</w:t>
            </w:r>
          </w:p>
        </w:tc>
        <w:tc>
          <w:tcPr>
            <w:tcW w:w="964" w:type="dxa"/>
            <w:vAlign w:val="bottom"/>
          </w:tcPr>
          <w:p w14:paraId="50A6AC73" w14:textId="77777777" w:rsidR="0048679D" w:rsidRPr="00A538DD" w:rsidRDefault="0048679D">
            <w:pPr>
              <w:jc w:val="right"/>
              <w:rPr>
                <w:b/>
                <w:sz w:val="18"/>
              </w:rPr>
            </w:pPr>
            <w:r w:rsidRPr="00A538DD">
              <w:rPr>
                <w:b/>
                <w:sz w:val="18"/>
              </w:rPr>
              <w:t>235 532</w:t>
            </w:r>
          </w:p>
        </w:tc>
        <w:tc>
          <w:tcPr>
            <w:tcW w:w="964" w:type="dxa"/>
            <w:vAlign w:val="bottom"/>
          </w:tcPr>
          <w:p w14:paraId="2532A88C" w14:textId="77777777" w:rsidR="0048679D" w:rsidRPr="00A538DD" w:rsidRDefault="0048679D">
            <w:pPr>
              <w:jc w:val="right"/>
              <w:rPr>
                <w:b/>
                <w:sz w:val="18"/>
              </w:rPr>
            </w:pPr>
            <w:r w:rsidRPr="00A538DD">
              <w:rPr>
                <w:b/>
                <w:sz w:val="18"/>
              </w:rPr>
              <w:t>232 762</w:t>
            </w:r>
          </w:p>
        </w:tc>
      </w:tr>
      <w:tr w:rsidR="00000000" w:rsidRPr="00A538DD" w14:paraId="6F3C55F1" w14:textId="77777777">
        <w:tblPrEx>
          <w:tblCellMar>
            <w:top w:w="0" w:type="dxa"/>
            <w:bottom w:w="0" w:type="dxa"/>
          </w:tblCellMar>
        </w:tblPrEx>
        <w:trPr>
          <w:cantSplit/>
          <w:trHeight w:val="216"/>
        </w:trPr>
        <w:tc>
          <w:tcPr>
            <w:tcW w:w="1701" w:type="dxa"/>
          </w:tcPr>
          <w:p w14:paraId="6B171A78" w14:textId="77777777" w:rsidR="0048679D" w:rsidRPr="00A538DD" w:rsidRDefault="0048679D">
            <w:pPr>
              <w:jc w:val="left"/>
              <w:rPr>
                <w:sz w:val="18"/>
              </w:rPr>
            </w:pPr>
          </w:p>
        </w:tc>
        <w:tc>
          <w:tcPr>
            <w:tcW w:w="964" w:type="dxa"/>
          </w:tcPr>
          <w:p w14:paraId="705F61BB" w14:textId="77777777" w:rsidR="0048679D" w:rsidRPr="00A538DD" w:rsidRDefault="0048679D">
            <w:pPr>
              <w:jc w:val="right"/>
              <w:rPr>
                <w:sz w:val="18"/>
              </w:rPr>
            </w:pPr>
          </w:p>
        </w:tc>
        <w:tc>
          <w:tcPr>
            <w:tcW w:w="964" w:type="dxa"/>
          </w:tcPr>
          <w:p w14:paraId="163531C1" w14:textId="77777777" w:rsidR="0048679D" w:rsidRPr="00A538DD" w:rsidRDefault="0048679D">
            <w:pPr>
              <w:jc w:val="right"/>
              <w:rPr>
                <w:sz w:val="18"/>
              </w:rPr>
            </w:pPr>
          </w:p>
        </w:tc>
        <w:tc>
          <w:tcPr>
            <w:tcW w:w="964" w:type="dxa"/>
          </w:tcPr>
          <w:p w14:paraId="11C28578" w14:textId="77777777" w:rsidR="0048679D" w:rsidRPr="00A538DD" w:rsidRDefault="0048679D">
            <w:pPr>
              <w:jc w:val="right"/>
              <w:rPr>
                <w:sz w:val="18"/>
              </w:rPr>
            </w:pPr>
          </w:p>
        </w:tc>
        <w:tc>
          <w:tcPr>
            <w:tcW w:w="964" w:type="dxa"/>
          </w:tcPr>
          <w:p w14:paraId="6E870397" w14:textId="77777777" w:rsidR="0048679D" w:rsidRPr="00A538DD" w:rsidRDefault="0048679D">
            <w:pPr>
              <w:jc w:val="right"/>
              <w:rPr>
                <w:sz w:val="18"/>
              </w:rPr>
            </w:pPr>
          </w:p>
        </w:tc>
        <w:tc>
          <w:tcPr>
            <w:tcW w:w="964" w:type="dxa"/>
          </w:tcPr>
          <w:p w14:paraId="4CA19E22" w14:textId="77777777" w:rsidR="0048679D" w:rsidRPr="00A538DD" w:rsidRDefault="0048679D">
            <w:pPr>
              <w:jc w:val="right"/>
              <w:rPr>
                <w:sz w:val="18"/>
              </w:rPr>
            </w:pPr>
          </w:p>
        </w:tc>
      </w:tr>
      <w:tr w:rsidR="00000000" w:rsidRPr="00A538DD" w14:paraId="45651C1A" w14:textId="77777777">
        <w:tblPrEx>
          <w:tblCellMar>
            <w:top w:w="0" w:type="dxa"/>
            <w:bottom w:w="0" w:type="dxa"/>
          </w:tblCellMar>
        </w:tblPrEx>
        <w:trPr>
          <w:cantSplit/>
          <w:trHeight w:val="216"/>
        </w:trPr>
        <w:tc>
          <w:tcPr>
            <w:tcW w:w="1701" w:type="dxa"/>
          </w:tcPr>
          <w:p w14:paraId="78B9E559" w14:textId="77777777" w:rsidR="0048679D" w:rsidRPr="00A538DD" w:rsidRDefault="0048679D">
            <w:pPr>
              <w:jc w:val="left"/>
              <w:rPr>
                <w:b/>
                <w:sz w:val="18"/>
              </w:rPr>
            </w:pPr>
            <w:r w:rsidRPr="00A538DD">
              <w:rPr>
                <w:b/>
                <w:sz w:val="18"/>
              </w:rPr>
              <w:t>SKULDER OCH EGET KAP</w:t>
            </w:r>
            <w:r w:rsidRPr="00A538DD">
              <w:rPr>
                <w:b/>
                <w:sz w:val="18"/>
              </w:rPr>
              <w:t>I</w:t>
            </w:r>
            <w:r w:rsidRPr="00A538DD">
              <w:rPr>
                <w:b/>
                <w:sz w:val="18"/>
              </w:rPr>
              <w:t>TAL</w:t>
            </w:r>
          </w:p>
        </w:tc>
        <w:tc>
          <w:tcPr>
            <w:tcW w:w="964" w:type="dxa"/>
          </w:tcPr>
          <w:p w14:paraId="0EA08FA1" w14:textId="77777777" w:rsidR="0048679D" w:rsidRPr="00A538DD" w:rsidRDefault="0048679D">
            <w:pPr>
              <w:jc w:val="right"/>
              <w:rPr>
                <w:sz w:val="18"/>
              </w:rPr>
            </w:pPr>
          </w:p>
        </w:tc>
        <w:tc>
          <w:tcPr>
            <w:tcW w:w="964" w:type="dxa"/>
          </w:tcPr>
          <w:p w14:paraId="40B2D68D" w14:textId="77777777" w:rsidR="0048679D" w:rsidRPr="00A538DD" w:rsidRDefault="0048679D">
            <w:pPr>
              <w:jc w:val="right"/>
              <w:rPr>
                <w:sz w:val="18"/>
              </w:rPr>
            </w:pPr>
          </w:p>
        </w:tc>
        <w:tc>
          <w:tcPr>
            <w:tcW w:w="964" w:type="dxa"/>
          </w:tcPr>
          <w:p w14:paraId="27DDA881" w14:textId="77777777" w:rsidR="0048679D" w:rsidRPr="00A538DD" w:rsidRDefault="0048679D">
            <w:pPr>
              <w:jc w:val="right"/>
              <w:rPr>
                <w:sz w:val="18"/>
              </w:rPr>
            </w:pPr>
          </w:p>
        </w:tc>
        <w:tc>
          <w:tcPr>
            <w:tcW w:w="964" w:type="dxa"/>
          </w:tcPr>
          <w:p w14:paraId="7D962910" w14:textId="77777777" w:rsidR="0048679D" w:rsidRPr="00A538DD" w:rsidRDefault="0048679D">
            <w:pPr>
              <w:jc w:val="right"/>
              <w:rPr>
                <w:sz w:val="18"/>
              </w:rPr>
            </w:pPr>
          </w:p>
        </w:tc>
        <w:tc>
          <w:tcPr>
            <w:tcW w:w="964" w:type="dxa"/>
          </w:tcPr>
          <w:p w14:paraId="04B2409B" w14:textId="77777777" w:rsidR="0048679D" w:rsidRPr="00A538DD" w:rsidRDefault="0048679D">
            <w:pPr>
              <w:jc w:val="right"/>
              <w:rPr>
                <w:sz w:val="18"/>
              </w:rPr>
            </w:pPr>
          </w:p>
        </w:tc>
      </w:tr>
      <w:tr w:rsidR="00000000" w:rsidRPr="00A538DD" w14:paraId="276A8C0B" w14:textId="77777777">
        <w:tblPrEx>
          <w:tblCellMar>
            <w:top w:w="0" w:type="dxa"/>
            <w:bottom w:w="0" w:type="dxa"/>
          </w:tblCellMar>
        </w:tblPrEx>
        <w:trPr>
          <w:cantSplit/>
          <w:trHeight w:val="216"/>
        </w:trPr>
        <w:tc>
          <w:tcPr>
            <w:tcW w:w="1701" w:type="dxa"/>
          </w:tcPr>
          <w:p w14:paraId="52F3E836" w14:textId="77777777" w:rsidR="0048679D" w:rsidRPr="00A538DD" w:rsidRDefault="0048679D">
            <w:pPr>
              <w:jc w:val="left"/>
              <w:rPr>
                <w:sz w:val="18"/>
              </w:rPr>
            </w:pPr>
          </w:p>
        </w:tc>
        <w:tc>
          <w:tcPr>
            <w:tcW w:w="964" w:type="dxa"/>
          </w:tcPr>
          <w:p w14:paraId="7220467E" w14:textId="77777777" w:rsidR="0048679D" w:rsidRPr="00A538DD" w:rsidRDefault="0048679D">
            <w:pPr>
              <w:jc w:val="right"/>
              <w:rPr>
                <w:sz w:val="18"/>
              </w:rPr>
            </w:pPr>
          </w:p>
        </w:tc>
        <w:tc>
          <w:tcPr>
            <w:tcW w:w="964" w:type="dxa"/>
          </w:tcPr>
          <w:p w14:paraId="5B3D38AC" w14:textId="77777777" w:rsidR="0048679D" w:rsidRPr="00A538DD" w:rsidRDefault="0048679D">
            <w:pPr>
              <w:jc w:val="right"/>
              <w:rPr>
                <w:sz w:val="18"/>
              </w:rPr>
            </w:pPr>
          </w:p>
        </w:tc>
        <w:tc>
          <w:tcPr>
            <w:tcW w:w="964" w:type="dxa"/>
          </w:tcPr>
          <w:p w14:paraId="56B403B6" w14:textId="77777777" w:rsidR="0048679D" w:rsidRPr="00A538DD" w:rsidRDefault="0048679D">
            <w:pPr>
              <w:jc w:val="right"/>
              <w:rPr>
                <w:sz w:val="18"/>
              </w:rPr>
            </w:pPr>
          </w:p>
        </w:tc>
        <w:tc>
          <w:tcPr>
            <w:tcW w:w="964" w:type="dxa"/>
          </w:tcPr>
          <w:p w14:paraId="52FF462A" w14:textId="77777777" w:rsidR="0048679D" w:rsidRPr="00A538DD" w:rsidRDefault="0048679D">
            <w:pPr>
              <w:jc w:val="right"/>
              <w:rPr>
                <w:sz w:val="18"/>
              </w:rPr>
            </w:pPr>
          </w:p>
        </w:tc>
        <w:tc>
          <w:tcPr>
            <w:tcW w:w="964" w:type="dxa"/>
          </w:tcPr>
          <w:p w14:paraId="2633AC6D" w14:textId="77777777" w:rsidR="0048679D" w:rsidRPr="00A538DD" w:rsidRDefault="0048679D">
            <w:pPr>
              <w:jc w:val="right"/>
              <w:rPr>
                <w:sz w:val="18"/>
              </w:rPr>
            </w:pPr>
          </w:p>
        </w:tc>
      </w:tr>
      <w:tr w:rsidR="00000000" w:rsidRPr="00A538DD" w14:paraId="4DEFC6D0" w14:textId="77777777">
        <w:tblPrEx>
          <w:tblCellMar>
            <w:top w:w="0" w:type="dxa"/>
            <w:bottom w:w="0" w:type="dxa"/>
          </w:tblCellMar>
        </w:tblPrEx>
        <w:trPr>
          <w:cantSplit/>
          <w:trHeight w:val="216"/>
        </w:trPr>
        <w:tc>
          <w:tcPr>
            <w:tcW w:w="1701" w:type="dxa"/>
          </w:tcPr>
          <w:p w14:paraId="3D8B4F8C" w14:textId="77777777" w:rsidR="0048679D" w:rsidRPr="00A538DD" w:rsidRDefault="0048679D">
            <w:pPr>
              <w:jc w:val="left"/>
              <w:rPr>
                <w:b/>
                <w:sz w:val="18"/>
              </w:rPr>
            </w:pPr>
            <w:r w:rsidRPr="00A538DD">
              <w:rPr>
                <w:b/>
                <w:sz w:val="18"/>
              </w:rPr>
              <w:t>Utelöpande sedlar och mynt</w:t>
            </w:r>
          </w:p>
        </w:tc>
        <w:tc>
          <w:tcPr>
            <w:tcW w:w="964" w:type="dxa"/>
          </w:tcPr>
          <w:p w14:paraId="247787A0" w14:textId="77777777" w:rsidR="0048679D" w:rsidRPr="00A538DD" w:rsidRDefault="0048679D">
            <w:pPr>
              <w:jc w:val="right"/>
              <w:rPr>
                <w:sz w:val="18"/>
              </w:rPr>
            </w:pPr>
          </w:p>
        </w:tc>
        <w:tc>
          <w:tcPr>
            <w:tcW w:w="964" w:type="dxa"/>
          </w:tcPr>
          <w:p w14:paraId="189ACFD5" w14:textId="77777777" w:rsidR="0048679D" w:rsidRPr="00A538DD" w:rsidRDefault="0048679D">
            <w:pPr>
              <w:jc w:val="right"/>
              <w:rPr>
                <w:sz w:val="18"/>
              </w:rPr>
            </w:pPr>
          </w:p>
        </w:tc>
        <w:tc>
          <w:tcPr>
            <w:tcW w:w="964" w:type="dxa"/>
          </w:tcPr>
          <w:p w14:paraId="0623D588" w14:textId="77777777" w:rsidR="0048679D" w:rsidRPr="00A538DD" w:rsidRDefault="0048679D">
            <w:pPr>
              <w:jc w:val="right"/>
              <w:rPr>
                <w:sz w:val="18"/>
              </w:rPr>
            </w:pPr>
          </w:p>
        </w:tc>
        <w:tc>
          <w:tcPr>
            <w:tcW w:w="964" w:type="dxa"/>
          </w:tcPr>
          <w:p w14:paraId="27C369E5" w14:textId="77777777" w:rsidR="0048679D" w:rsidRPr="00A538DD" w:rsidRDefault="0048679D">
            <w:pPr>
              <w:jc w:val="right"/>
              <w:rPr>
                <w:sz w:val="18"/>
              </w:rPr>
            </w:pPr>
          </w:p>
        </w:tc>
        <w:tc>
          <w:tcPr>
            <w:tcW w:w="964" w:type="dxa"/>
          </w:tcPr>
          <w:p w14:paraId="0EC24578" w14:textId="77777777" w:rsidR="0048679D" w:rsidRPr="00A538DD" w:rsidRDefault="0048679D">
            <w:pPr>
              <w:jc w:val="right"/>
              <w:rPr>
                <w:sz w:val="18"/>
              </w:rPr>
            </w:pPr>
          </w:p>
        </w:tc>
      </w:tr>
      <w:tr w:rsidR="00000000" w:rsidRPr="00A538DD" w14:paraId="6F7A304D" w14:textId="77777777">
        <w:tblPrEx>
          <w:tblCellMar>
            <w:top w:w="0" w:type="dxa"/>
            <w:bottom w:w="0" w:type="dxa"/>
          </w:tblCellMar>
        </w:tblPrEx>
        <w:trPr>
          <w:cantSplit/>
          <w:trHeight w:val="216"/>
        </w:trPr>
        <w:tc>
          <w:tcPr>
            <w:tcW w:w="1701" w:type="dxa"/>
          </w:tcPr>
          <w:p w14:paraId="02AAF893" w14:textId="77777777" w:rsidR="0048679D" w:rsidRPr="00A538DD" w:rsidRDefault="0048679D">
            <w:pPr>
              <w:jc w:val="left"/>
              <w:rPr>
                <w:sz w:val="18"/>
              </w:rPr>
            </w:pPr>
            <w:r w:rsidRPr="00A538DD">
              <w:rPr>
                <w:sz w:val="18"/>
              </w:rPr>
              <w:t>Sedlar</w:t>
            </w:r>
          </w:p>
        </w:tc>
        <w:tc>
          <w:tcPr>
            <w:tcW w:w="964" w:type="dxa"/>
          </w:tcPr>
          <w:p w14:paraId="740EDF2A" w14:textId="77777777" w:rsidR="0048679D" w:rsidRPr="00A538DD" w:rsidRDefault="0048679D">
            <w:pPr>
              <w:jc w:val="right"/>
              <w:rPr>
                <w:sz w:val="18"/>
              </w:rPr>
            </w:pPr>
            <w:r w:rsidRPr="00A538DD">
              <w:rPr>
                <w:sz w:val="18"/>
              </w:rPr>
              <w:t>103 452</w:t>
            </w:r>
          </w:p>
        </w:tc>
        <w:tc>
          <w:tcPr>
            <w:tcW w:w="964" w:type="dxa"/>
          </w:tcPr>
          <w:p w14:paraId="79943E33" w14:textId="77777777" w:rsidR="0048679D" w:rsidRPr="00A538DD" w:rsidRDefault="0048679D">
            <w:pPr>
              <w:jc w:val="right"/>
              <w:rPr>
                <w:sz w:val="18"/>
              </w:rPr>
            </w:pPr>
            <w:r w:rsidRPr="00A538DD">
              <w:rPr>
                <w:sz w:val="18"/>
              </w:rPr>
              <w:t>103 675</w:t>
            </w:r>
          </w:p>
        </w:tc>
        <w:tc>
          <w:tcPr>
            <w:tcW w:w="964" w:type="dxa"/>
          </w:tcPr>
          <w:p w14:paraId="472329AE" w14:textId="77777777" w:rsidR="0048679D" w:rsidRPr="00A538DD" w:rsidRDefault="0048679D">
            <w:pPr>
              <w:jc w:val="right"/>
              <w:rPr>
                <w:sz w:val="18"/>
              </w:rPr>
            </w:pPr>
            <w:r w:rsidRPr="00A538DD">
              <w:rPr>
                <w:sz w:val="18"/>
              </w:rPr>
              <w:t>101 979</w:t>
            </w:r>
          </w:p>
        </w:tc>
        <w:tc>
          <w:tcPr>
            <w:tcW w:w="964" w:type="dxa"/>
          </w:tcPr>
          <w:p w14:paraId="2B02DB7E" w14:textId="77777777" w:rsidR="0048679D" w:rsidRPr="00A538DD" w:rsidRDefault="0048679D">
            <w:pPr>
              <w:jc w:val="right"/>
              <w:rPr>
                <w:sz w:val="18"/>
              </w:rPr>
            </w:pPr>
            <w:r w:rsidRPr="00A538DD">
              <w:rPr>
                <w:sz w:val="18"/>
              </w:rPr>
              <w:t>102 367</w:t>
            </w:r>
          </w:p>
        </w:tc>
        <w:tc>
          <w:tcPr>
            <w:tcW w:w="964" w:type="dxa"/>
          </w:tcPr>
          <w:p w14:paraId="27AB3E1A" w14:textId="77777777" w:rsidR="0048679D" w:rsidRPr="00A538DD" w:rsidRDefault="0048679D">
            <w:pPr>
              <w:jc w:val="right"/>
              <w:rPr>
                <w:sz w:val="18"/>
              </w:rPr>
            </w:pPr>
            <w:r w:rsidRPr="00A538DD">
              <w:rPr>
                <w:sz w:val="18"/>
              </w:rPr>
              <w:t>93 229</w:t>
            </w:r>
          </w:p>
        </w:tc>
      </w:tr>
      <w:tr w:rsidR="00000000" w:rsidRPr="00A538DD" w14:paraId="75C730A0" w14:textId="77777777">
        <w:tblPrEx>
          <w:tblCellMar>
            <w:top w:w="0" w:type="dxa"/>
            <w:bottom w:w="0" w:type="dxa"/>
          </w:tblCellMar>
        </w:tblPrEx>
        <w:trPr>
          <w:cantSplit/>
          <w:trHeight w:val="216"/>
        </w:trPr>
        <w:tc>
          <w:tcPr>
            <w:tcW w:w="1701" w:type="dxa"/>
          </w:tcPr>
          <w:p w14:paraId="3D9BF767" w14:textId="77777777" w:rsidR="0048679D" w:rsidRPr="00A538DD" w:rsidRDefault="0048679D">
            <w:pPr>
              <w:jc w:val="left"/>
              <w:rPr>
                <w:sz w:val="18"/>
              </w:rPr>
            </w:pPr>
            <w:r w:rsidRPr="00A538DD">
              <w:rPr>
                <w:sz w:val="18"/>
              </w:rPr>
              <w:t>Mynt</w:t>
            </w:r>
          </w:p>
        </w:tc>
        <w:tc>
          <w:tcPr>
            <w:tcW w:w="964" w:type="dxa"/>
            <w:tcBorders>
              <w:bottom w:val="single" w:sz="6" w:space="0" w:color="auto"/>
            </w:tcBorders>
          </w:tcPr>
          <w:p w14:paraId="236F06F5" w14:textId="77777777" w:rsidR="0048679D" w:rsidRPr="00A538DD" w:rsidRDefault="0048679D">
            <w:pPr>
              <w:jc w:val="right"/>
              <w:rPr>
                <w:sz w:val="18"/>
              </w:rPr>
            </w:pPr>
            <w:r w:rsidRPr="00A538DD">
              <w:rPr>
                <w:sz w:val="18"/>
              </w:rPr>
              <w:t>5 442</w:t>
            </w:r>
          </w:p>
        </w:tc>
        <w:tc>
          <w:tcPr>
            <w:tcW w:w="964" w:type="dxa"/>
            <w:tcBorders>
              <w:bottom w:val="single" w:sz="6" w:space="0" w:color="auto"/>
            </w:tcBorders>
          </w:tcPr>
          <w:p w14:paraId="756AA4FD" w14:textId="77777777" w:rsidR="0048679D" w:rsidRPr="00A538DD" w:rsidRDefault="0048679D">
            <w:pPr>
              <w:jc w:val="right"/>
              <w:rPr>
                <w:sz w:val="18"/>
              </w:rPr>
            </w:pPr>
            <w:r w:rsidRPr="00A538DD">
              <w:rPr>
                <w:sz w:val="18"/>
              </w:rPr>
              <w:t>5 265</w:t>
            </w:r>
          </w:p>
        </w:tc>
        <w:tc>
          <w:tcPr>
            <w:tcW w:w="964" w:type="dxa"/>
            <w:tcBorders>
              <w:bottom w:val="single" w:sz="6" w:space="0" w:color="auto"/>
            </w:tcBorders>
          </w:tcPr>
          <w:p w14:paraId="174882C3" w14:textId="77777777" w:rsidR="0048679D" w:rsidRPr="00A538DD" w:rsidRDefault="0048679D">
            <w:pPr>
              <w:jc w:val="right"/>
              <w:rPr>
                <w:sz w:val="18"/>
              </w:rPr>
            </w:pPr>
            <w:r w:rsidRPr="00A538DD">
              <w:rPr>
                <w:sz w:val="18"/>
              </w:rPr>
              <w:t>5 005</w:t>
            </w:r>
          </w:p>
        </w:tc>
        <w:tc>
          <w:tcPr>
            <w:tcW w:w="964" w:type="dxa"/>
            <w:tcBorders>
              <w:bottom w:val="single" w:sz="6" w:space="0" w:color="auto"/>
            </w:tcBorders>
          </w:tcPr>
          <w:p w14:paraId="53CD2843" w14:textId="77777777" w:rsidR="0048679D" w:rsidRPr="00A538DD" w:rsidRDefault="0048679D">
            <w:pPr>
              <w:jc w:val="right"/>
              <w:rPr>
                <w:sz w:val="18"/>
              </w:rPr>
            </w:pPr>
            <w:r w:rsidRPr="00A538DD">
              <w:rPr>
                <w:sz w:val="18"/>
              </w:rPr>
              <w:t>4 744</w:t>
            </w:r>
          </w:p>
        </w:tc>
        <w:tc>
          <w:tcPr>
            <w:tcW w:w="964" w:type="dxa"/>
            <w:tcBorders>
              <w:bottom w:val="single" w:sz="6" w:space="0" w:color="auto"/>
            </w:tcBorders>
          </w:tcPr>
          <w:p w14:paraId="008E7FBD" w14:textId="77777777" w:rsidR="0048679D" w:rsidRPr="00A538DD" w:rsidRDefault="0048679D">
            <w:pPr>
              <w:jc w:val="right"/>
              <w:rPr>
                <w:sz w:val="18"/>
              </w:rPr>
            </w:pPr>
            <w:r w:rsidRPr="00A538DD">
              <w:rPr>
                <w:sz w:val="18"/>
              </w:rPr>
              <w:t>4 434</w:t>
            </w:r>
          </w:p>
        </w:tc>
      </w:tr>
      <w:tr w:rsidR="00000000" w:rsidRPr="00A538DD" w14:paraId="0BBCFD8D" w14:textId="77777777">
        <w:tblPrEx>
          <w:tblCellMar>
            <w:top w:w="0" w:type="dxa"/>
            <w:bottom w:w="0" w:type="dxa"/>
          </w:tblCellMar>
        </w:tblPrEx>
        <w:trPr>
          <w:cantSplit/>
          <w:trHeight w:val="216"/>
        </w:trPr>
        <w:tc>
          <w:tcPr>
            <w:tcW w:w="1701" w:type="dxa"/>
          </w:tcPr>
          <w:p w14:paraId="75A16874" w14:textId="77777777" w:rsidR="0048679D" w:rsidRPr="00A538DD" w:rsidRDefault="0048679D">
            <w:pPr>
              <w:jc w:val="left"/>
              <w:rPr>
                <w:sz w:val="18"/>
              </w:rPr>
            </w:pPr>
          </w:p>
        </w:tc>
        <w:tc>
          <w:tcPr>
            <w:tcW w:w="964" w:type="dxa"/>
          </w:tcPr>
          <w:p w14:paraId="4C3118F6" w14:textId="77777777" w:rsidR="0048679D" w:rsidRPr="00A538DD" w:rsidRDefault="0048679D">
            <w:pPr>
              <w:jc w:val="right"/>
              <w:rPr>
                <w:sz w:val="18"/>
              </w:rPr>
            </w:pPr>
            <w:r w:rsidRPr="00A538DD">
              <w:rPr>
                <w:sz w:val="18"/>
              </w:rPr>
              <w:t>108 894</w:t>
            </w:r>
          </w:p>
        </w:tc>
        <w:tc>
          <w:tcPr>
            <w:tcW w:w="964" w:type="dxa"/>
          </w:tcPr>
          <w:p w14:paraId="129761B9" w14:textId="77777777" w:rsidR="0048679D" w:rsidRPr="00A538DD" w:rsidRDefault="0048679D">
            <w:pPr>
              <w:jc w:val="right"/>
              <w:rPr>
                <w:sz w:val="18"/>
              </w:rPr>
            </w:pPr>
            <w:r w:rsidRPr="00A538DD">
              <w:rPr>
                <w:sz w:val="18"/>
              </w:rPr>
              <w:t>108 940</w:t>
            </w:r>
          </w:p>
        </w:tc>
        <w:tc>
          <w:tcPr>
            <w:tcW w:w="964" w:type="dxa"/>
          </w:tcPr>
          <w:p w14:paraId="548CAD34" w14:textId="77777777" w:rsidR="0048679D" w:rsidRPr="00A538DD" w:rsidRDefault="0048679D">
            <w:pPr>
              <w:jc w:val="right"/>
              <w:rPr>
                <w:sz w:val="18"/>
              </w:rPr>
            </w:pPr>
            <w:r w:rsidRPr="00A538DD">
              <w:rPr>
                <w:sz w:val="18"/>
              </w:rPr>
              <w:t>106 984</w:t>
            </w:r>
          </w:p>
        </w:tc>
        <w:tc>
          <w:tcPr>
            <w:tcW w:w="964" w:type="dxa"/>
          </w:tcPr>
          <w:p w14:paraId="33DD8A2B" w14:textId="77777777" w:rsidR="0048679D" w:rsidRPr="00A538DD" w:rsidRDefault="0048679D">
            <w:pPr>
              <w:jc w:val="right"/>
              <w:rPr>
                <w:sz w:val="18"/>
              </w:rPr>
            </w:pPr>
            <w:r w:rsidRPr="00A538DD">
              <w:rPr>
                <w:sz w:val="18"/>
              </w:rPr>
              <w:t>107 111</w:t>
            </w:r>
          </w:p>
        </w:tc>
        <w:tc>
          <w:tcPr>
            <w:tcW w:w="964" w:type="dxa"/>
          </w:tcPr>
          <w:p w14:paraId="550A6B23" w14:textId="77777777" w:rsidR="0048679D" w:rsidRPr="00A538DD" w:rsidRDefault="0048679D">
            <w:pPr>
              <w:jc w:val="right"/>
              <w:rPr>
                <w:sz w:val="18"/>
              </w:rPr>
            </w:pPr>
            <w:r w:rsidRPr="00A538DD">
              <w:rPr>
                <w:sz w:val="18"/>
              </w:rPr>
              <w:t>97 663</w:t>
            </w:r>
          </w:p>
        </w:tc>
      </w:tr>
      <w:tr w:rsidR="00000000" w:rsidRPr="00A538DD" w14:paraId="12EEE95E" w14:textId="77777777">
        <w:tblPrEx>
          <w:tblCellMar>
            <w:top w:w="0" w:type="dxa"/>
            <w:bottom w:w="0" w:type="dxa"/>
          </w:tblCellMar>
        </w:tblPrEx>
        <w:trPr>
          <w:cantSplit/>
          <w:trHeight w:val="216"/>
        </w:trPr>
        <w:tc>
          <w:tcPr>
            <w:tcW w:w="1701" w:type="dxa"/>
          </w:tcPr>
          <w:p w14:paraId="6C57C9E9" w14:textId="77777777" w:rsidR="0048679D" w:rsidRPr="00A538DD" w:rsidRDefault="0048679D">
            <w:pPr>
              <w:jc w:val="left"/>
              <w:rPr>
                <w:b/>
                <w:sz w:val="18"/>
              </w:rPr>
            </w:pPr>
            <w:r w:rsidRPr="00A538DD">
              <w:rPr>
                <w:b/>
                <w:sz w:val="18"/>
              </w:rPr>
              <w:t>Skulder i svenska kronor till pennin</w:t>
            </w:r>
            <w:r w:rsidRPr="00A538DD">
              <w:rPr>
                <w:b/>
                <w:sz w:val="18"/>
              </w:rPr>
              <w:t>g</w:t>
            </w:r>
            <w:r w:rsidRPr="00A538DD">
              <w:rPr>
                <w:b/>
                <w:sz w:val="18"/>
              </w:rPr>
              <w:t>politiska motparter</w:t>
            </w:r>
          </w:p>
        </w:tc>
        <w:tc>
          <w:tcPr>
            <w:tcW w:w="964" w:type="dxa"/>
          </w:tcPr>
          <w:p w14:paraId="7EE9D89E" w14:textId="77777777" w:rsidR="0048679D" w:rsidRPr="00A538DD" w:rsidRDefault="0048679D">
            <w:pPr>
              <w:jc w:val="right"/>
              <w:rPr>
                <w:sz w:val="18"/>
              </w:rPr>
            </w:pPr>
          </w:p>
        </w:tc>
        <w:tc>
          <w:tcPr>
            <w:tcW w:w="964" w:type="dxa"/>
          </w:tcPr>
          <w:p w14:paraId="6C2811AB" w14:textId="77777777" w:rsidR="0048679D" w:rsidRPr="00A538DD" w:rsidRDefault="0048679D">
            <w:pPr>
              <w:jc w:val="right"/>
              <w:rPr>
                <w:sz w:val="18"/>
              </w:rPr>
            </w:pPr>
          </w:p>
        </w:tc>
        <w:tc>
          <w:tcPr>
            <w:tcW w:w="964" w:type="dxa"/>
          </w:tcPr>
          <w:p w14:paraId="583AB917" w14:textId="77777777" w:rsidR="0048679D" w:rsidRPr="00A538DD" w:rsidRDefault="0048679D">
            <w:pPr>
              <w:jc w:val="right"/>
              <w:rPr>
                <w:sz w:val="18"/>
              </w:rPr>
            </w:pPr>
          </w:p>
        </w:tc>
        <w:tc>
          <w:tcPr>
            <w:tcW w:w="964" w:type="dxa"/>
          </w:tcPr>
          <w:p w14:paraId="5FDB9DD1" w14:textId="77777777" w:rsidR="0048679D" w:rsidRPr="00A538DD" w:rsidRDefault="0048679D">
            <w:pPr>
              <w:jc w:val="right"/>
              <w:rPr>
                <w:sz w:val="18"/>
              </w:rPr>
            </w:pPr>
          </w:p>
        </w:tc>
        <w:tc>
          <w:tcPr>
            <w:tcW w:w="964" w:type="dxa"/>
          </w:tcPr>
          <w:p w14:paraId="07423B70" w14:textId="77777777" w:rsidR="0048679D" w:rsidRPr="00A538DD" w:rsidRDefault="0048679D">
            <w:pPr>
              <w:jc w:val="right"/>
              <w:rPr>
                <w:sz w:val="18"/>
              </w:rPr>
            </w:pPr>
          </w:p>
        </w:tc>
      </w:tr>
      <w:tr w:rsidR="00000000" w:rsidRPr="00A538DD" w14:paraId="6E441A9A" w14:textId="77777777">
        <w:tblPrEx>
          <w:tblCellMar>
            <w:top w:w="0" w:type="dxa"/>
            <w:bottom w:w="0" w:type="dxa"/>
          </w:tblCellMar>
        </w:tblPrEx>
        <w:trPr>
          <w:cantSplit/>
          <w:trHeight w:val="216"/>
        </w:trPr>
        <w:tc>
          <w:tcPr>
            <w:tcW w:w="1701" w:type="dxa"/>
          </w:tcPr>
          <w:p w14:paraId="727B7F08" w14:textId="77777777" w:rsidR="0048679D" w:rsidRPr="00A538DD" w:rsidRDefault="0048679D">
            <w:pPr>
              <w:jc w:val="left"/>
              <w:rPr>
                <w:sz w:val="18"/>
              </w:rPr>
            </w:pPr>
            <w:r w:rsidRPr="00A538DD">
              <w:rPr>
                <w:sz w:val="18"/>
              </w:rPr>
              <w:t>Inlåningsfacilitet</w:t>
            </w:r>
          </w:p>
        </w:tc>
        <w:tc>
          <w:tcPr>
            <w:tcW w:w="964" w:type="dxa"/>
          </w:tcPr>
          <w:p w14:paraId="06C5457A" w14:textId="77777777" w:rsidR="0048679D" w:rsidRPr="00A538DD" w:rsidRDefault="0048679D">
            <w:pPr>
              <w:jc w:val="right"/>
              <w:rPr>
                <w:sz w:val="18"/>
              </w:rPr>
            </w:pPr>
            <w:r w:rsidRPr="00A538DD">
              <w:rPr>
                <w:sz w:val="18"/>
              </w:rPr>
              <w:t>86</w:t>
            </w:r>
          </w:p>
        </w:tc>
        <w:tc>
          <w:tcPr>
            <w:tcW w:w="964" w:type="dxa"/>
          </w:tcPr>
          <w:p w14:paraId="59071EA1" w14:textId="77777777" w:rsidR="0048679D" w:rsidRPr="00A538DD" w:rsidRDefault="0048679D">
            <w:pPr>
              <w:jc w:val="right"/>
              <w:rPr>
                <w:sz w:val="18"/>
              </w:rPr>
            </w:pPr>
            <w:r w:rsidRPr="00A538DD">
              <w:rPr>
                <w:sz w:val="18"/>
              </w:rPr>
              <w:t>49</w:t>
            </w:r>
          </w:p>
        </w:tc>
        <w:tc>
          <w:tcPr>
            <w:tcW w:w="964" w:type="dxa"/>
          </w:tcPr>
          <w:p w14:paraId="012EE101" w14:textId="77777777" w:rsidR="0048679D" w:rsidRPr="00A538DD" w:rsidRDefault="0048679D">
            <w:pPr>
              <w:jc w:val="right"/>
              <w:rPr>
                <w:sz w:val="18"/>
              </w:rPr>
            </w:pPr>
            <w:r w:rsidRPr="00A538DD">
              <w:rPr>
                <w:sz w:val="18"/>
              </w:rPr>
              <w:t>87</w:t>
            </w:r>
          </w:p>
        </w:tc>
        <w:tc>
          <w:tcPr>
            <w:tcW w:w="964" w:type="dxa"/>
          </w:tcPr>
          <w:p w14:paraId="7E7AA705" w14:textId="77777777" w:rsidR="0048679D" w:rsidRPr="00A538DD" w:rsidRDefault="0048679D">
            <w:pPr>
              <w:jc w:val="right"/>
              <w:rPr>
                <w:sz w:val="18"/>
              </w:rPr>
            </w:pPr>
            <w:r w:rsidRPr="00A538DD">
              <w:rPr>
                <w:sz w:val="18"/>
              </w:rPr>
              <w:t>48</w:t>
            </w:r>
          </w:p>
        </w:tc>
        <w:tc>
          <w:tcPr>
            <w:tcW w:w="964" w:type="dxa"/>
          </w:tcPr>
          <w:p w14:paraId="42666BD8" w14:textId="77777777" w:rsidR="0048679D" w:rsidRPr="00A538DD" w:rsidRDefault="0048679D">
            <w:pPr>
              <w:jc w:val="right"/>
              <w:rPr>
                <w:sz w:val="18"/>
              </w:rPr>
            </w:pPr>
            <w:r w:rsidRPr="00A538DD">
              <w:rPr>
                <w:sz w:val="18"/>
              </w:rPr>
              <w:t>108</w:t>
            </w:r>
          </w:p>
        </w:tc>
      </w:tr>
      <w:tr w:rsidR="00000000" w:rsidRPr="00A538DD" w14:paraId="2EB5B651" w14:textId="77777777">
        <w:tblPrEx>
          <w:tblCellMar>
            <w:top w:w="0" w:type="dxa"/>
            <w:bottom w:w="0" w:type="dxa"/>
          </w:tblCellMar>
        </w:tblPrEx>
        <w:trPr>
          <w:cantSplit/>
          <w:trHeight w:val="216"/>
        </w:trPr>
        <w:tc>
          <w:tcPr>
            <w:tcW w:w="1701" w:type="dxa"/>
          </w:tcPr>
          <w:p w14:paraId="45BD7DAE" w14:textId="77777777" w:rsidR="0048679D" w:rsidRPr="00A538DD" w:rsidRDefault="0048679D">
            <w:pPr>
              <w:jc w:val="left"/>
              <w:rPr>
                <w:sz w:val="18"/>
              </w:rPr>
            </w:pPr>
            <w:r w:rsidRPr="00A538DD">
              <w:rPr>
                <w:sz w:val="18"/>
              </w:rPr>
              <w:t>Finjusterande tran</w:t>
            </w:r>
            <w:r w:rsidRPr="00A538DD">
              <w:rPr>
                <w:sz w:val="18"/>
              </w:rPr>
              <w:t>s</w:t>
            </w:r>
            <w:r w:rsidRPr="00A538DD">
              <w:rPr>
                <w:sz w:val="18"/>
              </w:rPr>
              <w:t>aktioner</w:t>
            </w:r>
          </w:p>
        </w:tc>
        <w:tc>
          <w:tcPr>
            <w:tcW w:w="964" w:type="dxa"/>
            <w:tcBorders>
              <w:bottom w:val="single" w:sz="4" w:space="0" w:color="auto"/>
            </w:tcBorders>
            <w:vAlign w:val="bottom"/>
          </w:tcPr>
          <w:p w14:paraId="118B603E" w14:textId="77777777" w:rsidR="0048679D" w:rsidRPr="00A538DD" w:rsidRDefault="0048679D">
            <w:pPr>
              <w:jc w:val="right"/>
              <w:rPr>
                <w:sz w:val="18"/>
              </w:rPr>
            </w:pPr>
            <w:r w:rsidRPr="00A538DD">
              <w:rPr>
                <w:sz w:val="18"/>
              </w:rPr>
              <w:t>527</w:t>
            </w:r>
          </w:p>
        </w:tc>
        <w:tc>
          <w:tcPr>
            <w:tcW w:w="964" w:type="dxa"/>
            <w:tcBorders>
              <w:bottom w:val="single" w:sz="4" w:space="0" w:color="auto"/>
            </w:tcBorders>
            <w:vAlign w:val="bottom"/>
          </w:tcPr>
          <w:p w14:paraId="2AF7F0CF" w14:textId="77777777" w:rsidR="0048679D" w:rsidRPr="00A538DD" w:rsidRDefault="0048679D">
            <w:pPr>
              <w:jc w:val="right"/>
              <w:rPr>
                <w:sz w:val="18"/>
              </w:rPr>
            </w:pPr>
            <w:r w:rsidRPr="00A538DD">
              <w:rPr>
                <w:sz w:val="18"/>
              </w:rPr>
              <w:t>491</w:t>
            </w:r>
          </w:p>
        </w:tc>
        <w:tc>
          <w:tcPr>
            <w:tcW w:w="964" w:type="dxa"/>
            <w:tcBorders>
              <w:bottom w:val="single" w:sz="4" w:space="0" w:color="auto"/>
            </w:tcBorders>
            <w:vAlign w:val="bottom"/>
          </w:tcPr>
          <w:p w14:paraId="04DDF737" w14:textId="77777777" w:rsidR="0048679D" w:rsidRPr="00A538DD" w:rsidRDefault="0048679D">
            <w:pPr>
              <w:jc w:val="right"/>
              <w:rPr>
                <w:sz w:val="18"/>
              </w:rPr>
            </w:pPr>
            <w:r w:rsidRPr="00A538DD">
              <w:rPr>
                <w:sz w:val="18"/>
              </w:rPr>
              <w:t>–</w:t>
            </w:r>
          </w:p>
        </w:tc>
        <w:tc>
          <w:tcPr>
            <w:tcW w:w="964" w:type="dxa"/>
            <w:tcBorders>
              <w:bottom w:val="single" w:sz="4" w:space="0" w:color="auto"/>
            </w:tcBorders>
            <w:vAlign w:val="bottom"/>
          </w:tcPr>
          <w:p w14:paraId="5261AD6E" w14:textId="77777777" w:rsidR="0048679D" w:rsidRPr="00A538DD" w:rsidRDefault="0048679D">
            <w:pPr>
              <w:jc w:val="right"/>
              <w:rPr>
                <w:sz w:val="18"/>
              </w:rPr>
            </w:pPr>
            <w:r w:rsidRPr="00A538DD">
              <w:rPr>
                <w:sz w:val="18"/>
              </w:rPr>
              <w:t>–</w:t>
            </w:r>
          </w:p>
        </w:tc>
        <w:tc>
          <w:tcPr>
            <w:tcW w:w="964" w:type="dxa"/>
            <w:tcBorders>
              <w:bottom w:val="single" w:sz="4" w:space="0" w:color="auto"/>
            </w:tcBorders>
            <w:vAlign w:val="bottom"/>
          </w:tcPr>
          <w:p w14:paraId="08473480" w14:textId="77777777" w:rsidR="0048679D" w:rsidRPr="00A538DD" w:rsidRDefault="0048679D">
            <w:pPr>
              <w:jc w:val="right"/>
              <w:rPr>
                <w:sz w:val="18"/>
              </w:rPr>
            </w:pPr>
            <w:r w:rsidRPr="00A538DD">
              <w:rPr>
                <w:sz w:val="18"/>
              </w:rPr>
              <w:t>–</w:t>
            </w:r>
          </w:p>
        </w:tc>
      </w:tr>
      <w:tr w:rsidR="00000000" w:rsidRPr="00A538DD" w14:paraId="62B237C4" w14:textId="77777777">
        <w:tblPrEx>
          <w:tblCellMar>
            <w:top w:w="0" w:type="dxa"/>
            <w:bottom w:w="0" w:type="dxa"/>
          </w:tblCellMar>
        </w:tblPrEx>
        <w:trPr>
          <w:cantSplit/>
          <w:trHeight w:val="216"/>
        </w:trPr>
        <w:tc>
          <w:tcPr>
            <w:tcW w:w="1701" w:type="dxa"/>
          </w:tcPr>
          <w:p w14:paraId="0C201486" w14:textId="77777777" w:rsidR="0048679D" w:rsidRPr="00A538DD" w:rsidRDefault="0048679D">
            <w:pPr>
              <w:rPr>
                <w:sz w:val="18"/>
              </w:rPr>
            </w:pPr>
          </w:p>
        </w:tc>
        <w:tc>
          <w:tcPr>
            <w:tcW w:w="964" w:type="dxa"/>
          </w:tcPr>
          <w:p w14:paraId="45C01D04" w14:textId="77777777" w:rsidR="0048679D" w:rsidRPr="00A538DD" w:rsidRDefault="0048679D">
            <w:pPr>
              <w:jc w:val="right"/>
              <w:rPr>
                <w:sz w:val="18"/>
              </w:rPr>
            </w:pPr>
            <w:r w:rsidRPr="00A538DD">
              <w:rPr>
                <w:sz w:val="18"/>
              </w:rPr>
              <w:t>613</w:t>
            </w:r>
          </w:p>
        </w:tc>
        <w:tc>
          <w:tcPr>
            <w:tcW w:w="964" w:type="dxa"/>
            <w:tcBorders>
              <w:top w:val="single" w:sz="4" w:space="0" w:color="auto"/>
            </w:tcBorders>
          </w:tcPr>
          <w:p w14:paraId="7625EF1A" w14:textId="77777777" w:rsidR="0048679D" w:rsidRPr="00A538DD" w:rsidRDefault="0048679D">
            <w:pPr>
              <w:jc w:val="right"/>
              <w:rPr>
                <w:sz w:val="18"/>
              </w:rPr>
            </w:pPr>
            <w:r w:rsidRPr="00A538DD">
              <w:rPr>
                <w:sz w:val="18"/>
              </w:rPr>
              <w:t>540</w:t>
            </w:r>
          </w:p>
        </w:tc>
        <w:tc>
          <w:tcPr>
            <w:tcW w:w="964" w:type="dxa"/>
            <w:tcBorders>
              <w:top w:val="single" w:sz="4" w:space="0" w:color="auto"/>
            </w:tcBorders>
          </w:tcPr>
          <w:p w14:paraId="2852B1AE" w14:textId="77777777" w:rsidR="0048679D" w:rsidRPr="00A538DD" w:rsidRDefault="0048679D">
            <w:pPr>
              <w:jc w:val="right"/>
              <w:rPr>
                <w:sz w:val="18"/>
              </w:rPr>
            </w:pPr>
            <w:r w:rsidRPr="00A538DD">
              <w:rPr>
                <w:sz w:val="18"/>
              </w:rPr>
              <w:t>87</w:t>
            </w:r>
          </w:p>
        </w:tc>
        <w:tc>
          <w:tcPr>
            <w:tcW w:w="964" w:type="dxa"/>
            <w:tcBorders>
              <w:top w:val="single" w:sz="4" w:space="0" w:color="auto"/>
            </w:tcBorders>
          </w:tcPr>
          <w:p w14:paraId="07773628" w14:textId="77777777" w:rsidR="0048679D" w:rsidRPr="00A538DD" w:rsidRDefault="0048679D">
            <w:pPr>
              <w:jc w:val="right"/>
              <w:rPr>
                <w:sz w:val="18"/>
              </w:rPr>
            </w:pPr>
            <w:r w:rsidRPr="00A538DD">
              <w:rPr>
                <w:sz w:val="18"/>
              </w:rPr>
              <w:t>48</w:t>
            </w:r>
          </w:p>
        </w:tc>
        <w:tc>
          <w:tcPr>
            <w:tcW w:w="964" w:type="dxa"/>
            <w:tcBorders>
              <w:top w:val="single" w:sz="4" w:space="0" w:color="auto"/>
            </w:tcBorders>
          </w:tcPr>
          <w:p w14:paraId="03655D20" w14:textId="77777777" w:rsidR="0048679D" w:rsidRPr="00A538DD" w:rsidRDefault="0048679D">
            <w:pPr>
              <w:jc w:val="right"/>
              <w:rPr>
                <w:sz w:val="18"/>
              </w:rPr>
            </w:pPr>
            <w:r w:rsidRPr="00A538DD">
              <w:rPr>
                <w:sz w:val="18"/>
              </w:rPr>
              <w:t>108</w:t>
            </w:r>
          </w:p>
        </w:tc>
      </w:tr>
      <w:tr w:rsidR="00000000" w:rsidRPr="00A538DD" w14:paraId="4276DC4D" w14:textId="77777777">
        <w:tblPrEx>
          <w:tblCellMar>
            <w:top w:w="0" w:type="dxa"/>
            <w:bottom w:w="0" w:type="dxa"/>
          </w:tblCellMar>
        </w:tblPrEx>
        <w:trPr>
          <w:cantSplit/>
          <w:trHeight w:val="216"/>
        </w:trPr>
        <w:tc>
          <w:tcPr>
            <w:tcW w:w="1701" w:type="dxa"/>
          </w:tcPr>
          <w:p w14:paraId="6A123B4F" w14:textId="77777777" w:rsidR="0048679D" w:rsidRPr="00A538DD" w:rsidRDefault="0048679D">
            <w:pPr>
              <w:rPr>
                <w:sz w:val="18"/>
              </w:rPr>
            </w:pPr>
          </w:p>
        </w:tc>
        <w:tc>
          <w:tcPr>
            <w:tcW w:w="964" w:type="dxa"/>
          </w:tcPr>
          <w:p w14:paraId="587A2F1F" w14:textId="77777777" w:rsidR="0048679D" w:rsidRPr="00A538DD" w:rsidRDefault="0048679D">
            <w:pPr>
              <w:jc w:val="right"/>
              <w:rPr>
                <w:sz w:val="18"/>
              </w:rPr>
            </w:pPr>
          </w:p>
        </w:tc>
        <w:tc>
          <w:tcPr>
            <w:tcW w:w="964" w:type="dxa"/>
          </w:tcPr>
          <w:p w14:paraId="626EA7E7" w14:textId="77777777" w:rsidR="0048679D" w:rsidRPr="00A538DD" w:rsidRDefault="0048679D">
            <w:pPr>
              <w:jc w:val="right"/>
              <w:rPr>
                <w:sz w:val="18"/>
              </w:rPr>
            </w:pPr>
          </w:p>
        </w:tc>
        <w:tc>
          <w:tcPr>
            <w:tcW w:w="964" w:type="dxa"/>
          </w:tcPr>
          <w:p w14:paraId="4A2C3B7C" w14:textId="77777777" w:rsidR="0048679D" w:rsidRPr="00A538DD" w:rsidRDefault="0048679D">
            <w:pPr>
              <w:jc w:val="right"/>
              <w:rPr>
                <w:sz w:val="18"/>
              </w:rPr>
            </w:pPr>
          </w:p>
        </w:tc>
        <w:tc>
          <w:tcPr>
            <w:tcW w:w="964" w:type="dxa"/>
          </w:tcPr>
          <w:p w14:paraId="1DF2D379" w14:textId="77777777" w:rsidR="0048679D" w:rsidRPr="00A538DD" w:rsidRDefault="0048679D">
            <w:pPr>
              <w:jc w:val="right"/>
              <w:rPr>
                <w:sz w:val="18"/>
              </w:rPr>
            </w:pPr>
          </w:p>
        </w:tc>
        <w:tc>
          <w:tcPr>
            <w:tcW w:w="964" w:type="dxa"/>
          </w:tcPr>
          <w:p w14:paraId="07A7911E" w14:textId="77777777" w:rsidR="0048679D" w:rsidRPr="00A538DD" w:rsidRDefault="0048679D">
            <w:pPr>
              <w:jc w:val="right"/>
              <w:rPr>
                <w:sz w:val="18"/>
              </w:rPr>
            </w:pPr>
          </w:p>
        </w:tc>
      </w:tr>
    </w:tbl>
    <w:p w14:paraId="64EE5CD9" w14:textId="77777777" w:rsidR="0048679D" w:rsidRPr="00A538DD" w:rsidRDefault="0048679D"/>
    <w:p w14:paraId="276CD9BC" w14:textId="77777777" w:rsidR="0048679D" w:rsidRPr="00A538DD" w:rsidRDefault="0048679D"/>
    <w:p w14:paraId="15E9C02A" w14:textId="77777777" w:rsidR="0048679D" w:rsidRPr="00A538DD" w:rsidRDefault="0048679D"/>
    <w:p w14:paraId="437DCDF2" w14:textId="77777777" w:rsidR="0048679D" w:rsidRPr="00A538DD" w:rsidRDefault="0048679D">
      <w:pPr>
        <w:pStyle w:val="Normaltindrag"/>
      </w:pPr>
    </w:p>
    <w:p w14:paraId="4C5289B7" w14:textId="77777777" w:rsidR="0048679D" w:rsidRPr="00A538DD" w:rsidRDefault="0048679D">
      <w:pPr>
        <w:pStyle w:val="Normaltindrag"/>
      </w:pPr>
    </w:p>
    <w:p w14:paraId="157A124A" w14:textId="77777777" w:rsidR="0048679D" w:rsidRPr="00A538DD" w:rsidRDefault="0048679D">
      <w:pPr>
        <w:pStyle w:val="Normaltindrag"/>
      </w:pPr>
    </w:p>
    <w:p w14:paraId="071C6E70" w14:textId="77777777" w:rsidR="0048679D" w:rsidRPr="00A538DD" w:rsidRDefault="0048679D">
      <w:pPr>
        <w:pStyle w:val="Normaltindrag"/>
      </w:pPr>
    </w:p>
    <w:p w14:paraId="68C57216" w14:textId="77777777" w:rsidR="0048679D" w:rsidRPr="00A538DD" w:rsidRDefault="0048679D">
      <w:pPr>
        <w:pStyle w:val="Normaltindrag"/>
      </w:pPr>
    </w:p>
    <w:tbl>
      <w:tblPr>
        <w:tblW w:w="0" w:type="auto"/>
        <w:tblInd w:w="-426" w:type="dxa"/>
        <w:tblLayout w:type="fixed"/>
        <w:tblCellMar>
          <w:left w:w="30" w:type="dxa"/>
          <w:right w:w="30" w:type="dxa"/>
        </w:tblCellMar>
        <w:tblLook w:val="0000" w:firstRow="0" w:lastRow="0" w:firstColumn="0" w:lastColumn="0" w:noHBand="0" w:noVBand="0"/>
      </w:tblPr>
      <w:tblGrid>
        <w:gridCol w:w="1701"/>
        <w:gridCol w:w="142"/>
        <w:gridCol w:w="822"/>
        <w:gridCol w:w="964"/>
        <w:gridCol w:w="964"/>
        <w:gridCol w:w="964"/>
        <w:gridCol w:w="964"/>
      </w:tblGrid>
      <w:tr w:rsidR="00000000" w:rsidRPr="00A538DD" w14:paraId="679A2421" w14:textId="77777777">
        <w:tblPrEx>
          <w:tblCellMar>
            <w:top w:w="0" w:type="dxa"/>
            <w:bottom w:w="0" w:type="dxa"/>
          </w:tblCellMar>
        </w:tblPrEx>
        <w:trPr>
          <w:cantSplit/>
          <w:trHeight w:val="216"/>
        </w:trPr>
        <w:tc>
          <w:tcPr>
            <w:tcW w:w="1701" w:type="dxa"/>
          </w:tcPr>
          <w:p w14:paraId="79B6A70E" w14:textId="77777777" w:rsidR="0048679D" w:rsidRPr="00A538DD" w:rsidRDefault="0048679D">
            <w:pPr>
              <w:jc w:val="left"/>
              <w:rPr>
                <w:sz w:val="18"/>
              </w:rPr>
            </w:pPr>
            <w:r w:rsidRPr="00A538DD">
              <w:br w:type="page"/>
            </w:r>
            <w:r w:rsidRPr="00A538DD">
              <w:br w:type="page"/>
            </w:r>
          </w:p>
        </w:tc>
        <w:tc>
          <w:tcPr>
            <w:tcW w:w="964" w:type="dxa"/>
            <w:gridSpan w:val="2"/>
            <w:tcBorders>
              <w:bottom w:val="single" w:sz="4" w:space="0" w:color="auto"/>
            </w:tcBorders>
          </w:tcPr>
          <w:p w14:paraId="6F33C7F5" w14:textId="77777777" w:rsidR="0048679D" w:rsidRPr="00A538DD" w:rsidRDefault="0048679D">
            <w:pPr>
              <w:jc w:val="right"/>
              <w:rPr>
                <w:b/>
                <w:sz w:val="18"/>
              </w:rPr>
            </w:pPr>
            <w:r w:rsidRPr="00A538DD">
              <w:rPr>
                <w:b/>
                <w:sz w:val="18"/>
              </w:rPr>
              <w:t>2004-12-31</w:t>
            </w:r>
          </w:p>
        </w:tc>
        <w:tc>
          <w:tcPr>
            <w:tcW w:w="964" w:type="dxa"/>
            <w:tcBorders>
              <w:bottom w:val="single" w:sz="4" w:space="0" w:color="auto"/>
            </w:tcBorders>
          </w:tcPr>
          <w:p w14:paraId="308AF638" w14:textId="77777777" w:rsidR="0048679D" w:rsidRPr="00A538DD" w:rsidRDefault="0048679D">
            <w:pPr>
              <w:jc w:val="right"/>
              <w:rPr>
                <w:b/>
                <w:sz w:val="18"/>
              </w:rPr>
            </w:pPr>
            <w:r w:rsidRPr="00A538DD">
              <w:rPr>
                <w:b/>
                <w:sz w:val="18"/>
              </w:rPr>
              <w:t>2003-12-31</w:t>
            </w:r>
          </w:p>
        </w:tc>
        <w:tc>
          <w:tcPr>
            <w:tcW w:w="964" w:type="dxa"/>
            <w:tcBorders>
              <w:bottom w:val="single" w:sz="4" w:space="0" w:color="auto"/>
            </w:tcBorders>
          </w:tcPr>
          <w:p w14:paraId="5E1491B1" w14:textId="77777777" w:rsidR="0048679D" w:rsidRPr="00A538DD" w:rsidRDefault="0048679D">
            <w:pPr>
              <w:jc w:val="right"/>
              <w:rPr>
                <w:b/>
                <w:sz w:val="18"/>
              </w:rPr>
            </w:pPr>
            <w:r w:rsidRPr="00A538DD">
              <w:rPr>
                <w:b/>
                <w:sz w:val="18"/>
              </w:rPr>
              <w:t>2002-12-31</w:t>
            </w:r>
          </w:p>
        </w:tc>
        <w:tc>
          <w:tcPr>
            <w:tcW w:w="964" w:type="dxa"/>
            <w:tcBorders>
              <w:bottom w:val="single" w:sz="4" w:space="0" w:color="auto"/>
            </w:tcBorders>
          </w:tcPr>
          <w:p w14:paraId="56261ADA" w14:textId="77777777" w:rsidR="0048679D" w:rsidRPr="00A538DD" w:rsidRDefault="0048679D">
            <w:pPr>
              <w:jc w:val="right"/>
              <w:rPr>
                <w:b/>
                <w:sz w:val="18"/>
              </w:rPr>
            </w:pPr>
            <w:r w:rsidRPr="00A538DD">
              <w:rPr>
                <w:b/>
                <w:sz w:val="18"/>
              </w:rPr>
              <w:t>2001-12-31</w:t>
            </w:r>
          </w:p>
        </w:tc>
        <w:tc>
          <w:tcPr>
            <w:tcW w:w="964" w:type="dxa"/>
            <w:tcBorders>
              <w:bottom w:val="single" w:sz="4" w:space="0" w:color="auto"/>
            </w:tcBorders>
          </w:tcPr>
          <w:p w14:paraId="0EE0F816" w14:textId="77777777" w:rsidR="0048679D" w:rsidRPr="00A538DD" w:rsidRDefault="0048679D">
            <w:pPr>
              <w:jc w:val="right"/>
              <w:rPr>
                <w:b/>
                <w:sz w:val="18"/>
              </w:rPr>
            </w:pPr>
            <w:r w:rsidRPr="00A538DD">
              <w:rPr>
                <w:b/>
                <w:sz w:val="18"/>
              </w:rPr>
              <w:t>2000-12-31</w:t>
            </w:r>
          </w:p>
        </w:tc>
      </w:tr>
      <w:tr w:rsidR="00000000" w:rsidRPr="00A538DD" w14:paraId="682E2A1F" w14:textId="77777777">
        <w:tblPrEx>
          <w:tblCellMar>
            <w:top w:w="0" w:type="dxa"/>
            <w:bottom w:w="0" w:type="dxa"/>
          </w:tblCellMar>
        </w:tblPrEx>
        <w:trPr>
          <w:cantSplit/>
          <w:trHeight w:val="216"/>
        </w:trPr>
        <w:tc>
          <w:tcPr>
            <w:tcW w:w="1843" w:type="dxa"/>
            <w:gridSpan w:val="2"/>
          </w:tcPr>
          <w:p w14:paraId="1F68F269" w14:textId="77777777" w:rsidR="0048679D" w:rsidRPr="00A538DD" w:rsidRDefault="0048679D">
            <w:pPr>
              <w:jc w:val="left"/>
              <w:rPr>
                <w:b/>
                <w:sz w:val="18"/>
              </w:rPr>
            </w:pPr>
            <w:r w:rsidRPr="00A538DD">
              <w:rPr>
                <w:b/>
                <w:sz w:val="18"/>
              </w:rPr>
              <w:t>Skulder i svenska kronor till hemmah</w:t>
            </w:r>
            <w:r w:rsidRPr="00A538DD">
              <w:rPr>
                <w:b/>
                <w:sz w:val="18"/>
              </w:rPr>
              <w:t>ö</w:t>
            </w:r>
            <w:r w:rsidRPr="00A538DD">
              <w:rPr>
                <w:b/>
                <w:sz w:val="18"/>
              </w:rPr>
              <w:t>rande utanför Sverige</w:t>
            </w:r>
          </w:p>
        </w:tc>
        <w:tc>
          <w:tcPr>
            <w:tcW w:w="822" w:type="dxa"/>
            <w:vAlign w:val="bottom"/>
          </w:tcPr>
          <w:p w14:paraId="1828799E" w14:textId="77777777" w:rsidR="0048679D" w:rsidRPr="00A538DD" w:rsidRDefault="0048679D">
            <w:pPr>
              <w:jc w:val="right"/>
              <w:rPr>
                <w:sz w:val="18"/>
              </w:rPr>
            </w:pPr>
            <w:r w:rsidRPr="00A538DD">
              <w:rPr>
                <w:sz w:val="18"/>
              </w:rPr>
              <w:t>306</w:t>
            </w:r>
          </w:p>
        </w:tc>
        <w:tc>
          <w:tcPr>
            <w:tcW w:w="964" w:type="dxa"/>
            <w:vAlign w:val="bottom"/>
          </w:tcPr>
          <w:p w14:paraId="63CE6336" w14:textId="77777777" w:rsidR="0048679D" w:rsidRPr="00A538DD" w:rsidRDefault="0048679D">
            <w:pPr>
              <w:jc w:val="right"/>
              <w:rPr>
                <w:sz w:val="18"/>
              </w:rPr>
            </w:pPr>
            <w:r w:rsidRPr="00A538DD">
              <w:rPr>
                <w:sz w:val="18"/>
              </w:rPr>
              <w:t>125</w:t>
            </w:r>
          </w:p>
        </w:tc>
        <w:tc>
          <w:tcPr>
            <w:tcW w:w="964" w:type="dxa"/>
            <w:vAlign w:val="bottom"/>
          </w:tcPr>
          <w:p w14:paraId="7FC0ED06" w14:textId="77777777" w:rsidR="0048679D" w:rsidRPr="00A538DD" w:rsidRDefault="0048679D">
            <w:pPr>
              <w:jc w:val="right"/>
              <w:rPr>
                <w:sz w:val="18"/>
              </w:rPr>
            </w:pPr>
            <w:r w:rsidRPr="00A538DD">
              <w:rPr>
                <w:sz w:val="18"/>
              </w:rPr>
              <w:t>207</w:t>
            </w:r>
          </w:p>
        </w:tc>
        <w:tc>
          <w:tcPr>
            <w:tcW w:w="964" w:type="dxa"/>
            <w:vAlign w:val="bottom"/>
          </w:tcPr>
          <w:p w14:paraId="2751FA4A" w14:textId="77777777" w:rsidR="0048679D" w:rsidRPr="00A538DD" w:rsidRDefault="0048679D">
            <w:pPr>
              <w:jc w:val="right"/>
              <w:rPr>
                <w:sz w:val="18"/>
              </w:rPr>
            </w:pPr>
            <w:r w:rsidRPr="00A538DD">
              <w:rPr>
                <w:sz w:val="18"/>
              </w:rPr>
              <w:t>161</w:t>
            </w:r>
          </w:p>
        </w:tc>
        <w:tc>
          <w:tcPr>
            <w:tcW w:w="964" w:type="dxa"/>
            <w:vAlign w:val="bottom"/>
          </w:tcPr>
          <w:p w14:paraId="0EFBAD25" w14:textId="77777777" w:rsidR="0048679D" w:rsidRPr="00A538DD" w:rsidRDefault="0048679D">
            <w:pPr>
              <w:jc w:val="right"/>
              <w:rPr>
                <w:sz w:val="18"/>
              </w:rPr>
            </w:pPr>
            <w:r w:rsidRPr="00A538DD">
              <w:rPr>
                <w:sz w:val="18"/>
              </w:rPr>
              <w:t>159</w:t>
            </w:r>
          </w:p>
        </w:tc>
      </w:tr>
      <w:tr w:rsidR="00000000" w:rsidRPr="00A538DD" w14:paraId="777DACDD" w14:textId="77777777">
        <w:tblPrEx>
          <w:tblCellMar>
            <w:top w:w="0" w:type="dxa"/>
            <w:bottom w:w="0" w:type="dxa"/>
          </w:tblCellMar>
        </w:tblPrEx>
        <w:trPr>
          <w:cantSplit/>
          <w:trHeight w:val="216"/>
        </w:trPr>
        <w:tc>
          <w:tcPr>
            <w:tcW w:w="1843" w:type="dxa"/>
            <w:gridSpan w:val="2"/>
          </w:tcPr>
          <w:p w14:paraId="4E12E49E" w14:textId="77777777" w:rsidR="0048679D" w:rsidRPr="00A538DD" w:rsidRDefault="0048679D">
            <w:pPr>
              <w:jc w:val="left"/>
              <w:rPr>
                <w:sz w:val="18"/>
              </w:rPr>
            </w:pPr>
          </w:p>
        </w:tc>
        <w:tc>
          <w:tcPr>
            <w:tcW w:w="822" w:type="dxa"/>
          </w:tcPr>
          <w:p w14:paraId="45D956D1" w14:textId="77777777" w:rsidR="0048679D" w:rsidRPr="00A538DD" w:rsidRDefault="0048679D">
            <w:pPr>
              <w:jc w:val="right"/>
              <w:rPr>
                <w:sz w:val="18"/>
              </w:rPr>
            </w:pPr>
          </w:p>
        </w:tc>
        <w:tc>
          <w:tcPr>
            <w:tcW w:w="964" w:type="dxa"/>
          </w:tcPr>
          <w:p w14:paraId="3DE46C76" w14:textId="77777777" w:rsidR="0048679D" w:rsidRPr="00A538DD" w:rsidRDefault="0048679D">
            <w:pPr>
              <w:jc w:val="right"/>
              <w:rPr>
                <w:sz w:val="18"/>
              </w:rPr>
            </w:pPr>
          </w:p>
        </w:tc>
        <w:tc>
          <w:tcPr>
            <w:tcW w:w="964" w:type="dxa"/>
          </w:tcPr>
          <w:p w14:paraId="7F21D137" w14:textId="77777777" w:rsidR="0048679D" w:rsidRPr="00A538DD" w:rsidRDefault="0048679D">
            <w:pPr>
              <w:jc w:val="right"/>
              <w:rPr>
                <w:sz w:val="18"/>
              </w:rPr>
            </w:pPr>
          </w:p>
        </w:tc>
        <w:tc>
          <w:tcPr>
            <w:tcW w:w="964" w:type="dxa"/>
          </w:tcPr>
          <w:p w14:paraId="4F642FD4" w14:textId="77777777" w:rsidR="0048679D" w:rsidRPr="00A538DD" w:rsidRDefault="0048679D">
            <w:pPr>
              <w:jc w:val="right"/>
              <w:rPr>
                <w:sz w:val="18"/>
              </w:rPr>
            </w:pPr>
          </w:p>
        </w:tc>
        <w:tc>
          <w:tcPr>
            <w:tcW w:w="964" w:type="dxa"/>
          </w:tcPr>
          <w:p w14:paraId="518BB3CD" w14:textId="77777777" w:rsidR="0048679D" w:rsidRPr="00A538DD" w:rsidRDefault="0048679D">
            <w:pPr>
              <w:jc w:val="right"/>
              <w:rPr>
                <w:sz w:val="18"/>
              </w:rPr>
            </w:pPr>
          </w:p>
        </w:tc>
      </w:tr>
      <w:tr w:rsidR="00000000" w:rsidRPr="00A538DD" w14:paraId="30EF00CE" w14:textId="77777777">
        <w:tblPrEx>
          <w:tblCellMar>
            <w:top w:w="0" w:type="dxa"/>
            <w:bottom w:w="0" w:type="dxa"/>
          </w:tblCellMar>
        </w:tblPrEx>
        <w:trPr>
          <w:cantSplit/>
          <w:trHeight w:val="216"/>
        </w:trPr>
        <w:tc>
          <w:tcPr>
            <w:tcW w:w="1843" w:type="dxa"/>
            <w:gridSpan w:val="2"/>
          </w:tcPr>
          <w:p w14:paraId="2B5DA1FB" w14:textId="77777777" w:rsidR="0048679D" w:rsidRPr="00A538DD" w:rsidRDefault="0048679D">
            <w:pPr>
              <w:spacing w:before="0"/>
              <w:jc w:val="left"/>
              <w:rPr>
                <w:b/>
                <w:sz w:val="18"/>
              </w:rPr>
            </w:pPr>
            <w:r w:rsidRPr="00A538DD">
              <w:rPr>
                <w:b/>
                <w:sz w:val="18"/>
              </w:rPr>
              <w:t>Skulder i utländsk valuta till hemmah</w:t>
            </w:r>
            <w:r w:rsidRPr="00A538DD">
              <w:rPr>
                <w:b/>
                <w:sz w:val="18"/>
              </w:rPr>
              <w:t>ö</w:t>
            </w:r>
            <w:r w:rsidRPr="00A538DD">
              <w:rPr>
                <w:b/>
                <w:sz w:val="18"/>
              </w:rPr>
              <w:t>rande i Sverige</w:t>
            </w:r>
          </w:p>
        </w:tc>
        <w:tc>
          <w:tcPr>
            <w:tcW w:w="822" w:type="dxa"/>
            <w:vAlign w:val="bottom"/>
          </w:tcPr>
          <w:p w14:paraId="421BF239" w14:textId="77777777" w:rsidR="0048679D" w:rsidRPr="00A538DD" w:rsidRDefault="0048679D">
            <w:pPr>
              <w:jc w:val="right"/>
              <w:rPr>
                <w:sz w:val="18"/>
              </w:rPr>
            </w:pPr>
            <w:r w:rsidRPr="00A538DD">
              <w:rPr>
                <w:sz w:val="18"/>
              </w:rPr>
              <w:t>–</w:t>
            </w:r>
          </w:p>
        </w:tc>
        <w:tc>
          <w:tcPr>
            <w:tcW w:w="964" w:type="dxa"/>
            <w:vAlign w:val="bottom"/>
          </w:tcPr>
          <w:p w14:paraId="45285EF5" w14:textId="77777777" w:rsidR="0048679D" w:rsidRPr="00A538DD" w:rsidRDefault="0048679D">
            <w:pPr>
              <w:jc w:val="right"/>
              <w:rPr>
                <w:sz w:val="18"/>
              </w:rPr>
            </w:pPr>
            <w:r w:rsidRPr="00A538DD">
              <w:rPr>
                <w:sz w:val="18"/>
              </w:rPr>
              <w:t>–</w:t>
            </w:r>
          </w:p>
        </w:tc>
        <w:tc>
          <w:tcPr>
            <w:tcW w:w="964" w:type="dxa"/>
            <w:vAlign w:val="bottom"/>
          </w:tcPr>
          <w:p w14:paraId="38CFA636" w14:textId="77777777" w:rsidR="0048679D" w:rsidRPr="00A538DD" w:rsidRDefault="0048679D">
            <w:pPr>
              <w:jc w:val="right"/>
              <w:rPr>
                <w:sz w:val="18"/>
              </w:rPr>
            </w:pPr>
            <w:r w:rsidRPr="00A538DD">
              <w:rPr>
                <w:sz w:val="18"/>
              </w:rPr>
              <w:t>–</w:t>
            </w:r>
          </w:p>
        </w:tc>
        <w:tc>
          <w:tcPr>
            <w:tcW w:w="964" w:type="dxa"/>
            <w:vAlign w:val="bottom"/>
          </w:tcPr>
          <w:p w14:paraId="11282ADB" w14:textId="77777777" w:rsidR="0048679D" w:rsidRPr="00A538DD" w:rsidRDefault="0048679D">
            <w:pPr>
              <w:jc w:val="right"/>
              <w:rPr>
                <w:sz w:val="18"/>
              </w:rPr>
            </w:pPr>
            <w:r w:rsidRPr="00A538DD">
              <w:rPr>
                <w:sz w:val="18"/>
              </w:rPr>
              <w:t>2 198</w:t>
            </w:r>
          </w:p>
        </w:tc>
        <w:tc>
          <w:tcPr>
            <w:tcW w:w="964" w:type="dxa"/>
            <w:vAlign w:val="bottom"/>
          </w:tcPr>
          <w:p w14:paraId="4D00C0BD" w14:textId="77777777" w:rsidR="0048679D" w:rsidRPr="00A538DD" w:rsidRDefault="0048679D">
            <w:pPr>
              <w:jc w:val="right"/>
              <w:rPr>
                <w:sz w:val="18"/>
              </w:rPr>
            </w:pPr>
            <w:r w:rsidRPr="00A538DD">
              <w:rPr>
                <w:sz w:val="18"/>
              </w:rPr>
              <w:t>1 410</w:t>
            </w:r>
          </w:p>
        </w:tc>
      </w:tr>
      <w:tr w:rsidR="00000000" w:rsidRPr="00A538DD" w14:paraId="4E1D2211" w14:textId="77777777">
        <w:tblPrEx>
          <w:tblCellMar>
            <w:top w:w="0" w:type="dxa"/>
            <w:bottom w:w="0" w:type="dxa"/>
          </w:tblCellMar>
        </w:tblPrEx>
        <w:trPr>
          <w:cantSplit/>
          <w:trHeight w:val="216"/>
        </w:trPr>
        <w:tc>
          <w:tcPr>
            <w:tcW w:w="1843" w:type="dxa"/>
            <w:gridSpan w:val="2"/>
          </w:tcPr>
          <w:p w14:paraId="5BFEB920" w14:textId="77777777" w:rsidR="0048679D" w:rsidRPr="00A538DD" w:rsidRDefault="0048679D">
            <w:pPr>
              <w:jc w:val="left"/>
              <w:rPr>
                <w:sz w:val="18"/>
              </w:rPr>
            </w:pPr>
          </w:p>
        </w:tc>
        <w:tc>
          <w:tcPr>
            <w:tcW w:w="822" w:type="dxa"/>
          </w:tcPr>
          <w:p w14:paraId="5610D5BE" w14:textId="77777777" w:rsidR="0048679D" w:rsidRPr="00A538DD" w:rsidRDefault="0048679D">
            <w:pPr>
              <w:jc w:val="right"/>
              <w:rPr>
                <w:sz w:val="18"/>
              </w:rPr>
            </w:pPr>
          </w:p>
        </w:tc>
        <w:tc>
          <w:tcPr>
            <w:tcW w:w="964" w:type="dxa"/>
          </w:tcPr>
          <w:p w14:paraId="5EE4C10C" w14:textId="77777777" w:rsidR="0048679D" w:rsidRPr="00A538DD" w:rsidRDefault="0048679D">
            <w:pPr>
              <w:jc w:val="right"/>
              <w:rPr>
                <w:sz w:val="18"/>
              </w:rPr>
            </w:pPr>
          </w:p>
        </w:tc>
        <w:tc>
          <w:tcPr>
            <w:tcW w:w="964" w:type="dxa"/>
          </w:tcPr>
          <w:p w14:paraId="08CEE033" w14:textId="77777777" w:rsidR="0048679D" w:rsidRPr="00A538DD" w:rsidRDefault="0048679D">
            <w:pPr>
              <w:jc w:val="right"/>
              <w:rPr>
                <w:sz w:val="18"/>
              </w:rPr>
            </w:pPr>
          </w:p>
        </w:tc>
        <w:tc>
          <w:tcPr>
            <w:tcW w:w="964" w:type="dxa"/>
          </w:tcPr>
          <w:p w14:paraId="037BBB27" w14:textId="77777777" w:rsidR="0048679D" w:rsidRPr="00A538DD" w:rsidRDefault="0048679D">
            <w:pPr>
              <w:jc w:val="right"/>
              <w:rPr>
                <w:sz w:val="18"/>
              </w:rPr>
            </w:pPr>
          </w:p>
        </w:tc>
        <w:tc>
          <w:tcPr>
            <w:tcW w:w="964" w:type="dxa"/>
          </w:tcPr>
          <w:p w14:paraId="3CC78A9B" w14:textId="77777777" w:rsidR="0048679D" w:rsidRPr="00A538DD" w:rsidRDefault="0048679D">
            <w:pPr>
              <w:jc w:val="right"/>
              <w:rPr>
                <w:sz w:val="18"/>
              </w:rPr>
            </w:pPr>
          </w:p>
        </w:tc>
      </w:tr>
      <w:tr w:rsidR="00000000" w:rsidRPr="00A538DD" w14:paraId="5AA25121" w14:textId="77777777">
        <w:tblPrEx>
          <w:tblCellMar>
            <w:top w:w="0" w:type="dxa"/>
            <w:bottom w:w="0" w:type="dxa"/>
          </w:tblCellMar>
        </w:tblPrEx>
        <w:trPr>
          <w:cantSplit/>
          <w:trHeight w:val="216"/>
        </w:trPr>
        <w:tc>
          <w:tcPr>
            <w:tcW w:w="1843" w:type="dxa"/>
            <w:gridSpan w:val="2"/>
          </w:tcPr>
          <w:p w14:paraId="4EB0C423" w14:textId="77777777" w:rsidR="0048679D" w:rsidRPr="00A538DD" w:rsidRDefault="0048679D">
            <w:pPr>
              <w:spacing w:before="0"/>
              <w:jc w:val="left"/>
              <w:rPr>
                <w:b/>
                <w:sz w:val="18"/>
              </w:rPr>
            </w:pPr>
            <w:r w:rsidRPr="00A538DD">
              <w:rPr>
                <w:b/>
                <w:sz w:val="18"/>
              </w:rPr>
              <w:t>Skulder i utländsk valuta till hemmah</w:t>
            </w:r>
            <w:r w:rsidRPr="00A538DD">
              <w:rPr>
                <w:b/>
                <w:sz w:val="18"/>
              </w:rPr>
              <w:t>ö</w:t>
            </w:r>
            <w:r w:rsidRPr="00A538DD">
              <w:rPr>
                <w:b/>
                <w:sz w:val="18"/>
              </w:rPr>
              <w:t>rande utanför Sver</w:t>
            </w:r>
            <w:r w:rsidRPr="00A538DD">
              <w:rPr>
                <w:b/>
                <w:sz w:val="18"/>
              </w:rPr>
              <w:t>i</w:t>
            </w:r>
            <w:r w:rsidRPr="00A538DD">
              <w:rPr>
                <w:b/>
                <w:sz w:val="18"/>
              </w:rPr>
              <w:t>ge</w:t>
            </w:r>
          </w:p>
        </w:tc>
        <w:tc>
          <w:tcPr>
            <w:tcW w:w="822" w:type="dxa"/>
            <w:vAlign w:val="bottom"/>
          </w:tcPr>
          <w:p w14:paraId="6E614402" w14:textId="77777777" w:rsidR="0048679D" w:rsidRPr="00A538DD" w:rsidRDefault="0048679D">
            <w:pPr>
              <w:jc w:val="right"/>
              <w:rPr>
                <w:sz w:val="18"/>
              </w:rPr>
            </w:pPr>
            <w:r w:rsidRPr="00A538DD">
              <w:rPr>
                <w:sz w:val="18"/>
              </w:rPr>
              <w:t>4 912</w:t>
            </w:r>
          </w:p>
        </w:tc>
        <w:tc>
          <w:tcPr>
            <w:tcW w:w="964" w:type="dxa"/>
            <w:vAlign w:val="bottom"/>
          </w:tcPr>
          <w:p w14:paraId="247B0401" w14:textId="77777777" w:rsidR="0048679D" w:rsidRPr="00A538DD" w:rsidRDefault="0048679D">
            <w:pPr>
              <w:jc w:val="right"/>
              <w:rPr>
                <w:sz w:val="18"/>
              </w:rPr>
            </w:pPr>
            <w:r w:rsidRPr="00A538DD">
              <w:rPr>
                <w:sz w:val="18"/>
              </w:rPr>
              <w:t>998</w:t>
            </w:r>
          </w:p>
        </w:tc>
        <w:tc>
          <w:tcPr>
            <w:tcW w:w="964" w:type="dxa"/>
            <w:vAlign w:val="bottom"/>
          </w:tcPr>
          <w:p w14:paraId="1E5556D5" w14:textId="77777777" w:rsidR="0048679D" w:rsidRPr="00A538DD" w:rsidRDefault="0048679D">
            <w:pPr>
              <w:jc w:val="right"/>
              <w:rPr>
                <w:sz w:val="18"/>
              </w:rPr>
            </w:pPr>
            <w:r w:rsidRPr="00A538DD">
              <w:rPr>
                <w:sz w:val="18"/>
              </w:rPr>
              <w:t>356</w:t>
            </w:r>
          </w:p>
        </w:tc>
        <w:tc>
          <w:tcPr>
            <w:tcW w:w="964" w:type="dxa"/>
            <w:vAlign w:val="bottom"/>
          </w:tcPr>
          <w:p w14:paraId="4AF0F342" w14:textId="77777777" w:rsidR="0048679D" w:rsidRPr="00A538DD" w:rsidRDefault="0048679D">
            <w:pPr>
              <w:jc w:val="right"/>
              <w:rPr>
                <w:sz w:val="18"/>
              </w:rPr>
            </w:pPr>
            <w:r w:rsidRPr="00A538DD">
              <w:rPr>
                <w:sz w:val="18"/>
              </w:rPr>
              <w:t>3 548</w:t>
            </w:r>
          </w:p>
        </w:tc>
        <w:tc>
          <w:tcPr>
            <w:tcW w:w="964" w:type="dxa"/>
            <w:vAlign w:val="bottom"/>
          </w:tcPr>
          <w:p w14:paraId="18B10891" w14:textId="77777777" w:rsidR="0048679D" w:rsidRPr="00A538DD" w:rsidRDefault="0048679D">
            <w:pPr>
              <w:jc w:val="right"/>
              <w:rPr>
                <w:sz w:val="18"/>
              </w:rPr>
            </w:pPr>
            <w:r w:rsidRPr="00A538DD">
              <w:rPr>
                <w:sz w:val="18"/>
              </w:rPr>
              <w:t>4 101</w:t>
            </w:r>
          </w:p>
        </w:tc>
      </w:tr>
      <w:tr w:rsidR="00000000" w:rsidRPr="00A538DD" w14:paraId="0F3D05E9" w14:textId="77777777">
        <w:tblPrEx>
          <w:tblCellMar>
            <w:top w:w="0" w:type="dxa"/>
            <w:bottom w:w="0" w:type="dxa"/>
          </w:tblCellMar>
        </w:tblPrEx>
        <w:trPr>
          <w:cantSplit/>
          <w:trHeight w:val="216"/>
        </w:trPr>
        <w:tc>
          <w:tcPr>
            <w:tcW w:w="1843" w:type="dxa"/>
            <w:gridSpan w:val="2"/>
          </w:tcPr>
          <w:p w14:paraId="200F5082" w14:textId="77777777" w:rsidR="0048679D" w:rsidRPr="00A538DD" w:rsidRDefault="0048679D">
            <w:pPr>
              <w:spacing w:before="0"/>
              <w:jc w:val="left"/>
              <w:rPr>
                <w:sz w:val="18"/>
              </w:rPr>
            </w:pPr>
          </w:p>
        </w:tc>
        <w:tc>
          <w:tcPr>
            <w:tcW w:w="822" w:type="dxa"/>
          </w:tcPr>
          <w:p w14:paraId="069045D3" w14:textId="77777777" w:rsidR="0048679D" w:rsidRPr="00A538DD" w:rsidRDefault="0048679D">
            <w:pPr>
              <w:jc w:val="right"/>
              <w:rPr>
                <w:sz w:val="18"/>
              </w:rPr>
            </w:pPr>
          </w:p>
        </w:tc>
        <w:tc>
          <w:tcPr>
            <w:tcW w:w="964" w:type="dxa"/>
          </w:tcPr>
          <w:p w14:paraId="67D364C6" w14:textId="77777777" w:rsidR="0048679D" w:rsidRPr="00A538DD" w:rsidRDefault="0048679D">
            <w:pPr>
              <w:jc w:val="right"/>
              <w:rPr>
                <w:sz w:val="18"/>
              </w:rPr>
            </w:pPr>
          </w:p>
        </w:tc>
        <w:tc>
          <w:tcPr>
            <w:tcW w:w="964" w:type="dxa"/>
          </w:tcPr>
          <w:p w14:paraId="33CDF7D1" w14:textId="77777777" w:rsidR="0048679D" w:rsidRPr="00A538DD" w:rsidRDefault="0048679D">
            <w:pPr>
              <w:jc w:val="right"/>
              <w:rPr>
                <w:sz w:val="18"/>
              </w:rPr>
            </w:pPr>
          </w:p>
        </w:tc>
        <w:tc>
          <w:tcPr>
            <w:tcW w:w="964" w:type="dxa"/>
          </w:tcPr>
          <w:p w14:paraId="7FA8D860" w14:textId="77777777" w:rsidR="0048679D" w:rsidRPr="00A538DD" w:rsidRDefault="0048679D">
            <w:pPr>
              <w:jc w:val="right"/>
              <w:rPr>
                <w:sz w:val="18"/>
              </w:rPr>
            </w:pPr>
          </w:p>
        </w:tc>
        <w:tc>
          <w:tcPr>
            <w:tcW w:w="964" w:type="dxa"/>
          </w:tcPr>
          <w:p w14:paraId="0B81D7B6" w14:textId="77777777" w:rsidR="0048679D" w:rsidRPr="00A538DD" w:rsidRDefault="0048679D">
            <w:pPr>
              <w:jc w:val="right"/>
              <w:rPr>
                <w:sz w:val="18"/>
              </w:rPr>
            </w:pPr>
          </w:p>
        </w:tc>
      </w:tr>
      <w:tr w:rsidR="00000000" w:rsidRPr="00A538DD" w14:paraId="0D93CAFE" w14:textId="77777777">
        <w:tblPrEx>
          <w:tblCellMar>
            <w:top w:w="0" w:type="dxa"/>
            <w:bottom w:w="0" w:type="dxa"/>
          </w:tblCellMar>
        </w:tblPrEx>
        <w:trPr>
          <w:cantSplit/>
          <w:trHeight w:val="216"/>
        </w:trPr>
        <w:tc>
          <w:tcPr>
            <w:tcW w:w="1843" w:type="dxa"/>
            <w:gridSpan w:val="2"/>
          </w:tcPr>
          <w:p w14:paraId="3318763D" w14:textId="77777777" w:rsidR="0048679D" w:rsidRPr="00A538DD" w:rsidRDefault="0048679D">
            <w:pPr>
              <w:spacing w:before="0"/>
              <w:jc w:val="left"/>
              <w:rPr>
                <w:b/>
                <w:sz w:val="18"/>
              </w:rPr>
            </w:pPr>
            <w:r w:rsidRPr="00A538DD">
              <w:rPr>
                <w:b/>
                <w:sz w:val="18"/>
              </w:rPr>
              <w:t>Motpost till SDR som tilldelats av IMF</w:t>
            </w:r>
          </w:p>
        </w:tc>
        <w:tc>
          <w:tcPr>
            <w:tcW w:w="822" w:type="dxa"/>
            <w:vAlign w:val="bottom"/>
          </w:tcPr>
          <w:p w14:paraId="4C7CDDA6" w14:textId="77777777" w:rsidR="0048679D" w:rsidRPr="00A538DD" w:rsidRDefault="0048679D">
            <w:pPr>
              <w:jc w:val="right"/>
              <w:rPr>
                <w:sz w:val="18"/>
              </w:rPr>
            </w:pPr>
            <w:r w:rsidRPr="00A538DD">
              <w:rPr>
                <w:sz w:val="18"/>
              </w:rPr>
              <w:t>2 537</w:t>
            </w:r>
          </w:p>
        </w:tc>
        <w:tc>
          <w:tcPr>
            <w:tcW w:w="964" w:type="dxa"/>
            <w:vAlign w:val="bottom"/>
          </w:tcPr>
          <w:p w14:paraId="6D4FFAD3" w14:textId="77777777" w:rsidR="0048679D" w:rsidRPr="00A538DD" w:rsidRDefault="0048679D">
            <w:pPr>
              <w:jc w:val="right"/>
              <w:rPr>
                <w:sz w:val="18"/>
              </w:rPr>
            </w:pPr>
            <w:r w:rsidRPr="00A538DD">
              <w:rPr>
                <w:sz w:val="18"/>
              </w:rPr>
              <w:t>2 647</w:t>
            </w:r>
          </w:p>
        </w:tc>
        <w:tc>
          <w:tcPr>
            <w:tcW w:w="964" w:type="dxa"/>
            <w:vAlign w:val="bottom"/>
          </w:tcPr>
          <w:p w14:paraId="30566278" w14:textId="77777777" w:rsidR="0048679D" w:rsidRPr="00A538DD" w:rsidRDefault="0048679D">
            <w:pPr>
              <w:jc w:val="right"/>
              <w:rPr>
                <w:sz w:val="18"/>
              </w:rPr>
            </w:pPr>
            <w:r w:rsidRPr="00A538DD">
              <w:rPr>
                <w:sz w:val="18"/>
              </w:rPr>
              <w:t>2 929</w:t>
            </w:r>
          </w:p>
        </w:tc>
        <w:tc>
          <w:tcPr>
            <w:tcW w:w="964" w:type="dxa"/>
            <w:vAlign w:val="bottom"/>
          </w:tcPr>
          <w:p w14:paraId="7D0C6C22" w14:textId="77777777" w:rsidR="0048679D" w:rsidRPr="00A538DD" w:rsidRDefault="0048679D">
            <w:pPr>
              <w:jc w:val="right"/>
              <w:rPr>
                <w:sz w:val="18"/>
              </w:rPr>
            </w:pPr>
            <w:r w:rsidRPr="00A538DD">
              <w:rPr>
                <w:sz w:val="18"/>
              </w:rPr>
              <w:t>3 258</w:t>
            </w:r>
          </w:p>
        </w:tc>
        <w:tc>
          <w:tcPr>
            <w:tcW w:w="964" w:type="dxa"/>
            <w:vAlign w:val="bottom"/>
          </w:tcPr>
          <w:p w14:paraId="609D4CAF" w14:textId="77777777" w:rsidR="0048679D" w:rsidRPr="00A538DD" w:rsidRDefault="0048679D">
            <w:pPr>
              <w:jc w:val="right"/>
              <w:rPr>
                <w:sz w:val="18"/>
              </w:rPr>
            </w:pPr>
            <w:r w:rsidRPr="00A538DD">
              <w:rPr>
                <w:sz w:val="18"/>
              </w:rPr>
              <w:t>3 042</w:t>
            </w:r>
          </w:p>
        </w:tc>
      </w:tr>
      <w:tr w:rsidR="00000000" w:rsidRPr="00A538DD" w14:paraId="29A50260" w14:textId="77777777">
        <w:tblPrEx>
          <w:tblCellMar>
            <w:top w:w="0" w:type="dxa"/>
            <w:bottom w:w="0" w:type="dxa"/>
          </w:tblCellMar>
        </w:tblPrEx>
        <w:trPr>
          <w:cantSplit/>
          <w:trHeight w:val="216"/>
        </w:trPr>
        <w:tc>
          <w:tcPr>
            <w:tcW w:w="1843" w:type="dxa"/>
            <w:gridSpan w:val="2"/>
          </w:tcPr>
          <w:p w14:paraId="79DF1796" w14:textId="77777777" w:rsidR="0048679D" w:rsidRPr="00A538DD" w:rsidRDefault="0048679D">
            <w:pPr>
              <w:spacing w:before="0"/>
              <w:jc w:val="left"/>
              <w:rPr>
                <w:sz w:val="18"/>
              </w:rPr>
            </w:pPr>
          </w:p>
        </w:tc>
        <w:tc>
          <w:tcPr>
            <w:tcW w:w="822" w:type="dxa"/>
          </w:tcPr>
          <w:p w14:paraId="7E98C0DC" w14:textId="77777777" w:rsidR="0048679D" w:rsidRPr="00A538DD" w:rsidRDefault="0048679D">
            <w:pPr>
              <w:spacing w:before="0"/>
              <w:jc w:val="right"/>
              <w:rPr>
                <w:sz w:val="18"/>
              </w:rPr>
            </w:pPr>
          </w:p>
        </w:tc>
        <w:tc>
          <w:tcPr>
            <w:tcW w:w="964" w:type="dxa"/>
          </w:tcPr>
          <w:p w14:paraId="452BC35D" w14:textId="77777777" w:rsidR="0048679D" w:rsidRPr="00A538DD" w:rsidRDefault="0048679D">
            <w:pPr>
              <w:spacing w:before="0"/>
              <w:jc w:val="right"/>
              <w:rPr>
                <w:sz w:val="18"/>
              </w:rPr>
            </w:pPr>
          </w:p>
        </w:tc>
        <w:tc>
          <w:tcPr>
            <w:tcW w:w="964" w:type="dxa"/>
          </w:tcPr>
          <w:p w14:paraId="3AF2A1F9" w14:textId="77777777" w:rsidR="0048679D" w:rsidRPr="00A538DD" w:rsidRDefault="0048679D">
            <w:pPr>
              <w:spacing w:before="0"/>
              <w:jc w:val="right"/>
              <w:rPr>
                <w:sz w:val="18"/>
              </w:rPr>
            </w:pPr>
          </w:p>
        </w:tc>
        <w:tc>
          <w:tcPr>
            <w:tcW w:w="964" w:type="dxa"/>
          </w:tcPr>
          <w:p w14:paraId="093CA979" w14:textId="77777777" w:rsidR="0048679D" w:rsidRPr="00A538DD" w:rsidRDefault="0048679D">
            <w:pPr>
              <w:spacing w:before="0"/>
              <w:jc w:val="right"/>
              <w:rPr>
                <w:sz w:val="18"/>
              </w:rPr>
            </w:pPr>
          </w:p>
        </w:tc>
        <w:tc>
          <w:tcPr>
            <w:tcW w:w="964" w:type="dxa"/>
          </w:tcPr>
          <w:p w14:paraId="773E3C87" w14:textId="77777777" w:rsidR="0048679D" w:rsidRPr="00A538DD" w:rsidRDefault="0048679D">
            <w:pPr>
              <w:spacing w:before="0"/>
              <w:jc w:val="right"/>
              <w:rPr>
                <w:sz w:val="18"/>
              </w:rPr>
            </w:pPr>
          </w:p>
        </w:tc>
      </w:tr>
      <w:tr w:rsidR="00000000" w:rsidRPr="00A538DD" w14:paraId="000BEA22" w14:textId="77777777">
        <w:tblPrEx>
          <w:tblCellMar>
            <w:top w:w="0" w:type="dxa"/>
            <w:bottom w:w="0" w:type="dxa"/>
          </w:tblCellMar>
        </w:tblPrEx>
        <w:trPr>
          <w:cantSplit/>
          <w:trHeight w:val="216"/>
        </w:trPr>
        <w:tc>
          <w:tcPr>
            <w:tcW w:w="1843" w:type="dxa"/>
            <w:gridSpan w:val="2"/>
          </w:tcPr>
          <w:p w14:paraId="3A58F61E" w14:textId="77777777" w:rsidR="0048679D" w:rsidRPr="00A538DD" w:rsidRDefault="0048679D">
            <w:pPr>
              <w:spacing w:before="0"/>
              <w:jc w:val="left"/>
              <w:rPr>
                <w:sz w:val="18"/>
              </w:rPr>
            </w:pPr>
            <w:r w:rsidRPr="00A538DD">
              <w:rPr>
                <w:b/>
                <w:sz w:val="18"/>
              </w:rPr>
              <w:t>Övriga skulder</w:t>
            </w:r>
          </w:p>
        </w:tc>
        <w:tc>
          <w:tcPr>
            <w:tcW w:w="822" w:type="dxa"/>
          </w:tcPr>
          <w:p w14:paraId="01E69D31" w14:textId="77777777" w:rsidR="0048679D" w:rsidRPr="00A538DD" w:rsidRDefault="0048679D">
            <w:pPr>
              <w:spacing w:before="0"/>
              <w:jc w:val="right"/>
              <w:rPr>
                <w:sz w:val="18"/>
              </w:rPr>
            </w:pPr>
          </w:p>
        </w:tc>
        <w:tc>
          <w:tcPr>
            <w:tcW w:w="964" w:type="dxa"/>
          </w:tcPr>
          <w:p w14:paraId="07290E70" w14:textId="77777777" w:rsidR="0048679D" w:rsidRPr="00A538DD" w:rsidRDefault="0048679D">
            <w:pPr>
              <w:spacing w:before="0"/>
              <w:jc w:val="right"/>
              <w:rPr>
                <w:sz w:val="18"/>
              </w:rPr>
            </w:pPr>
          </w:p>
        </w:tc>
        <w:tc>
          <w:tcPr>
            <w:tcW w:w="964" w:type="dxa"/>
          </w:tcPr>
          <w:p w14:paraId="4D1B838E" w14:textId="77777777" w:rsidR="0048679D" w:rsidRPr="00A538DD" w:rsidRDefault="0048679D">
            <w:pPr>
              <w:spacing w:before="0"/>
              <w:jc w:val="right"/>
              <w:rPr>
                <w:sz w:val="18"/>
              </w:rPr>
            </w:pPr>
          </w:p>
        </w:tc>
        <w:tc>
          <w:tcPr>
            <w:tcW w:w="964" w:type="dxa"/>
          </w:tcPr>
          <w:p w14:paraId="3392B725" w14:textId="77777777" w:rsidR="0048679D" w:rsidRPr="00A538DD" w:rsidRDefault="0048679D">
            <w:pPr>
              <w:spacing w:before="0"/>
              <w:jc w:val="right"/>
              <w:rPr>
                <w:sz w:val="18"/>
              </w:rPr>
            </w:pPr>
          </w:p>
        </w:tc>
        <w:tc>
          <w:tcPr>
            <w:tcW w:w="964" w:type="dxa"/>
          </w:tcPr>
          <w:p w14:paraId="1E88C575" w14:textId="77777777" w:rsidR="0048679D" w:rsidRPr="00A538DD" w:rsidRDefault="0048679D">
            <w:pPr>
              <w:spacing w:before="0"/>
              <w:jc w:val="right"/>
              <w:rPr>
                <w:sz w:val="18"/>
              </w:rPr>
            </w:pPr>
          </w:p>
        </w:tc>
      </w:tr>
      <w:tr w:rsidR="00000000" w:rsidRPr="00A538DD" w14:paraId="7820A371" w14:textId="77777777">
        <w:tblPrEx>
          <w:tblCellMar>
            <w:top w:w="0" w:type="dxa"/>
            <w:bottom w:w="0" w:type="dxa"/>
          </w:tblCellMar>
        </w:tblPrEx>
        <w:trPr>
          <w:cantSplit/>
          <w:trHeight w:val="216"/>
        </w:trPr>
        <w:tc>
          <w:tcPr>
            <w:tcW w:w="1843" w:type="dxa"/>
            <w:gridSpan w:val="2"/>
          </w:tcPr>
          <w:p w14:paraId="6421B88C" w14:textId="77777777" w:rsidR="0048679D" w:rsidRPr="00A538DD" w:rsidRDefault="0048679D">
            <w:pPr>
              <w:spacing w:before="0"/>
              <w:jc w:val="left"/>
              <w:rPr>
                <w:sz w:val="18"/>
              </w:rPr>
            </w:pPr>
            <w:r w:rsidRPr="00A538DD">
              <w:rPr>
                <w:sz w:val="18"/>
              </w:rPr>
              <w:t>Derivatinstrument</w:t>
            </w:r>
          </w:p>
        </w:tc>
        <w:tc>
          <w:tcPr>
            <w:tcW w:w="822" w:type="dxa"/>
          </w:tcPr>
          <w:p w14:paraId="7CB1B46A" w14:textId="77777777" w:rsidR="0048679D" w:rsidRPr="00A538DD" w:rsidRDefault="0048679D">
            <w:pPr>
              <w:spacing w:before="0"/>
              <w:jc w:val="right"/>
              <w:rPr>
                <w:sz w:val="18"/>
              </w:rPr>
            </w:pPr>
            <w:r w:rsidRPr="00A538DD">
              <w:rPr>
                <w:sz w:val="18"/>
              </w:rPr>
              <w:t>85</w:t>
            </w:r>
          </w:p>
        </w:tc>
        <w:tc>
          <w:tcPr>
            <w:tcW w:w="964" w:type="dxa"/>
          </w:tcPr>
          <w:p w14:paraId="48634104" w14:textId="77777777" w:rsidR="0048679D" w:rsidRPr="00A538DD" w:rsidRDefault="0048679D">
            <w:pPr>
              <w:spacing w:before="0"/>
              <w:jc w:val="right"/>
              <w:rPr>
                <w:sz w:val="18"/>
              </w:rPr>
            </w:pPr>
            <w:r w:rsidRPr="00A538DD">
              <w:rPr>
                <w:sz w:val="18"/>
              </w:rPr>
              <w:t>16</w:t>
            </w:r>
          </w:p>
        </w:tc>
        <w:tc>
          <w:tcPr>
            <w:tcW w:w="964" w:type="dxa"/>
          </w:tcPr>
          <w:p w14:paraId="22C20FB2" w14:textId="77777777" w:rsidR="0048679D" w:rsidRPr="00A538DD" w:rsidRDefault="0048679D">
            <w:pPr>
              <w:spacing w:before="0"/>
              <w:jc w:val="right"/>
              <w:rPr>
                <w:sz w:val="18"/>
              </w:rPr>
            </w:pPr>
            <w:r w:rsidRPr="00A538DD">
              <w:rPr>
                <w:sz w:val="18"/>
              </w:rPr>
              <w:t>17</w:t>
            </w:r>
          </w:p>
        </w:tc>
        <w:tc>
          <w:tcPr>
            <w:tcW w:w="964" w:type="dxa"/>
          </w:tcPr>
          <w:p w14:paraId="09E0DFF5" w14:textId="77777777" w:rsidR="0048679D" w:rsidRPr="00A538DD" w:rsidRDefault="0048679D">
            <w:pPr>
              <w:spacing w:before="0"/>
              <w:jc w:val="right"/>
              <w:rPr>
                <w:sz w:val="18"/>
              </w:rPr>
            </w:pPr>
            <w:r w:rsidRPr="00A538DD">
              <w:rPr>
                <w:sz w:val="18"/>
              </w:rPr>
              <w:t>176</w:t>
            </w:r>
          </w:p>
        </w:tc>
        <w:tc>
          <w:tcPr>
            <w:tcW w:w="964" w:type="dxa"/>
          </w:tcPr>
          <w:p w14:paraId="12FC67A3" w14:textId="77777777" w:rsidR="0048679D" w:rsidRPr="00A538DD" w:rsidRDefault="0048679D">
            <w:pPr>
              <w:spacing w:before="0"/>
              <w:jc w:val="right"/>
              <w:rPr>
                <w:sz w:val="18"/>
              </w:rPr>
            </w:pPr>
            <w:r w:rsidRPr="00A538DD">
              <w:rPr>
                <w:sz w:val="18"/>
              </w:rPr>
              <w:t>130</w:t>
            </w:r>
          </w:p>
        </w:tc>
      </w:tr>
      <w:tr w:rsidR="00000000" w:rsidRPr="00A538DD" w14:paraId="2C06A575" w14:textId="77777777">
        <w:tblPrEx>
          <w:tblCellMar>
            <w:top w:w="0" w:type="dxa"/>
            <w:bottom w:w="0" w:type="dxa"/>
          </w:tblCellMar>
        </w:tblPrEx>
        <w:trPr>
          <w:cantSplit/>
          <w:trHeight w:val="216"/>
        </w:trPr>
        <w:tc>
          <w:tcPr>
            <w:tcW w:w="1843" w:type="dxa"/>
            <w:gridSpan w:val="2"/>
          </w:tcPr>
          <w:p w14:paraId="172B0DFB" w14:textId="77777777" w:rsidR="0048679D" w:rsidRPr="00A538DD" w:rsidRDefault="0048679D">
            <w:pPr>
              <w:spacing w:before="0"/>
              <w:jc w:val="left"/>
              <w:rPr>
                <w:sz w:val="18"/>
              </w:rPr>
            </w:pPr>
            <w:r w:rsidRPr="00A538DD">
              <w:rPr>
                <w:sz w:val="18"/>
              </w:rPr>
              <w:t>Upplupna kostnader och förutbetalda intäkter</w:t>
            </w:r>
          </w:p>
        </w:tc>
        <w:tc>
          <w:tcPr>
            <w:tcW w:w="822" w:type="dxa"/>
            <w:vAlign w:val="bottom"/>
          </w:tcPr>
          <w:p w14:paraId="69C40742" w14:textId="77777777" w:rsidR="0048679D" w:rsidRPr="00A538DD" w:rsidRDefault="0048679D">
            <w:pPr>
              <w:spacing w:before="0"/>
              <w:jc w:val="right"/>
              <w:rPr>
                <w:sz w:val="18"/>
              </w:rPr>
            </w:pPr>
            <w:r w:rsidRPr="00A538DD">
              <w:rPr>
                <w:sz w:val="18"/>
              </w:rPr>
              <w:t>100</w:t>
            </w:r>
          </w:p>
        </w:tc>
        <w:tc>
          <w:tcPr>
            <w:tcW w:w="964" w:type="dxa"/>
            <w:vAlign w:val="bottom"/>
          </w:tcPr>
          <w:p w14:paraId="20576E35" w14:textId="77777777" w:rsidR="0048679D" w:rsidRPr="00A538DD" w:rsidRDefault="0048679D">
            <w:pPr>
              <w:spacing w:before="0"/>
              <w:jc w:val="right"/>
              <w:rPr>
                <w:sz w:val="18"/>
              </w:rPr>
            </w:pPr>
            <w:r w:rsidRPr="00A538DD">
              <w:rPr>
                <w:sz w:val="18"/>
              </w:rPr>
              <w:t>81</w:t>
            </w:r>
          </w:p>
        </w:tc>
        <w:tc>
          <w:tcPr>
            <w:tcW w:w="964" w:type="dxa"/>
            <w:vAlign w:val="bottom"/>
          </w:tcPr>
          <w:p w14:paraId="552BAB10" w14:textId="77777777" w:rsidR="0048679D" w:rsidRPr="00A538DD" w:rsidRDefault="0048679D">
            <w:pPr>
              <w:spacing w:before="0"/>
              <w:jc w:val="right"/>
              <w:rPr>
                <w:sz w:val="18"/>
              </w:rPr>
            </w:pPr>
            <w:r w:rsidRPr="00A538DD">
              <w:rPr>
                <w:sz w:val="18"/>
              </w:rPr>
              <w:t>143</w:t>
            </w:r>
          </w:p>
        </w:tc>
        <w:tc>
          <w:tcPr>
            <w:tcW w:w="964" w:type="dxa"/>
            <w:vAlign w:val="bottom"/>
          </w:tcPr>
          <w:p w14:paraId="074E6D6B" w14:textId="77777777" w:rsidR="0048679D" w:rsidRPr="00A538DD" w:rsidRDefault="0048679D">
            <w:pPr>
              <w:spacing w:before="0"/>
              <w:jc w:val="right"/>
              <w:rPr>
                <w:sz w:val="18"/>
              </w:rPr>
            </w:pPr>
            <w:r w:rsidRPr="00A538DD">
              <w:rPr>
                <w:sz w:val="18"/>
              </w:rPr>
              <w:t>143</w:t>
            </w:r>
          </w:p>
        </w:tc>
        <w:tc>
          <w:tcPr>
            <w:tcW w:w="964" w:type="dxa"/>
            <w:vAlign w:val="bottom"/>
          </w:tcPr>
          <w:p w14:paraId="66C844DC" w14:textId="77777777" w:rsidR="0048679D" w:rsidRPr="00A538DD" w:rsidRDefault="0048679D">
            <w:pPr>
              <w:spacing w:before="0"/>
              <w:jc w:val="right"/>
              <w:rPr>
                <w:sz w:val="18"/>
              </w:rPr>
            </w:pPr>
            <w:r w:rsidRPr="00A538DD">
              <w:rPr>
                <w:sz w:val="18"/>
              </w:rPr>
              <w:t>167</w:t>
            </w:r>
          </w:p>
        </w:tc>
      </w:tr>
      <w:tr w:rsidR="00000000" w:rsidRPr="00A538DD" w14:paraId="1D270DE1" w14:textId="77777777">
        <w:tblPrEx>
          <w:tblCellMar>
            <w:top w:w="0" w:type="dxa"/>
            <w:bottom w:w="0" w:type="dxa"/>
          </w:tblCellMar>
        </w:tblPrEx>
        <w:trPr>
          <w:cantSplit/>
          <w:trHeight w:val="216"/>
        </w:trPr>
        <w:tc>
          <w:tcPr>
            <w:tcW w:w="1701" w:type="dxa"/>
          </w:tcPr>
          <w:p w14:paraId="160644CF" w14:textId="77777777" w:rsidR="0048679D" w:rsidRPr="00A538DD" w:rsidRDefault="0048679D">
            <w:pPr>
              <w:jc w:val="left"/>
              <w:rPr>
                <w:sz w:val="18"/>
              </w:rPr>
            </w:pPr>
            <w:r w:rsidRPr="00A538DD">
              <w:rPr>
                <w:sz w:val="18"/>
              </w:rPr>
              <w:t>Övriga skulder</w:t>
            </w:r>
          </w:p>
        </w:tc>
        <w:tc>
          <w:tcPr>
            <w:tcW w:w="964" w:type="dxa"/>
            <w:gridSpan w:val="2"/>
            <w:tcBorders>
              <w:bottom w:val="single" w:sz="6" w:space="0" w:color="auto"/>
            </w:tcBorders>
            <w:vAlign w:val="bottom"/>
          </w:tcPr>
          <w:p w14:paraId="098A81BC" w14:textId="77777777" w:rsidR="0048679D" w:rsidRPr="00A538DD" w:rsidRDefault="0048679D">
            <w:pPr>
              <w:jc w:val="right"/>
              <w:rPr>
                <w:sz w:val="18"/>
              </w:rPr>
            </w:pPr>
            <w:r w:rsidRPr="00A538DD">
              <w:rPr>
                <w:sz w:val="18"/>
              </w:rPr>
              <w:t>69</w:t>
            </w:r>
          </w:p>
        </w:tc>
        <w:tc>
          <w:tcPr>
            <w:tcW w:w="964" w:type="dxa"/>
            <w:tcBorders>
              <w:bottom w:val="single" w:sz="6" w:space="0" w:color="auto"/>
            </w:tcBorders>
            <w:vAlign w:val="bottom"/>
          </w:tcPr>
          <w:p w14:paraId="219FB62E" w14:textId="77777777" w:rsidR="0048679D" w:rsidRPr="00A538DD" w:rsidRDefault="0048679D">
            <w:pPr>
              <w:jc w:val="right"/>
              <w:rPr>
                <w:sz w:val="18"/>
              </w:rPr>
            </w:pPr>
            <w:r w:rsidRPr="00A538DD">
              <w:rPr>
                <w:sz w:val="18"/>
              </w:rPr>
              <w:t>71</w:t>
            </w:r>
          </w:p>
        </w:tc>
        <w:tc>
          <w:tcPr>
            <w:tcW w:w="964" w:type="dxa"/>
            <w:tcBorders>
              <w:bottom w:val="single" w:sz="6" w:space="0" w:color="auto"/>
            </w:tcBorders>
            <w:vAlign w:val="bottom"/>
          </w:tcPr>
          <w:p w14:paraId="071CD4FC" w14:textId="77777777" w:rsidR="0048679D" w:rsidRPr="00A538DD" w:rsidRDefault="0048679D">
            <w:pPr>
              <w:jc w:val="right"/>
              <w:rPr>
                <w:sz w:val="18"/>
              </w:rPr>
            </w:pPr>
            <w:r w:rsidRPr="00A538DD">
              <w:rPr>
                <w:sz w:val="18"/>
              </w:rPr>
              <w:t>77</w:t>
            </w:r>
          </w:p>
        </w:tc>
        <w:tc>
          <w:tcPr>
            <w:tcW w:w="964" w:type="dxa"/>
            <w:tcBorders>
              <w:bottom w:val="single" w:sz="6" w:space="0" w:color="auto"/>
            </w:tcBorders>
            <w:vAlign w:val="bottom"/>
          </w:tcPr>
          <w:p w14:paraId="78238BF4" w14:textId="77777777" w:rsidR="0048679D" w:rsidRPr="00A538DD" w:rsidRDefault="0048679D">
            <w:pPr>
              <w:jc w:val="right"/>
              <w:rPr>
                <w:sz w:val="18"/>
              </w:rPr>
            </w:pPr>
            <w:r w:rsidRPr="00A538DD">
              <w:rPr>
                <w:sz w:val="18"/>
              </w:rPr>
              <w:t>1 927</w:t>
            </w:r>
          </w:p>
        </w:tc>
        <w:tc>
          <w:tcPr>
            <w:tcW w:w="964" w:type="dxa"/>
            <w:tcBorders>
              <w:bottom w:val="single" w:sz="6" w:space="0" w:color="auto"/>
            </w:tcBorders>
            <w:vAlign w:val="bottom"/>
          </w:tcPr>
          <w:p w14:paraId="06BD09A1" w14:textId="77777777" w:rsidR="0048679D" w:rsidRPr="00A538DD" w:rsidRDefault="0048679D">
            <w:pPr>
              <w:jc w:val="right"/>
              <w:rPr>
                <w:sz w:val="18"/>
              </w:rPr>
            </w:pPr>
            <w:r w:rsidRPr="00A538DD">
              <w:rPr>
                <w:sz w:val="18"/>
              </w:rPr>
              <w:t>108</w:t>
            </w:r>
          </w:p>
        </w:tc>
      </w:tr>
      <w:tr w:rsidR="00000000" w:rsidRPr="00A538DD" w14:paraId="7AEA516A" w14:textId="77777777">
        <w:tblPrEx>
          <w:tblCellMar>
            <w:top w:w="0" w:type="dxa"/>
            <w:bottom w:w="0" w:type="dxa"/>
          </w:tblCellMar>
        </w:tblPrEx>
        <w:trPr>
          <w:cantSplit/>
          <w:trHeight w:val="216"/>
        </w:trPr>
        <w:tc>
          <w:tcPr>
            <w:tcW w:w="1701" w:type="dxa"/>
          </w:tcPr>
          <w:p w14:paraId="7E4C208A" w14:textId="77777777" w:rsidR="0048679D" w:rsidRPr="00A538DD" w:rsidRDefault="0048679D">
            <w:pPr>
              <w:jc w:val="left"/>
              <w:rPr>
                <w:sz w:val="18"/>
              </w:rPr>
            </w:pPr>
          </w:p>
        </w:tc>
        <w:tc>
          <w:tcPr>
            <w:tcW w:w="964" w:type="dxa"/>
            <w:gridSpan w:val="2"/>
          </w:tcPr>
          <w:p w14:paraId="498949FD" w14:textId="77777777" w:rsidR="0048679D" w:rsidRPr="00A538DD" w:rsidRDefault="0048679D">
            <w:pPr>
              <w:jc w:val="right"/>
              <w:rPr>
                <w:sz w:val="18"/>
              </w:rPr>
            </w:pPr>
            <w:r w:rsidRPr="00A538DD">
              <w:rPr>
                <w:sz w:val="18"/>
              </w:rPr>
              <w:t>254</w:t>
            </w:r>
          </w:p>
        </w:tc>
        <w:tc>
          <w:tcPr>
            <w:tcW w:w="964" w:type="dxa"/>
          </w:tcPr>
          <w:p w14:paraId="32E8527E" w14:textId="77777777" w:rsidR="0048679D" w:rsidRPr="00A538DD" w:rsidRDefault="0048679D">
            <w:pPr>
              <w:jc w:val="right"/>
              <w:rPr>
                <w:sz w:val="18"/>
              </w:rPr>
            </w:pPr>
            <w:r w:rsidRPr="00A538DD">
              <w:rPr>
                <w:sz w:val="18"/>
              </w:rPr>
              <w:t>168</w:t>
            </w:r>
          </w:p>
        </w:tc>
        <w:tc>
          <w:tcPr>
            <w:tcW w:w="964" w:type="dxa"/>
          </w:tcPr>
          <w:p w14:paraId="15B16E9D" w14:textId="77777777" w:rsidR="0048679D" w:rsidRPr="00A538DD" w:rsidRDefault="0048679D">
            <w:pPr>
              <w:jc w:val="right"/>
              <w:rPr>
                <w:sz w:val="18"/>
              </w:rPr>
            </w:pPr>
            <w:r w:rsidRPr="00A538DD">
              <w:rPr>
                <w:sz w:val="18"/>
              </w:rPr>
              <w:t>237</w:t>
            </w:r>
          </w:p>
        </w:tc>
        <w:tc>
          <w:tcPr>
            <w:tcW w:w="964" w:type="dxa"/>
          </w:tcPr>
          <w:p w14:paraId="52ED3169" w14:textId="77777777" w:rsidR="0048679D" w:rsidRPr="00A538DD" w:rsidRDefault="0048679D">
            <w:pPr>
              <w:jc w:val="right"/>
              <w:rPr>
                <w:sz w:val="18"/>
              </w:rPr>
            </w:pPr>
            <w:r w:rsidRPr="00A538DD">
              <w:rPr>
                <w:sz w:val="18"/>
              </w:rPr>
              <w:t>2 246</w:t>
            </w:r>
          </w:p>
        </w:tc>
        <w:tc>
          <w:tcPr>
            <w:tcW w:w="964" w:type="dxa"/>
          </w:tcPr>
          <w:p w14:paraId="708D61B5" w14:textId="77777777" w:rsidR="0048679D" w:rsidRPr="00A538DD" w:rsidRDefault="0048679D">
            <w:pPr>
              <w:jc w:val="right"/>
              <w:rPr>
                <w:sz w:val="18"/>
              </w:rPr>
            </w:pPr>
            <w:r w:rsidRPr="00A538DD">
              <w:rPr>
                <w:sz w:val="18"/>
              </w:rPr>
              <w:t>405</w:t>
            </w:r>
          </w:p>
        </w:tc>
      </w:tr>
      <w:tr w:rsidR="00000000" w:rsidRPr="00A538DD" w14:paraId="15666569" w14:textId="77777777">
        <w:tblPrEx>
          <w:tblCellMar>
            <w:top w:w="0" w:type="dxa"/>
            <w:bottom w:w="0" w:type="dxa"/>
          </w:tblCellMar>
        </w:tblPrEx>
        <w:trPr>
          <w:cantSplit/>
          <w:trHeight w:val="216"/>
        </w:trPr>
        <w:tc>
          <w:tcPr>
            <w:tcW w:w="1701" w:type="dxa"/>
          </w:tcPr>
          <w:p w14:paraId="0A4248AC" w14:textId="77777777" w:rsidR="0048679D" w:rsidRPr="00A538DD" w:rsidRDefault="0048679D">
            <w:pPr>
              <w:spacing w:before="0"/>
              <w:jc w:val="left"/>
              <w:rPr>
                <w:sz w:val="18"/>
              </w:rPr>
            </w:pPr>
          </w:p>
        </w:tc>
        <w:tc>
          <w:tcPr>
            <w:tcW w:w="964" w:type="dxa"/>
            <w:gridSpan w:val="2"/>
          </w:tcPr>
          <w:p w14:paraId="2BEA9706" w14:textId="77777777" w:rsidR="0048679D" w:rsidRPr="00A538DD" w:rsidRDefault="0048679D">
            <w:pPr>
              <w:spacing w:before="0"/>
              <w:jc w:val="right"/>
              <w:rPr>
                <w:sz w:val="18"/>
              </w:rPr>
            </w:pPr>
          </w:p>
        </w:tc>
        <w:tc>
          <w:tcPr>
            <w:tcW w:w="964" w:type="dxa"/>
          </w:tcPr>
          <w:p w14:paraId="61B07EEB" w14:textId="77777777" w:rsidR="0048679D" w:rsidRPr="00A538DD" w:rsidRDefault="0048679D">
            <w:pPr>
              <w:spacing w:before="0"/>
              <w:jc w:val="right"/>
              <w:rPr>
                <w:sz w:val="18"/>
              </w:rPr>
            </w:pPr>
          </w:p>
        </w:tc>
        <w:tc>
          <w:tcPr>
            <w:tcW w:w="964" w:type="dxa"/>
          </w:tcPr>
          <w:p w14:paraId="4B01F0FC" w14:textId="77777777" w:rsidR="0048679D" w:rsidRPr="00A538DD" w:rsidRDefault="0048679D">
            <w:pPr>
              <w:spacing w:before="0"/>
              <w:jc w:val="right"/>
              <w:rPr>
                <w:sz w:val="18"/>
              </w:rPr>
            </w:pPr>
          </w:p>
        </w:tc>
        <w:tc>
          <w:tcPr>
            <w:tcW w:w="964" w:type="dxa"/>
          </w:tcPr>
          <w:p w14:paraId="2486D7CE" w14:textId="77777777" w:rsidR="0048679D" w:rsidRPr="00A538DD" w:rsidRDefault="0048679D">
            <w:pPr>
              <w:spacing w:before="0"/>
              <w:jc w:val="right"/>
              <w:rPr>
                <w:sz w:val="18"/>
              </w:rPr>
            </w:pPr>
          </w:p>
        </w:tc>
        <w:tc>
          <w:tcPr>
            <w:tcW w:w="964" w:type="dxa"/>
          </w:tcPr>
          <w:p w14:paraId="6411AEA9" w14:textId="77777777" w:rsidR="0048679D" w:rsidRPr="00A538DD" w:rsidRDefault="0048679D">
            <w:pPr>
              <w:spacing w:before="0"/>
              <w:jc w:val="right"/>
              <w:rPr>
                <w:sz w:val="18"/>
              </w:rPr>
            </w:pPr>
          </w:p>
        </w:tc>
      </w:tr>
      <w:tr w:rsidR="00000000" w:rsidRPr="00A538DD" w14:paraId="7208BC4C" w14:textId="77777777">
        <w:tblPrEx>
          <w:tblCellMar>
            <w:top w:w="0" w:type="dxa"/>
            <w:bottom w:w="0" w:type="dxa"/>
          </w:tblCellMar>
        </w:tblPrEx>
        <w:trPr>
          <w:cantSplit/>
          <w:trHeight w:val="216"/>
        </w:trPr>
        <w:tc>
          <w:tcPr>
            <w:tcW w:w="1701" w:type="dxa"/>
          </w:tcPr>
          <w:p w14:paraId="144D22B9" w14:textId="77777777" w:rsidR="0048679D" w:rsidRPr="00A538DD" w:rsidRDefault="0048679D">
            <w:pPr>
              <w:jc w:val="left"/>
              <w:rPr>
                <w:b/>
                <w:sz w:val="18"/>
              </w:rPr>
            </w:pPr>
            <w:r w:rsidRPr="00A538DD">
              <w:rPr>
                <w:b/>
                <w:sz w:val="18"/>
              </w:rPr>
              <w:t>Avsättningar</w:t>
            </w:r>
          </w:p>
        </w:tc>
        <w:tc>
          <w:tcPr>
            <w:tcW w:w="964" w:type="dxa"/>
            <w:gridSpan w:val="2"/>
          </w:tcPr>
          <w:p w14:paraId="6E39C1CF" w14:textId="77777777" w:rsidR="0048679D" w:rsidRPr="00A538DD" w:rsidRDefault="0048679D">
            <w:pPr>
              <w:jc w:val="right"/>
              <w:rPr>
                <w:sz w:val="18"/>
              </w:rPr>
            </w:pPr>
            <w:r w:rsidRPr="00A538DD">
              <w:rPr>
                <w:sz w:val="18"/>
              </w:rPr>
              <w:t>304</w:t>
            </w:r>
          </w:p>
        </w:tc>
        <w:tc>
          <w:tcPr>
            <w:tcW w:w="964" w:type="dxa"/>
          </w:tcPr>
          <w:p w14:paraId="38CD21A7" w14:textId="77777777" w:rsidR="0048679D" w:rsidRPr="00A538DD" w:rsidRDefault="0048679D">
            <w:pPr>
              <w:jc w:val="right"/>
              <w:rPr>
                <w:sz w:val="18"/>
              </w:rPr>
            </w:pPr>
            <w:r w:rsidRPr="00A538DD">
              <w:rPr>
                <w:sz w:val="18"/>
              </w:rPr>
              <w:t>396</w:t>
            </w:r>
          </w:p>
        </w:tc>
        <w:tc>
          <w:tcPr>
            <w:tcW w:w="964" w:type="dxa"/>
          </w:tcPr>
          <w:p w14:paraId="3090DC76" w14:textId="77777777" w:rsidR="0048679D" w:rsidRPr="00A538DD" w:rsidRDefault="0048679D">
            <w:pPr>
              <w:jc w:val="right"/>
              <w:rPr>
                <w:sz w:val="18"/>
              </w:rPr>
            </w:pPr>
            <w:r w:rsidRPr="00A538DD">
              <w:rPr>
                <w:sz w:val="18"/>
              </w:rPr>
              <w:t>443</w:t>
            </w:r>
          </w:p>
        </w:tc>
        <w:tc>
          <w:tcPr>
            <w:tcW w:w="964" w:type="dxa"/>
          </w:tcPr>
          <w:p w14:paraId="406657B6" w14:textId="77777777" w:rsidR="0048679D" w:rsidRPr="00A538DD" w:rsidRDefault="0048679D">
            <w:pPr>
              <w:jc w:val="right"/>
              <w:rPr>
                <w:sz w:val="18"/>
              </w:rPr>
            </w:pPr>
            <w:r w:rsidRPr="00A538DD">
              <w:rPr>
                <w:sz w:val="18"/>
              </w:rPr>
              <w:t>394</w:t>
            </w:r>
          </w:p>
        </w:tc>
        <w:tc>
          <w:tcPr>
            <w:tcW w:w="964" w:type="dxa"/>
          </w:tcPr>
          <w:p w14:paraId="313FA77A" w14:textId="77777777" w:rsidR="0048679D" w:rsidRPr="00A538DD" w:rsidRDefault="0048679D">
            <w:pPr>
              <w:jc w:val="right"/>
              <w:rPr>
                <w:sz w:val="18"/>
              </w:rPr>
            </w:pPr>
            <w:r w:rsidRPr="00A538DD">
              <w:rPr>
                <w:sz w:val="18"/>
              </w:rPr>
              <w:t>384</w:t>
            </w:r>
          </w:p>
        </w:tc>
      </w:tr>
      <w:tr w:rsidR="00000000" w:rsidRPr="00A538DD" w14:paraId="611DAFB8" w14:textId="77777777">
        <w:tblPrEx>
          <w:tblCellMar>
            <w:top w:w="0" w:type="dxa"/>
            <w:bottom w:w="0" w:type="dxa"/>
          </w:tblCellMar>
        </w:tblPrEx>
        <w:trPr>
          <w:cantSplit/>
          <w:trHeight w:val="216"/>
        </w:trPr>
        <w:tc>
          <w:tcPr>
            <w:tcW w:w="1701" w:type="dxa"/>
          </w:tcPr>
          <w:p w14:paraId="542CACAA" w14:textId="77777777" w:rsidR="0048679D" w:rsidRPr="00A538DD" w:rsidRDefault="0048679D">
            <w:pPr>
              <w:jc w:val="left"/>
              <w:rPr>
                <w:sz w:val="18"/>
              </w:rPr>
            </w:pPr>
          </w:p>
        </w:tc>
        <w:tc>
          <w:tcPr>
            <w:tcW w:w="964" w:type="dxa"/>
            <w:gridSpan w:val="2"/>
          </w:tcPr>
          <w:p w14:paraId="50E8D5BE" w14:textId="77777777" w:rsidR="0048679D" w:rsidRPr="00A538DD" w:rsidRDefault="0048679D">
            <w:pPr>
              <w:jc w:val="right"/>
              <w:rPr>
                <w:sz w:val="18"/>
              </w:rPr>
            </w:pPr>
          </w:p>
        </w:tc>
        <w:tc>
          <w:tcPr>
            <w:tcW w:w="964" w:type="dxa"/>
          </w:tcPr>
          <w:p w14:paraId="0F5CA7A7" w14:textId="77777777" w:rsidR="0048679D" w:rsidRPr="00A538DD" w:rsidRDefault="0048679D">
            <w:pPr>
              <w:jc w:val="right"/>
              <w:rPr>
                <w:sz w:val="18"/>
              </w:rPr>
            </w:pPr>
          </w:p>
        </w:tc>
        <w:tc>
          <w:tcPr>
            <w:tcW w:w="964" w:type="dxa"/>
          </w:tcPr>
          <w:p w14:paraId="70986C09" w14:textId="77777777" w:rsidR="0048679D" w:rsidRPr="00A538DD" w:rsidRDefault="0048679D">
            <w:pPr>
              <w:jc w:val="right"/>
              <w:rPr>
                <w:sz w:val="18"/>
              </w:rPr>
            </w:pPr>
          </w:p>
        </w:tc>
        <w:tc>
          <w:tcPr>
            <w:tcW w:w="964" w:type="dxa"/>
          </w:tcPr>
          <w:p w14:paraId="22758238" w14:textId="77777777" w:rsidR="0048679D" w:rsidRPr="00A538DD" w:rsidRDefault="0048679D">
            <w:pPr>
              <w:jc w:val="right"/>
              <w:rPr>
                <w:sz w:val="18"/>
              </w:rPr>
            </w:pPr>
          </w:p>
        </w:tc>
        <w:tc>
          <w:tcPr>
            <w:tcW w:w="964" w:type="dxa"/>
          </w:tcPr>
          <w:p w14:paraId="11115605" w14:textId="77777777" w:rsidR="0048679D" w:rsidRPr="00A538DD" w:rsidRDefault="0048679D">
            <w:pPr>
              <w:jc w:val="right"/>
              <w:rPr>
                <w:sz w:val="18"/>
              </w:rPr>
            </w:pPr>
          </w:p>
        </w:tc>
      </w:tr>
      <w:tr w:rsidR="00000000" w:rsidRPr="00A538DD" w14:paraId="7B4CAE2B" w14:textId="77777777">
        <w:tblPrEx>
          <w:tblCellMar>
            <w:top w:w="0" w:type="dxa"/>
            <w:bottom w:w="0" w:type="dxa"/>
          </w:tblCellMar>
        </w:tblPrEx>
        <w:trPr>
          <w:cantSplit/>
          <w:trHeight w:val="216"/>
        </w:trPr>
        <w:tc>
          <w:tcPr>
            <w:tcW w:w="1701" w:type="dxa"/>
          </w:tcPr>
          <w:p w14:paraId="4AEAFEA2" w14:textId="77777777" w:rsidR="0048679D" w:rsidRPr="00A538DD" w:rsidRDefault="0048679D">
            <w:pPr>
              <w:spacing w:before="0"/>
              <w:jc w:val="left"/>
              <w:rPr>
                <w:b/>
                <w:sz w:val="18"/>
              </w:rPr>
            </w:pPr>
            <w:r w:rsidRPr="00A538DD">
              <w:rPr>
                <w:b/>
                <w:sz w:val="18"/>
              </w:rPr>
              <w:t>Värdereglerings-</w:t>
            </w:r>
            <w:r w:rsidRPr="00A538DD">
              <w:rPr>
                <w:b/>
                <w:sz w:val="18"/>
              </w:rPr>
              <w:br/>
              <w:t>ko</w:t>
            </w:r>
            <w:r w:rsidRPr="00A538DD">
              <w:rPr>
                <w:b/>
                <w:sz w:val="18"/>
              </w:rPr>
              <w:t>n</w:t>
            </w:r>
            <w:r w:rsidRPr="00A538DD">
              <w:rPr>
                <w:b/>
                <w:sz w:val="18"/>
              </w:rPr>
              <w:t>ton</w:t>
            </w:r>
          </w:p>
        </w:tc>
        <w:tc>
          <w:tcPr>
            <w:tcW w:w="964" w:type="dxa"/>
            <w:gridSpan w:val="2"/>
            <w:vAlign w:val="bottom"/>
          </w:tcPr>
          <w:p w14:paraId="3437700F" w14:textId="77777777" w:rsidR="0048679D" w:rsidRPr="00A538DD" w:rsidRDefault="0048679D">
            <w:pPr>
              <w:jc w:val="right"/>
              <w:rPr>
                <w:sz w:val="18"/>
              </w:rPr>
            </w:pPr>
            <w:r w:rsidRPr="00A538DD">
              <w:rPr>
                <w:sz w:val="18"/>
              </w:rPr>
              <w:t>1 523</w:t>
            </w:r>
          </w:p>
        </w:tc>
        <w:tc>
          <w:tcPr>
            <w:tcW w:w="964" w:type="dxa"/>
            <w:vAlign w:val="bottom"/>
          </w:tcPr>
          <w:p w14:paraId="4DD2B5CE" w14:textId="77777777" w:rsidR="0048679D" w:rsidRPr="00A538DD" w:rsidRDefault="0048679D">
            <w:pPr>
              <w:jc w:val="right"/>
              <w:rPr>
                <w:sz w:val="18"/>
              </w:rPr>
            </w:pPr>
            <w:r w:rsidRPr="00A538DD">
              <w:rPr>
                <w:sz w:val="18"/>
              </w:rPr>
              <w:t>-</w:t>
            </w:r>
          </w:p>
        </w:tc>
        <w:tc>
          <w:tcPr>
            <w:tcW w:w="964" w:type="dxa"/>
            <w:vAlign w:val="bottom"/>
          </w:tcPr>
          <w:p w14:paraId="27958F2E" w14:textId="77777777" w:rsidR="0048679D" w:rsidRPr="00A538DD" w:rsidRDefault="0048679D">
            <w:pPr>
              <w:jc w:val="right"/>
              <w:rPr>
                <w:sz w:val="18"/>
              </w:rPr>
            </w:pPr>
            <w:r w:rsidRPr="00A538DD">
              <w:rPr>
                <w:sz w:val="18"/>
              </w:rPr>
              <w:t>-</w:t>
            </w:r>
          </w:p>
        </w:tc>
        <w:tc>
          <w:tcPr>
            <w:tcW w:w="964" w:type="dxa"/>
            <w:vAlign w:val="bottom"/>
          </w:tcPr>
          <w:p w14:paraId="2FA2AE67" w14:textId="77777777" w:rsidR="0048679D" w:rsidRPr="00A538DD" w:rsidRDefault="0048679D">
            <w:pPr>
              <w:jc w:val="right"/>
              <w:rPr>
                <w:sz w:val="18"/>
              </w:rPr>
            </w:pPr>
            <w:r w:rsidRPr="00A538DD">
              <w:rPr>
                <w:sz w:val="18"/>
              </w:rPr>
              <w:t>-</w:t>
            </w:r>
          </w:p>
        </w:tc>
        <w:tc>
          <w:tcPr>
            <w:tcW w:w="964" w:type="dxa"/>
            <w:vAlign w:val="bottom"/>
          </w:tcPr>
          <w:p w14:paraId="0F098554" w14:textId="77777777" w:rsidR="0048679D" w:rsidRPr="00A538DD" w:rsidRDefault="0048679D">
            <w:pPr>
              <w:jc w:val="right"/>
              <w:rPr>
                <w:sz w:val="18"/>
              </w:rPr>
            </w:pPr>
            <w:r w:rsidRPr="00A538DD">
              <w:rPr>
                <w:sz w:val="18"/>
              </w:rPr>
              <w:t>-</w:t>
            </w:r>
          </w:p>
        </w:tc>
      </w:tr>
      <w:tr w:rsidR="00000000" w:rsidRPr="00A538DD" w14:paraId="6886B85E" w14:textId="77777777">
        <w:tblPrEx>
          <w:tblCellMar>
            <w:top w:w="0" w:type="dxa"/>
            <w:bottom w:w="0" w:type="dxa"/>
          </w:tblCellMar>
        </w:tblPrEx>
        <w:trPr>
          <w:cantSplit/>
          <w:trHeight w:val="216"/>
        </w:trPr>
        <w:tc>
          <w:tcPr>
            <w:tcW w:w="1701" w:type="dxa"/>
          </w:tcPr>
          <w:p w14:paraId="47C2B2D6" w14:textId="77777777" w:rsidR="0048679D" w:rsidRPr="00A538DD" w:rsidRDefault="0048679D">
            <w:pPr>
              <w:jc w:val="left"/>
              <w:rPr>
                <w:sz w:val="18"/>
              </w:rPr>
            </w:pPr>
          </w:p>
        </w:tc>
        <w:tc>
          <w:tcPr>
            <w:tcW w:w="964" w:type="dxa"/>
            <w:gridSpan w:val="2"/>
          </w:tcPr>
          <w:p w14:paraId="1353A877" w14:textId="77777777" w:rsidR="0048679D" w:rsidRPr="00A538DD" w:rsidRDefault="0048679D">
            <w:pPr>
              <w:jc w:val="right"/>
              <w:rPr>
                <w:sz w:val="18"/>
              </w:rPr>
            </w:pPr>
          </w:p>
        </w:tc>
        <w:tc>
          <w:tcPr>
            <w:tcW w:w="964" w:type="dxa"/>
          </w:tcPr>
          <w:p w14:paraId="0B72A637" w14:textId="77777777" w:rsidR="0048679D" w:rsidRPr="00A538DD" w:rsidRDefault="0048679D">
            <w:pPr>
              <w:jc w:val="right"/>
              <w:rPr>
                <w:sz w:val="18"/>
              </w:rPr>
            </w:pPr>
          </w:p>
        </w:tc>
        <w:tc>
          <w:tcPr>
            <w:tcW w:w="964" w:type="dxa"/>
          </w:tcPr>
          <w:p w14:paraId="485F3C4F" w14:textId="77777777" w:rsidR="0048679D" w:rsidRPr="00A538DD" w:rsidRDefault="0048679D">
            <w:pPr>
              <w:jc w:val="right"/>
              <w:rPr>
                <w:sz w:val="18"/>
              </w:rPr>
            </w:pPr>
          </w:p>
        </w:tc>
        <w:tc>
          <w:tcPr>
            <w:tcW w:w="964" w:type="dxa"/>
          </w:tcPr>
          <w:p w14:paraId="0899829C" w14:textId="77777777" w:rsidR="0048679D" w:rsidRPr="00A538DD" w:rsidRDefault="0048679D">
            <w:pPr>
              <w:jc w:val="right"/>
              <w:rPr>
                <w:sz w:val="18"/>
              </w:rPr>
            </w:pPr>
          </w:p>
        </w:tc>
        <w:tc>
          <w:tcPr>
            <w:tcW w:w="964" w:type="dxa"/>
          </w:tcPr>
          <w:p w14:paraId="04346155" w14:textId="77777777" w:rsidR="0048679D" w:rsidRPr="00A538DD" w:rsidRDefault="0048679D">
            <w:pPr>
              <w:jc w:val="right"/>
              <w:rPr>
                <w:sz w:val="18"/>
              </w:rPr>
            </w:pPr>
          </w:p>
        </w:tc>
      </w:tr>
      <w:tr w:rsidR="00000000" w:rsidRPr="00A538DD" w14:paraId="56FBC691" w14:textId="77777777">
        <w:tblPrEx>
          <w:tblCellMar>
            <w:top w:w="0" w:type="dxa"/>
            <w:bottom w:w="0" w:type="dxa"/>
          </w:tblCellMar>
        </w:tblPrEx>
        <w:trPr>
          <w:cantSplit/>
          <w:trHeight w:val="216"/>
        </w:trPr>
        <w:tc>
          <w:tcPr>
            <w:tcW w:w="1701" w:type="dxa"/>
          </w:tcPr>
          <w:p w14:paraId="135BDAB9" w14:textId="77777777" w:rsidR="0048679D" w:rsidRPr="00A538DD" w:rsidRDefault="0048679D">
            <w:pPr>
              <w:jc w:val="left"/>
              <w:rPr>
                <w:b/>
                <w:sz w:val="18"/>
              </w:rPr>
            </w:pPr>
            <w:r w:rsidRPr="00A538DD">
              <w:rPr>
                <w:b/>
                <w:sz w:val="18"/>
              </w:rPr>
              <w:t>Eget kapital</w:t>
            </w:r>
          </w:p>
        </w:tc>
        <w:tc>
          <w:tcPr>
            <w:tcW w:w="964" w:type="dxa"/>
            <w:gridSpan w:val="2"/>
          </w:tcPr>
          <w:p w14:paraId="45E2A640" w14:textId="77777777" w:rsidR="0048679D" w:rsidRPr="00A538DD" w:rsidRDefault="0048679D">
            <w:pPr>
              <w:jc w:val="right"/>
              <w:rPr>
                <w:sz w:val="18"/>
              </w:rPr>
            </w:pPr>
          </w:p>
        </w:tc>
        <w:tc>
          <w:tcPr>
            <w:tcW w:w="964" w:type="dxa"/>
          </w:tcPr>
          <w:p w14:paraId="2310C430" w14:textId="77777777" w:rsidR="0048679D" w:rsidRPr="00A538DD" w:rsidRDefault="0048679D">
            <w:pPr>
              <w:jc w:val="right"/>
              <w:rPr>
                <w:sz w:val="18"/>
              </w:rPr>
            </w:pPr>
          </w:p>
        </w:tc>
        <w:tc>
          <w:tcPr>
            <w:tcW w:w="964" w:type="dxa"/>
          </w:tcPr>
          <w:p w14:paraId="55431E3B" w14:textId="77777777" w:rsidR="0048679D" w:rsidRPr="00A538DD" w:rsidRDefault="0048679D">
            <w:pPr>
              <w:jc w:val="right"/>
              <w:rPr>
                <w:sz w:val="18"/>
              </w:rPr>
            </w:pPr>
          </w:p>
        </w:tc>
        <w:tc>
          <w:tcPr>
            <w:tcW w:w="964" w:type="dxa"/>
          </w:tcPr>
          <w:p w14:paraId="0AEBB180" w14:textId="77777777" w:rsidR="0048679D" w:rsidRPr="00A538DD" w:rsidRDefault="0048679D">
            <w:pPr>
              <w:jc w:val="right"/>
              <w:rPr>
                <w:sz w:val="18"/>
              </w:rPr>
            </w:pPr>
          </w:p>
        </w:tc>
        <w:tc>
          <w:tcPr>
            <w:tcW w:w="964" w:type="dxa"/>
          </w:tcPr>
          <w:p w14:paraId="0F053CD7" w14:textId="77777777" w:rsidR="0048679D" w:rsidRPr="00A538DD" w:rsidRDefault="0048679D">
            <w:pPr>
              <w:jc w:val="right"/>
              <w:rPr>
                <w:sz w:val="18"/>
              </w:rPr>
            </w:pPr>
          </w:p>
        </w:tc>
      </w:tr>
      <w:tr w:rsidR="00000000" w:rsidRPr="00A538DD" w14:paraId="0F3AD8E8" w14:textId="77777777">
        <w:tblPrEx>
          <w:tblCellMar>
            <w:top w:w="0" w:type="dxa"/>
            <w:bottom w:w="0" w:type="dxa"/>
          </w:tblCellMar>
        </w:tblPrEx>
        <w:trPr>
          <w:cantSplit/>
          <w:trHeight w:val="216"/>
        </w:trPr>
        <w:tc>
          <w:tcPr>
            <w:tcW w:w="1701" w:type="dxa"/>
          </w:tcPr>
          <w:p w14:paraId="13FD86F0" w14:textId="77777777" w:rsidR="0048679D" w:rsidRPr="00A538DD" w:rsidRDefault="0048679D">
            <w:pPr>
              <w:jc w:val="left"/>
              <w:rPr>
                <w:sz w:val="18"/>
              </w:rPr>
            </w:pPr>
            <w:r w:rsidRPr="00A538DD">
              <w:rPr>
                <w:sz w:val="18"/>
              </w:rPr>
              <w:t>Grundfond</w:t>
            </w:r>
          </w:p>
        </w:tc>
        <w:tc>
          <w:tcPr>
            <w:tcW w:w="964" w:type="dxa"/>
            <w:gridSpan w:val="2"/>
          </w:tcPr>
          <w:p w14:paraId="002E6C00" w14:textId="77777777" w:rsidR="0048679D" w:rsidRPr="00A538DD" w:rsidRDefault="0048679D">
            <w:pPr>
              <w:jc w:val="right"/>
              <w:rPr>
                <w:sz w:val="18"/>
              </w:rPr>
            </w:pPr>
            <w:r w:rsidRPr="00A538DD">
              <w:rPr>
                <w:sz w:val="18"/>
              </w:rPr>
              <w:t>1 000</w:t>
            </w:r>
          </w:p>
        </w:tc>
        <w:tc>
          <w:tcPr>
            <w:tcW w:w="964" w:type="dxa"/>
          </w:tcPr>
          <w:p w14:paraId="0FF1E211" w14:textId="77777777" w:rsidR="0048679D" w:rsidRPr="00A538DD" w:rsidRDefault="0048679D">
            <w:pPr>
              <w:jc w:val="right"/>
              <w:rPr>
                <w:sz w:val="18"/>
              </w:rPr>
            </w:pPr>
            <w:r w:rsidRPr="00A538DD">
              <w:rPr>
                <w:sz w:val="18"/>
              </w:rPr>
              <w:t>1 000</w:t>
            </w:r>
          </w:p>
        </w:tc>
        <w:tc>
          <w:tcPr>
            <w:tcW w:w="964" w:type="dxa"/>
          </w:tcPr>
          <w:p w14:paraId="4D7A6424" w14:textId="77777777" w:rsidR="0048679D" w:rsidRPr="00A538DD" w:rsidRDefault="0048679D">
            <w:pPr>
              <w:jc w:val="right"/>
              <w:rPr>
                <w:sz w:val="18"/>
              </w:rPr>
            </w:pPr>
            <w:r w:rsidRPr="00A538DD">
              <w:rPr>
                <w:sz w:val="18"/>
              </w:rPr>
              <w:t>1 000</w:t>
            </w:r>
          </w:p>
        </w:tc>
        <w:tc>
          <w:tcPr>
            <w:tcW w:w="964" w:type="dxa"/>
          </w:tcPr>
          <w:p w14:paraId="6B60A999" w14:textId="77777777" w:rsidR="0048679D" w:rsidRPr="00A538DD" w:rsidRDefault="0048679D">
            <w:pPr>
              <w:jc w:val="right"/>
              <w:rPr>
                <w:sz w:val="18"/>
              </w:rPr>
            </w:pPr>
            <w:r w:rsidRPr="00A538DD">
              <w:rPr>
                <w:sz w:val="18"/>
              </w:rPr>
              <w:t>1 000</w:t>
            </w:r>
          </w:p>
        </w:tc>
        <w:tc>
          <w:tcPr>
            <w:tcW w:w="964" w:type="dxa"/>
          </w:tcPr>
          <w:p w14:paraId="765753E8" w14:textId="77777777" w:rsidR="0048679D" w:rsidRPr="00A538DD" w:rsidRDefault="0048679D">
            <w:pPr>
              <w:jc w:val="right"/>
              <w:rPr>
                <w:sz w:val="18"/>
              </w:rPr>
            </w:pPr>
            <w:r w:rsidRPr="00A538DD">
              <w:rPr>
                <w:sz w:val="18"/>
              </w:rPr>
              <w:t>1 000</w:t>
            </w:r>
          </w:p>
        </w:tc>
      </w:tr>
      <w:tr w:rsidR="00000000" w:rsidRPr="00A538DD" w14:paraId="2655FDCE" w14:textId="77777777">
        <w:tblPrEx>
          <w:tblCellMar>
            <w:top w:w="0" w:type="dxa"/>
            <w:bottom w:w="0" w:type="dxa"/>
          </w:tblCellMar>
        </w:tblPrEx>
        <w:trPr>
          <w:cantSplit/>
          <w:trHeight w:val="216"/>
        </w:trPr>
        <w:tc>
          <w:tcPr>
            <w:tcW w:w="1701" w:type="dxa"/>
          </w:tcPr>
          <w:p w14:paraId="5F9FE5DD" w14:textId="77777777" w:rsidR="0048679D" w:rsidRPr="00A538DD" w:rsidRDefault="0048679D">
            <w:pPr>
              <w:jc w:val="left"/>
              <w:rPr>
                <w:sz w:val="18"/>
              </w:rPr>
            </w:pPr>
            <w:r w:rsidRPr="00A538DD">
              <w:rPr>
                <w:sz w:val="18"/>
              </w:rPr>
              <w:t>Reserver</w:t>
            </w:r>
          </w:p>
        </w:tc>
        <w:tc>
          <w:tcPr>
            <w:tcW w:w="964" w:type="dxa"/>
            <w:gridSpan w:val="2"/>
            <w:tcBorders>
              <w:bottom w:val="single" w:sz="6" w:space="0" w:color="auto"/>
            </w:tcBorders>
          </w:tcPr>
          <w:p w14:paraId="14424839" w14:textId="77777777" w:rsidR="0048679D" w:rsidRPr="00A538DD" w:rsidRDefault="0048679D">
            <w:pPr>
              <w:jc w:val="right"/>
              <w:rPr>
                <w:sz w:val="18"/>
              </w:rPr>
            </w:pPr>
            <w:r w:rsidRPr="00A538DD">
              <w:rPr>
                <w:sz w:val="18"/>
              </w:rPr>
              <w:t>65 317</w:t>
            </w:r>
          </w:p>
        </w:tc>
        <w:tc>
          <w:tcPr>
            <w:tcW w:w="964" w:type="dxa"/>
            <w:tcBorders>
              <w:bottom w:val="single" w:sz="6" w:space="0" w:color="auto"/>
            </w:tcBorders>
          </w:tcPr>
          <w:p w14:paraId="4DD96CA0" w14:textId="77777777" w:rsidR="0048679D" w:rsidRPr="00A538DD" w:rsidRDefault="0048679D">
            <w:pPr>
              <w:jc w:val="right"/>
              <w:rPr>
                <w:sz w:val="18"/>
              </w:rPr>
            </w:pPr>
            <w:r w:rsidRPr="00A538DD">
              <w:rPr>
                <w:sz w:val="18"/>
              </w:rPr>
              <w:t>80 697</w:t>
            </w:r>
          </w:p>
        </w:tc>
        <w:tc>
          <w:tcPr>
            <w:tcW w:w="964" w:type="dxa"/>
            <w:tcBorders>
              <w:bottom w:val="single" w:sz="6" w:space="0" w:color="auto"/>
            </w:tcBorders>
          </w:tcPr>
          <w:p w14:paraId="29291FA0" w14:textId="77777777" w:rsidR="0048679D" w:rsidRPr="00A538DD" w:rsidRDefault="0048679D">
            <w:pPr>
              <w:jc w:val="right"/>
              <w:rPr>
                <w:sz w:val="18"/>
              </w:rPr>
            </w:pPr>
            <w:r w:rsidRPr="00A538DD">
              <w:rPr>
                <w:sz w:val="18"/>
              </w:rPr>
              <w:t>88 268</w:t>
            </w:r>
          </w:p>
        </w:tc>
        <w:tc>
          <w:tcPr>
            <w:tcW w:w="964" w:type="dxa"/>
            <w:tcBorders>
              <w:bottom w:val="single" w:sz="6" w:space="0" w:color="auto"/>
            </w:tcBorders>
          </w:tcPr>
          <w:p w14:paraId="29AF0D60" w14:textId="77777777" w:rsidR="0048679D" w:rsidRPr="00A538DD" w:rsidRDefault="0048679D">
            <w:pPr>
              <w:jc w:val="right"/>
              <w:rPr>
                <w:sz w:val="18"/>
              </w:rPr>
            </w:pPr>
            <w:r w:rsidRPr="00A538DD">
              <w:rPr>
                <w:sz w:val="18"/>
              </w:rPr>
              <w:t>96 291</w:t>
            </w:r>
          </w:p>
        </w:tc>
        <w:tc>
          <w:tcPr>
            <w:tcW w:w="964" w:type="dxa"/>
            <w:tcBorders>
              <w:bottom w:val="single" w:sz="6" w:space="0" w:color="auto"/>
            </w:tcBorders>
          </w:tcPr>
          <w:p w14:paraId="3BA0E3F5" w14:textId="77777777" w:rsidR="0048679D" w:rsidRPr="00A538DD" w:rsidRDefault="0048679D">
            <w:pPr>
              <w:jc w:val="right"/>
              <w:rPr>
                <w:sz w:val="18"/>
              </w:rPr>
            </w:pPr>
            <w:r w:rsidRPr="00A538DD">
              <w:rPr>
                <w:sz w:val="18"/>
              </w:rPr>
              <w:t>104 181</w:t>
            </w:r>
          </w:p>
        </w:tc>
      </w:tr>
      <w:tr w:rsidR="00000000" w:rsidRPr="00A538DD" w14:paraId="4535F66E" w14:textId="77777777">
        <w:tblPrEx>
          <w:tblCellMar>
            <w:top w:w="0" w:type="dxa"/>
            <w:bottom w:w="0" w:type="dxa"/>
          </w:tblCellMar>
        </w:tblPrEx>
        <w:trPr>
          <w:cantSplit/>
          <w:trHeight w:val="216"/>
        </w:trPr>
        <w:tc>
          <w:tcPr>
            <w:tcW w:w="1701" w:type="dxa"/>
          </w:tcPr>
          <w:p w14:paraId="4BF68C78" w14:textId="77777777" w:rsidR="0048679D" w:rsidRPr="00A538DD" w:rsidRDefault="0048679D">
            <w:pPr>
              <w:jc w:val="left"/>
              <w:rPr>
                <w:sz w:val="18"/>
              </w:rPr>
            </w:pPr>
          </w:p>
        </w:tc>
        <w:tc>
          <w:tcPr>
            <w:tcW w:w="964" w:type="dxa"/>
            <w:gridSpan w:val="2"/>
          </w:tcPr>
          <w:p w14:paraId="4C77C01E" w14:textId="77777777" w:rsidR="0048679D" w:rsidRPr="00A538DD" w:rsidRDefault="0048679D">
            <w:pPr>
              <w:jc w:val="right"/>
              <w:rPr>
                <w:sz w:val="18"/>
              </w:rPr>
            </w:pPr>
            <w:r w:rsidRPr="00A538DD">
              <w:rPr>
                <w:sz w:val="18"/>
              </w:rPr>
              <w:t>66 317</w:t>
            </w:r>
          </w:p>
        </w:tc>
        <w:tc>
          <w:tcPr>
            <w:tcW w:w="964" w:type="dxa"/>
          </w:tcPr>
          <w:p w14:paraId="291227A6" w14:textId="77777777" w:rsidR="0048679D" w:rsidRPr="00A538DD" w:rsidRDefault="0048679D">
            <w:pPr>
              <w:jc w:val="right"/>
              <w:rPr>
                <w:sz w:val="18"/>
              </w:rPr>
            </w:pPr>
            <w:r w:rsidRPr="00A538DD">
              <w:rPr>
                <w:sz w:val="18"/>
              </w:rPr>
              <w:t>81 697</w:t>
            </w:r>
          </w:p>
        </w:tc>
        <w:tc>
          <w:tcPr>
            <w:tcW w:w="964" w:type="dxa"/>
          </w:tcPr>
          <w:p w14:paraId="3887E299" w14:textId="77777777" w:rsidR="0048679D" w:rsidRPr="00A538DD" w:rsidRDefault="0048679D">
            <w:pPr>
              <w:jc w:val="right"/>
              <w:rPr>
                <w:sz w:val="18"/>
              </w:rPr>
            </w:pPr>
            <w:r w:rsidRPr="00A538DD">
              <w:rPr>
                <w:sz w:val="18"/>
              </w:rPr>
              <w:t>89 268</w:t>
            </w:r>
          </w:p>
        </w:tc>
        <w:tc>
          <w:tcPr>
            <w:tcW w:w="964" w:type="dxa"/>
          </w:tcPr>
          <w:p w14:paraId="500CD282" w14:textId="77777777" w:rsidR="0048679D" w:rsidRPr="00A538DD" w:rsidRDefault="0048679D">
            <w:pPr>
              <w:jc w:val="right"/>
              <w:rPr>
                <w:sz w:val="18"/>
              </w:rPr>
            </w:pPr>
            <w:r w:rsidRPr="00A538DD">
              <w:rPr>
                <w:sz w:val="18"/>
              </w:rPr>
              <w:t>97 291</w:t>
            </w:r>
          </w:p>
        </w:tc>
        <w:tc>
          <w:tcPr>
            <w:tcW w:w="964" w:type="dxa"/>
          </w:tcPr>
          <w:p w14:paraId="16F4B7A5" w14:textId="77777777" w:rsidR="0048679D" w:rsidRPr="00A538DD" w:rsidRDefault="0048679D">
            <w:pPr>
              <w:jc w:val="right"/>
              <w:rPr>
                <w:sz w:val="18"/>
              </w:rPr>
            </w:pPr>
            <w:r w:rsidRPr="00A538DD">
              <w:rPr>
                <w:sz w:val="18"/>
              </w:rPr>
              <w:t>105 181</w:t>
            </w:r>
          </w:p>
        </w:tc>
      </w:tr>
      <w:tr w:rsidR="00000000" w:rsidRPr="00A538DD" w14:paraId="570B73AC" w14:textId="77777777">
        <w:tblPrEx>
          <w:tblCellMar>
            <w:top w:w="0" w:type="dxa"/>
            <w:bottom w:w="0" w:type="dxa"/>
          </w:tblCellMar>
        </w:tblPrEx>
        <w:trPr>
          <w:cantSplit/>
          <w:trHeight w:val="216"/>
        </w:trPr>
        <w:tc>
          <w:tcPr>
            <w:tcW w:w="1701" w:type="dxa"/>
          </w:tcPr>
          <w:p w14:paraId="423BAA5C" w14:textId="77777777" w:rsidR="0048679D" w:rsidRPr="00A538DD" w:rsidRDefault="0048679D">
            <w:pPr>
              <w:jc w:val="left"/>
              <w:rPr>
                <w:sz w:val="18"/>
              </w:rPr>
            </w:pPr>
          </w:p>
        </w:tc>
        <w:tc>
          <w:tcPr>
            <w:tcW w:w="964" w:type="dxa"/>
            <w:gridSpan w:val="2"/>
          </w:tcPr>
          <w:p w14:paraId="06036172" w14:textId="77777777" w:rsidR="0048679D" w:rsidRPr="00A538DD" w:rsidRDefault="0048679D">
            <w:pPr>
              <w:jc w:val="right"/>
              <w:rPr>
                <w:sz w:val="18"/>
              </w:rPr>
            </w:pPr>
          </w:p>
        </w:tc>
        <w:tc>
          <w:tcPr>
            <w:tcW w:w="964" w:type="dxa"/>
          </w:tcPr>
          <w:p w14:paraId="4ABDF39B" w14:textId="77777777" w:rsidR="0048679D" w:rsidRPr="00A538DD" w:rsidRDefault="0048679D">
            <w:pPr>
              <w:jc w:val="right"/>
              <w:rPr>
                <w:sz w:val="18"/>
              </w:rPr>
            </w:pPr>
          </w:p>
        </w:tc>
        <w:tc>
          <w:tcPr>
            <w:tcW w:w="964" w:type="dxa"/>
          </w:tcPr>
          <w:p w14:paraId="74376D0D" w14:textId="77777777" w:rsidR="0048679D" w:rsidRPr="00A538DD" w:rsidRDefault="0048679D">
            <w:pPr>
              <w:jc w:val="right"/>
              <w:rPr>
                <w:sz w:val="18"/>
              </w:rPr>
            </w:pPr>
          </w:p>
        </w:tc>
        <w:tc>
          <w:tcPr>
            <w:tcW w:w="964" w:type="dxa"/>
          </w:tcPr>
          <w:p w14:paraId="0D5F9392" w14:textId="77777777" w:rsidR="0048679D" w:rsidRPr="00A538DD" w:rsidRDefault="0048679D">
            <w:pPr>
              <w:jc w:val="right"/>
              <w:rPr>
                <w:sz w:val="18"/>
              </w:rPr>
            </w:pPr>
          </w:p>
        </w:tc>
        <w:tc>
          <w:tcPr>
            <w:tcW w:w="964" w:type="dxa"/>
          </w:tcPr>
          <w:p w14:paraId="26AD07A8" w14:textId="77777777" w:rsidR="0048679D" w:rsidRPr="00A538DD" w:rsidRDefault="0048679D">
            <w:pPr>
              <w:jc w:val="right"/>
              <w:rPr>
                <w:sz w:val="18"/>
              </w:rPr>
            </w:pPr>
          </w:p>
        </w:tc>
      </w:tr>
      <w:tr w:rsidR="00000000" w:rsidRPr="00A538DD" w14:paraId="19FE4C4D" w14:textId="77777777">
        <w:tblPrEx>
          <w:tblCellMar>
            <w:top w:w="0" w:type="dxa"/>
            <w:bottom w:w="0" w:type="dxa"/>
          </w:tblCellMar>
        </w:tblPrEx>
        <w:trPr>
          <w:cantSplit/>
          <w:trHeight w:val="216"/>
        </w:trPr>
        <w:tc>
          <w:tcPr>
            <w:tcW w:w="1701" w:type="dxa"/>
          </w:tcPr>
          <w:p w14:paraId="6D617DCD" w14:textId="77777777" w:rsidR="0048679D" w:rsidRPr="00A538DD" w:rsidRDefault="0048679D">
            <w:pPr>
              <w:jc w:val="left"/>
              <w:rPr>
                <w:b/>
                <w:sz w:val="18"/>
              </w:rPr>
            </w:pPr>
            <w:r w:rsidRPr="00A538DD">
              <w:rPr>
                <w:b/>
                <w:sz w:val="18"/>
              </w:rPr>
              <w:t>Årets r</w:t>
            </w:r>
            <w:r w:rsidRPr="00A538DD">
              <w:rPr>
                <w:b/>
                <w:sz w:val="18"/>
              </w:rPr>
              <w:t>e</w:t>
            </w:r>
            <w:r w:rsidRPr="00A538DD">
              <w:rPr>
                <w:b/>
                <w:sz w:val="18"/>
              </w:rPr>
              <w:t>sultat</w:t>
            </w:r>
          </w:p>
        </w:tc>
        <w:tc>
          <w:tcPr>
            <w:tcW w:w="964" w:type="dxa"/>
            <w:gridSpan w:val="2"/>
          </w:tcPr>
          <w:p w14:paraId="50240607" w14:textId="77777777" w:rsidR="0048679D" w:rsidRPr="00A538DD" w:rsidRDefault="0048679D">
            <w:pPr>
              <w:jc w:val="right"/>
              <w:rPr>
                <w:sz w:val="18"/>
              </w:rPr>
            </w:pPr>
            <w:r w:rsidRPr="00A538DD">
              <w:rPr>
                <w:sz w:val="18"/>
              </w:rPr>
              <w:t>–2 804</w:t>
            </w:r>
          </w:p>
        </w:tc>
        <w:tc>
          <w:tcPr>
            <w:tcW w:w="964" w:type="dxa"/>
          </w:tcPr>
          <w:p w14:paraId="11080B65" w14:textId="77777777" w:rsidR="0048679D" w:rsidRPr="00A538DD" w:rsidRDefault="0048679D">
            <w:pPr>
              <w:jc w:val="right"/>
              <w:rPr>
                <w:sz w:val="18"/>
              </w:rPr>
            </w:pPr>
            <w:r w:rsidRPr="00A538DD">
              <w:rPr>
                <w:sz w:val="18"/>
              </w:rPr>
              <w:t>–9 280</w:t>
            </w:r>
          </w:p>
        </w:tc>
        <w:tc>
          <w:tcPr>
            <w:tcW w:w="964" w:type="dxa"/>
          </w:tcPr>
          <w:p w14:paraId="7CA9D4CA" w14:textId="77777777" w:rsidR="0048679D" w:rsidRPr="00A538DD" w:rsidRDefault="0048679D">
            <w:pPr>
              <w:jc w:val="right"/>
              <w:rPr>
                <w:sz w:val="18"/>
              </w:rPr>
            </w:pPr>
            <w:r w:rsidRPr="00A538DD">
              <w:rPr>
                <w:sz w:val="18"/>
              </w:rPr>
              <w:t>–71</w:t>
            </w:r>
          </w:p>
        </w:tc>
        <w:tc>
          <w:tcPr>
            <w:tcW w:w="964" w:type="dxa"/>
          </w:tcPr>
          <w:p w14:paraId="1A5544F1" w14:textId="77777777" w:rsidR="0048679D" w:rsidRPr="00A538DD" w:rsidRDefault="0048679D">
            <w:pPr>
              <w:jc w:val="right"/>
              <w:rPr>
                <w:sz w:val="18"/>
              </w:rPr>
            </w:pPr>
            <w:r w:rsidRPr="00A538DD">
              <w:rPr>
                <w:sz w:val="18"/>
              </w:rPr>
              <w:t>19 277</w:t>
            </w:r>
          </w:p>
        </w:tc>
        <w:tc>
          <w:tcPr>
            <w:tcW w:w="964" w:type="dxa"/>
          </w:tcPr>
          <w:p w14:paraId="54429942" w14:textId="77777777" w:rsidR="0048679D" w:rsidRPr="00A538DD" w:rsidRDefault="0048679D">
            <w:pPr>
              <w:jc w:val="right"/>
              <w:rPr>
                <w:sz w:val="18"/>
              </w:rPr>
            </w:pPr>
            <w:r w:rsidRPr="00A538DD">
              <w:rPr>
                <w:sz w:val="18"/>
              </w:rPr>
              <w:t>20 309</w:t>
            </w:r>
          </w:p>
        </w:tc>
      </w:tr>
      <w:tr w:rsidR="00000000" w:rsidRPr="00A538DD" w14:paraId="35CD066E" w14:textId="77777777">
        <w:tblPrEx>
          <w:tblCellMar>
            <w:top w:w="0" w:type="dxa"/>
            <w:bottom w:w="0" w:type="dxa"/>
          </w:tblCellMar>
        </w:tblPrEx>
        <w:trPr>
          <w:cantSplit/>
          <w:trHeight w:val="228"/>
        </w:trPr>
        <w:tc>
          <w:tcPr>
            <w:tcW w:w="1701" w:type="dxa"/>
            <w:vAlign w:val="bottom"/>
          </w:tcPr>
          <w:p w14:paraId="4BC1D8D9" w14:textId="77777777" w:rsidR="0048679D" w:rsidRPr="00A538DD" w:rsidRDefault="0048679D">
            <w:pPr>
              <w:spacing w:before="0"/>
              <w:jc w:val="left"/>
              <w:rPr>
                <w:b/>
                <w:sz w:val="18"/>
              </w:rPr>
            </w:pPr>
            <w:r w:rsidRPr="00A538DD">
              <w:rPr>
                <w:b/>
                <w:sz w:val="18"/>
              </w:rPr>
              <w:t>SUMMA SKULDER OCH EGET KAP</w:t>
            </w:r>
            <w:r w:rsidRPr="00A538DD">
              <w:rPr>
                <w:b/>
                <w:sz w:val="18"/>
              </w:rPr>
              <w:t>I</w:t>
            </w:r>
            <w:r w:rsidRPr="00A538DD">
              <w:rPr>
                <w:b/>
                <w:sz w:val="18"/>
              </w:rPr>
              <w:t>TAL</w:t>
            </w:r>
          </w:p>
        </w:tc>
        <w:tc>
          <w:tcPr>
            <w:tcW w:w="964" w:type="dxa"/>
            <w:gridSpan w:val="2"/>
            <w:vAlign w:val="bottom"/>
          </w:tcPr>
          <w:p w14:paraId="66A8E37B" w14:textId="77777777" w:rsidR="0048679D" w:rsidRPr="00A538DD" w:rsidRDefault="0048679D">
            <w:pPr>
              <w:spacing w:before="0"/>
              <w:jc w:val="right"/>
              <w:rPr>
                <w:b/>
                <w:sz w:val="18"/>
              </w:rPr>
            </w:pPr>
          </w:p>
          <w:p w14:paraId="782BE00A" w14:textId="77777777" w:rsidR="0048679D" w:rsidRPr="00A538DD" w:rsidRDefault="0048679D">
            <w:pPr>
              <w:spacing w:before="0"/>
              <w:jc w:val="right"/>
              <w:rPr>
                <w:b/>
                <w:sz w:val="18"/>
              </w:rPr>
            </w:pPr>
            <w:r w:rsidRPr="00A538DD">
              <w:rPr>
                <w:b/>
                <w:sz w:val="18"/>
              </w:rPr>
              <w:t>182 856</w:t>
            </w:r>
          </w:p>
        </w:tc>
        <w:tc>
          <w:tcPr>
            <w:tcW w:w="964" w:type="dxa"/>
            <w:vAlign w:val="bottom"/>
          </w:tcPr>
          <w:p w14:paraId="463ED139" w14:textId="77777777" w:rsidR="0048679D" w:rsidRPr="00A538DD" w:rsidRDefault="0048679D">
            <w:pPr>
              <w:spacing w:before="0"/>
              <w:jc w:val="right"/>
              <w:rPr>
                <w:b/>
                <w:sz w:val="18"/>
              </w:rPr>
            </w:pPr>
            <w:r w:rsidRPr="00A538DD">
              <w:rPr>
                <w:b/>
                <w:sz w:val="18"/>
              </w:rPr>
              <w:br/>
              <w:t>186 231</w:t>
            </w:r>
          </w:p>
        </w:tc>
        <w:tc>
          <w:tcPr>
            <w:tcW w:w="964" w:type="dxa"/>
            <w:vAlign w:val="bottom"/>
          </w:tcPr>
          <w:p w14:paraId="72ED5FA1" w14:textId="77777777" w:rsidR="0048679D" w:rsidRPr="00A538DD" w:rsidRDefault="0048679D">
            <w:pPr>
              <w:spacing w:before="0"/>
              <w:jc w:val="right"/>
              <w:rPr>
                <w:b/>
                <w:sz w:val="18"/>
              </w:rPr>
            </w:pPr>
            <w:r w:rsidRPr="00A538DD">
              <w:rPr>
                <w:b/>
                <w:sz w:val="18"/>
              </w:rPr>
              <w:br/>
              <w:t>200 440</w:t>
            </w:r>
          </w:p>
        </w:tc>
        <w:tc>
          <w:tcPr>
            <w:tcW w:w="964" w:type="dxa"/>
            <w:vAlign w:val="bottom"/>
          </w:tcPr>
          <w:p w14:paraId="177AA139" w14:textId="77777777" w:rsidR="0048679D" w:rsidRPr="00A538DD" w:rsidRDefault="0048679D">
            <w:pPr>
              <w:spacing w:before="0"/>
              <w:jc w:val="right"/>
              <w:rPr>
                <w:b/>
                <w:sz w:val="18"/>
              </w:rPr>
            </w:pPr>
          </w:p>
          <w:p w14:paraId="5687B364" w14:textId="77777777" w:rsidR="0048679D" w:rsidRPr="00A538DD" w:rsidRDefault="0048679D">
            <w:pPr>
              <w:spacing w:before="0"/>
              <w:jc w:val="right"/>
              <w:rPr>
                <w:b/>
                <w:sz w:val="18"/>
              </w:rPr>
            </w:pPr>
            <w:r w:rsidRPr="00A538DD">
              <w:rPr>
                <w:b/>
                <w:sz w:val="18"/>
              </w:rPr>
              <w:t>235 532</w:t>
            </w:r>
          </w:p>
        </w:tc>
        <w:tc>
          <w:tcPr>
            <w:tcW w:w="964" w:type="dxa"/>
            <w:vAlign w:val="bottom"/>
          </w:tcPr>
          <w:p w14:paraId="2EF9D933" w14:textId="77777777" w:rsidR="0048679D" w:rsidRPr="00A538DD" w:rsidRDefault="0048679D">
            <w:pPr>
              <w:spacing w:before="0"/>
              <w:jc w:val="right"/>
              <w:rPr>
                <w:b/>
                <w:sz w:val="18"/>
              </w:rPr>
            </w:pPr>
          </w:p>
          <w:p w14:paraId="420E3326" w14:textId="77777777" w:rsidR="0048679D" w:rsidRPr="00A538DD" w:rsidRDefault="0048679D">
            <w:pPr>
              <w:spacing w:before="0"/>
              <w:jc w:val="right"/>
              <w:rPr>
                <w:b/>
                <w:sz w:val="18"/>
              </w:rPr>
            </w:pPr>
            <w:r w:rsidRPr="00A538DD">
              <w:rPr>
                <w:b/>
                <w:sz w:val="18"/>
              </w:rPr>
              <w:t>232 762</w:t>
            </w:r>
          </w:p>
        </w:tc>
      </w:tr>
    </w:tbl>
    <w:p w14:paraId="157C8AB2" w14:textId="77777777" w:rsidR="0048679D" w:rsidRPr="00A538DD" w:rsidRDefault="0048679D">
      <w:pPr>
        <w:rPr>
          <w:rFonts w:ascii="Syntax" w:hAnsi="Syntax"/>
          <w:sz w:val="20"/>
        </w:rPr>
      </w:pPr>
    </w:p>
    <w:p w14:paraId="65E1953F" w14:textId="77777777" w:rsidR="0048679D" w:rsidRPr="00A538DD" w:rsidRDefault="0048679D">
      <w:pPr>
        <w:pStyle w:val="Normaltindrag"/>
      </w:pPr>
    </w:p>
    <w:p w14:paraId="1A276FC6" w14:textId="77777777" w:rsidR="0048679D" w:rsidRPr="00A538DD" w:rsidRDefault="0048679D">
      <w:pPr>
        <w:pStyle w:val="Normaltindrag"/>
      </w:pPr>
    </w:p>
    <w:p w14:paraId="75F7C941" w14:textId="77777777" w:rsidR="0048679D" w:rsidRPr="00A538DD" w:rsidRDefault="0048679D">
      <w:pPr>
        <w:pStyle w:val="Normaltindrag"/>
      </w:pPr>
    </w:p>
    <w:tbl>
      <w:tblPr>
        <w:tblW w:w="0" w:type="auto"/>
        <w:tblInd w:w="284" w:type="dxa"/>
        <w:tblLayout w:type="fixed"/>
        <w:tblCellMar>
          <w:left w:w="30" w:type="dxa"/>
          <w:right w:w="30" w:type="dxa"/>
        </w:tblCellMar>
        <w:tblLook w:val="0000" w:firstRow="0" w:lastRow="0" w:firstColumn="0" w:lastColumn="0" w:noHBand="0" w:noVBand="0"/>
      </w:tblPr>
      <w:tblGrid>
        <w:gridCol w:w="1814"/>
        <w:gridCol w:w="794"/>
        <w:gridCol w:w="794"/>
        <w:gridCol w:w="794"/>
        <w:gridCol w:w="794"/>
        <w:gridCol w:w="794"/>
      </w:tblGrid>
      <w:tr w:rsidR="00000000" w:rsidRPr="00A538DD" w14:paraId="0B1C6C94" w14:textId="77777777">
        <w:tblPrEx>
          <w:tblCellMar>
            <w:top w:w="0" w:type="dxa"/>
            <w:bottom w:w="0" w:type="dxa"/>
          </w:tblCellMar>
        </w:tblPrEx>
        <w:trPr>
          <w:cantSplit/>
          <w:trHeight w:val="308"/>
        </w:trPr>
        <w:tc>
          <w:tcPr>
            <w:tcW w:w="1814" w:type="dxa"/>
          </w:tcPr>
          <w:p w14:paraId="3DF0CA02" w14:textId="77777777" w:rsidR="0048679D" w:rsidRPr="00A538DD" w:rsidRDefault="0048679D">
            <w:pPr>
              <w:jc w:val="left"/>
              <w:rPr>
                <w:b/>
                <w:sz w:val="18"/>
              </w:rPr>
            </w:pPr>
            <w:r w:rsidRPr="00A538DD">
              <w:br w:type="page"/>
            </w:r>
            <w:r w:rsidRPr="00A538DD">
              <w:rPr>
                <w:rFonts w:ascii="Syntax" w:hAnsi="Syntax"/>
                <w:sz w:val="20"/>
              </w:rPr>
              <w:br w:type="page"/>
            </w:r>
            <w:r w:rsidRPr="00A538DD">
              <w:rPr>
                <w:b/>
                <w:sz w:val="18"/>
              </w:rPr>
              <w:t>Resultaträkning</w:t>
            </w:r>
          </w:p>
        </w:tc>
        <w:tc>
          <w:tcPr>
            <w:tcW w:w="794" w:type="dxa"/>
          </w:tcPr>
          <w:p w14:paraId="59829142" w14:textId="77777777" w:rsidR="0048679D" w:rsidRPr="00A538DD" w:rsidRDefault="0048679D">
            <w:pPr>
              <w:rPr>
                <w:sz w:val="18"/>
              </w:rPr>
            </w:pPr>
          </w:p>
        </w:tc>
        <w:tc>
          <w:tcPr>
            <w:tcW w:w="794" w:type="dxa"/>
          </w:tcPr>
          <w:p w14:paraId="010B655A" w14:textId="77777777" w:rsidR="0048679D" w:rsidRPr="00A538DD" w:rsidRDefault="0048679D">
            <w:pPr>
              <w:rPr>
                <w:sz w:val="18"/>
              </w:rPr>
            </w:pPr>
          </w:p>
        </w:tc>
        <w:tc>
          <w:tcPr>
            <w:tcW w:w="794" w:type="dxa"/>
          </w:tcPr>
          <w:p w14:paraId="2D3BCF0A" w14:textId="77777777" w:rsidR="0048679D" w:rsidRPr="00A538DD" w:rsidRDefault="0048679D">
            <w:pPr>
              <w:rPr>
                <w:sz w:val="18"/>
              </w:rPr>
            </w:pPr>
          </w:p>
        </w:tc>
        <w:tc>
          <w:tcPr>
            <w:tcW w:w="794" w:type="dxa"/>
          </w:tcPr>
          <w:p w14:paraId="6A8285F4" w14:textId="77777777" w:rsidR="0048679D" w:rsidRPr="00A538DD" w:rsidRDefault="0048679D">
            <w:pPr>
              <w:rPr>
                <w:sz w:val="18"/>
              </w:rPr>
            </w:pPr>
          </w:p>
        </w:tc>
        <w:tc>
          <w:tcPr>
            <w:tcW w:w="794" w:type="dxa"/>
          </w:tcPr>
          <w:p w14:paraId="2C59C662" w14:textId="77777777" w:rsidR="0048679D" w:rsidRPr="00A538DD" w:rsidRDefault="0048679D">
            <w:pPr>
              <w:rPr>
                <w:sz w:val="18"/>
              </w:rPr>
            </w:pPr>
          </w:p>
        </w:tc>
      </w:tr>
      <w:tr w:rsidR="00000000" w:rsidRPr="00A538DD" w14:paraId="5D0D371A" w14:textId="77777777">
        <w:tblPrEx>
          <w:tblCellMar>
            <w:top w:w="0" w:type="dxa"/>
            <w:bottom w:w="0" w:type="dxa"/>
          </w:tblCellMar>
        </w:tblPrEx>
        <w:trPr>
          <w:cantSplit/>
          <w:trHeight w:val="216"/>
        </w:trPr>
        <w:tc>
          <w:tcPr>
            <w:tcW w:w="1814" w:type="dxa"/>
          </w:tcPr>
          <w:p w14:paraId="5C7E2E79" w14:textId="77777777" w:rsidR="0048679D" w:rsidRPr="00A538DD" w:rsidRDefault="0048679D">
            <w:pPr>
              <w:jc w:val="left"/>
              <w:rPr>
                <w:sz w:val="18"/>
              </w:rPr>
            </w:pPr>
            <w:r w:rsidRPr="00A538DD">
              <w:rPr>
                <w:sz w:val="18"/>
              </w:rPr>
              <w:t>Belopp i mnkr</w:t>
            </w:r>
          </w:p>
        </w:tc>
        <w:tc>
          <w:tcPr>
            <w:tcW w:w="794" w:type="dxa"/>
            <w:tcBorders>
              <w:bottom w:val="single" w:sz="4" w:space="0" w:color="auto"/>
            </w:tcBorders>
          </w:tcPr>
          <w:p w14:paraId="6FC9C773" w14:textId="77777777" w:rsidR="0048679D" w:rsidRPr="00A538DD" w:rsidRDefault="0048679D">
            <w:pPr>
              <w:jc w:val="right"/>
              <w:rPr>
                <w:b/>
                <w:sz w:val="18"/>
              </w:rPr>
            </w:pPr>
            <w:r w:rsidRPr="00A538DD">
              <w:rPr>
                <w:b/>
                <w:sz w:val="18"/>
              </w:rPr>
              <w:t>2004</w:t>
            </w:r>
          </w:p>
        </w:tc>
        <w:tc>
          <w:tcPr>
            <w:tcW w:w="794" w:type="dxa"/>
            <w:tcBorders>
              <w:bottom w:val="single" w:sz="4" w:space="0" w:color="auto"/>
            </w:tcBorders>
          </w:tcPr>
          <w:p w14:paraId="2AF56B68" w14:textId="77777777" w:rsidR="0048679D" w:rsidRPr="00A538DD" w:rsidRDefault="0048679D">
            <w:pPr>
              <w:jc w:val="right"/>
              <w:rPr>
                <w:b/>
                <w:sz w:val="18"/>
              </w:rPr>
            </w:pPr>
            <w:r w:rsidRPr="00A538DD">
              <w:rPr>
                <w:b/>
                <w:sz w:val="18"/>
              </w:rPr>
              <w:t>2003</w:t>
            </w:r>
          </w:p>
        </w:tc>
        <w:tc>
          <w:tcPr>
            <w:tcW w:w="794" w:type="dxa"/>
            <w:tcBorders>
              <w:bottom w:val="single" w:sz="4" w:space="0" w:color="auto"/>
            </w:tcBorders>
          </w:tcPr>
          <w:p w14:paraId="24264C86" w14:textId="77777777" w:rsidR="0048679D" w:rsidRPr="00A538DD" w:rsidRDefault="0048679D">
            <w:pPr>
              <w:jc w:val="right"/>
              <w:rPr>
                <w:b/>
                <w:sz w:val="18"/>
              </w:rPr>
            </w:pPr>
            <w:r w:rsidRPr="00A538DD">
              <w:rPr>
                <w:b/>
                <w:sz w:val="18"/>
              </w:rPr>
              <w:t>2002</w:t>
            </w:r>
          </w:p>
        </w:tc>
        <w:tc>
          <w:tcPr>
            <w:tcW w:w="794" w:type="dxa"/>
            <w:tcBorders>
              <w:bottom w:val="single" w:sz="4" w:space="0" w:color="auto"/>
            </w:tcBorders>
          </w:tcPr>
          <w:p w14:paraId="6C527F0D" w14:textId="77777777" w:rsidR="0048679D" w:rsidRPr="00A538DD" w:rsidRDefault="0048679D">
            <w:pPr>
              <w:jc w:val="right"/>
              <w:rPr>
                <w:b/>
                <w:sz w:val="18"/>
              </w:rPr>
            </w:pPr>
            <w:r w:rsidRPr="00A538DD">
              <w:rPr>
                <w:b/>
                <w:sz w:val="18"/>
              </w:rPr>
              <w:t>2001</w:t>
            </w:r>
          </w:p>
        </w:tc>
        <w:tc>
          <w:tcPr>
            <w:tcW w:w="794" w:type="dxa"/>
            <w:tcBorders>
              <w:bottom w:val="single" w:sz="4" w:space="0" w:color="auto"/>
            </w:tcBorders>
          </w:tcPr>
          <w:p w14:paraId="33E115C7" w14:textId="77777777" w:rsidR="0048679D" w:rsidRPr="00A538DD" w:rsidRDefault="0048679D">
            <w:pPr>
              <w:jc w:val="right"/>
              <w:rPr>
                <w:b/>
                <w:sz w:val="18"/>
              </w:rPr>
            </w:pPr>
            <w:r w:rsidRPr="00A538DD">
              <w:rPr>
                <w:b/>
                <w:sz w:val="18"/>
              </w:rPr>
              <w:t>2000</w:t>
            </w:r>
          </w:p>
        </w:tc>
      </w:tr>
      <w:tr w:rsidR="00000000" w:rsidRPr="00A538DD" w14:paraId="541AD1B1" w14:textId="77777777">
        <w:tblPrEx>
          <w:tblCellMar>
            <w:top w:w="0" w:type="dxa"/>
            <w:bottom w:w="0" w:type="dxa"/>
          </w:tblCellMar>
        </w:tblPrEx>
        <w:trPr>
          <w:cantSplit/>
          <w:trHeight w:val="216"/>
        </w:trPr>
        <w:tc>
          <w:tcPr>
            <w:tcW w:w="1814" w:type="dxa"/>
          </w:tcPr>
          <w:p w14:paraId="5F07C90B" w14:textId="77777777" w:rsidR="0048679D" w:rsidRPr="00A538DD" w:rsidRDefault="0048679D">
            <w:pPr>
              <w:jc w:val="left"/>
              <w:rPr>
                <w:sz w:val="18"/>
              </w:rPr>
            </w:pPr>
          </w:p>
        </w:tc>
        <w:tc>
          <w:tcPr>
            <w:tcW w:w="794" w:type="dxa"/>
          </w:tcPr>
          <w:p w14:paraId="48B89AB7" w14:textId="77777777" w:rsidR="0048679D" w:rsidRPr="00A538DD" w:rsidRDefault="0048679D">
            <w:pPr>
              <w:jc w:val="right"/>
              <w:rPr>
                <w:sz w:val="18"/>
              </w:rPr>
            </w:pPr>
          </w:p>
        </w:tc>
        <w:tc>
          <w:tcPr>
            <w:tcW w:w="794" w:type="dxa"/>
          </w:tcPr>
          <w:p w14:paraId="6D1431A6" w14:textId="77777777" w:rsidR="0048679D" w:rsidRPr="00A538DD" w:rsidRDefault="0048679D">
            <w:pPr>
              <w:jc w:val="right"/>
              <w:rPr>
                <w:sz w:val="18"/>
              </w:rPr>
            </w:pPr>
          </w:p>
        </w:tc>
        <w:tc>
          <w:tcPr>
            <w:tcW w:w="794" w:type="dxa"/>
          </w:tcPr>
          <w:p w14:paraId="3AC19EF9" w14:textId="77777777" w:rsidR="0048679D" w:rsidRPr="00A538DD" w:rsidRDefault="0048679D">
            <w:pPr>
              <w:jc w:val="right"/>
              <w:rPr>
                <w:sz w:val="18"/>
              </w:rPr>
            </w:pPr>
          </w:p>
        </w:tc>
        <w:tc>
          <w:tcPr>
            <w:tcW w:w="794" w:type="dxa"/>
          </w:tcPr>
          <w:p w14:paraId="30FC7F10" w14:textId="77777777" w:rsidR="0048679D" w:rsidRPr="00A538DD" w:rsidRDefault="0048679D">
            <w:pPr>
              <w:jc w:val="right"/>
              <w:rPr>
                <w:sz w:val="18"/>
              </w:rPr>
            </w:pPr>
          </w:p>
        </w:tc>
        <w:tc>
          <w:tcPr>
            <w:tcW w:w="794" w:type="dxa"/>
          </w:tcPr>
          <w:p w14:paraId="61A36306" w14:textId="77777777" w:rsidR="0048679D" w:rsidRPr="00A538DD" w:rsidRDefault="0048679D">
            <w:pPr>
              <w:jc w:val="right"/>
              <w:rPr>
                <w:sz w:val="18"/>
              </w:rPr>
            </w:pPr>
          </w:p>
        </w:tc>
      </w:tr>
      <w:tr w:rsidR="00000000" w:rsidRPr="00A538DD" w14:paraId="2FE83471" w14:textId="77777777">
        <w:tblPrEx>
          <w:tblCellMar>
            <w:top w:w="0" w:type="dxa"/>
            <w:bottom w:w="0" w:type="dxa"/>
          </w:tblCellMar>
        </w:tblPrEx>
        <w:trPr>
          <w:cantSplit/>
          <w:trHeight w:val="216"/>
        </w:trPr>
        <w:tc>
          <w:tcPr>
            <w:tcW w:w="1814" w:type="dxa"/>
          </w:tcPr>
          <w:p w14:paraId="23EB5E73" w14:textId="77777777" w:rsidR="0048679D" w:rsidRPr="00A538DD" w:rsidRDefault="0048679D">
            <w:pPr>
              <w:jc w:val="left"/>
              <w:rPr>
                <w:sz w:val="18"/>
              </w:rPr>
            </w:pPr>
            <w:r w:rsidRPr="00A538DD">
              <w:rPr>
                <w:sz w:val="18"/>
              </w:rPr>
              <w:t>Ränteintäkter</w:t>
            </w:r>
          </w:p>
        </w:tc>
        <w:tc>
          <w:tcPr>
            <w:tcW w:w="794" w:type="dxa"/>
          </w:tcPr>
          <w:p w14:paraId="179331E1" w14:textId="77777777" w:rsidR="0048679D" w:rsidRPr="00A538DD" w:rsidRDefault="0048679D">
            <w:pPr>
              <w:jc w:val="right"/>
              <w:rPr>
                <w:sz w:val="18"/>
              </w:rPr>
            </w:pPr>
            <w:r w:rsidRPr="00A538DD">
              <w:rPr>
                <w:sz w:val="18"/>
              </w:rPr>
              <w:t>4 778</w:t>
            </w:r>
          </w:p>
        </w:tc>
        <w:tc>
          <w:tcPr>
            <w:tcW w:w="794" w:type="dxa"/>
          </w:tcPr>
          <w:p w14:paraId="04ED3EE3" w14:textId="77777777" w:rsidR="0048679D" w:rsidRPr="00A538DD" w:rsidRDefault="0048679D">
            <w:pPr>
              <w:jc w:val="right"/>
              <w:rPr>
                <w:sz w:val="18"/>
              </w:rPr>
            </w:pPr>
            <w:r w:rsidRPr="00A538DD">
              <w:rPr>
                <w:sz w:val="18"/>
              </w:rPr>
              <w:t>5 316</w:t>
            </w:r>
          </w:p>
        </w:tc>
        <w:tc>
          <w:tcPr>
            <w:tcW w:w="794" w:type="dxa"/>
          </w:tcPr>
          <w:p w14:paraId="1C923C25" w14:textId="77777777" w:rsidR="0048679D" w:rsidRPr="00A538DD" w:rsidRDefault="0048679D">
            <w:pPr>
              <w:jc w:val="right"/>
              <w:rPr>
                <w:sz w:val="18"/>
              </w:rPr>
            </w:pPr>
            <w:r w:rsidRPr="00A538DD">
              <w:rPr>
                <w:sz w:val="18"/>
              </w:rPr>
              <w:t>7 220</w:t>
            </w:r>
          </w:p>
        </w:tc>
        <w:tc>
          <w:tcPr>
            <w:tcW w:w="794" w:type="dxa"/>
          </w:tcPr>
          <w:p w14:paraId="311A1B54" w14:textId="77777777" w:rsidR="0048679D" w:rsidRPr="00A538DD" w:rsidRDefault="0048679D">
            <w:pPr>
              <w:jc w:val="right"/>
              <w:rPr>
                <w:sz w:val="18"/>
              </w:rPr>
            </w:pPr>
            <w:r w:rsidRPr="00A538DD">
              <w:rPr>
                <w:sz w:val="18"/>
              </w:rPr>
              <w:t>9 197</w:t>
            </w:r>
          </w:p>
        </w:tc>
        <w:tc>
          <w:tcPr>
            <w:tcW w:w="794" w:type="dxa"/>
          </w:tcPr>
          <w:p w14:paraId="51972EB8" w14:textId="77777777" w:rsidR="0048679D" w:rsidRPr="00A538DD" w:rsidRDefault="0048679D">
            <w:pPr>
              <w:jc w:val="right"/>
              <w:rPr>
                <w:sz w:val="18"/>
              </w:rPr>
            </w:pPr>
            <w:r w:rsidRPr="00A538DD">
              <w:rPr>
                <w:sz w:val="18"/>
              </w:rPr>
              <w:t>9 572</w:t>
            </w:r>
          </w:p>
        </w:tc>
      </w:tr>
      <w:tr w:rsidR="00000000" w:rsidRPr="00A538DD" w14:paraId="3080A00F" w14:textId="77777777">
        <w:tblPrEx>
          <w:tblCellMar>
            <w:top w:w="0" w:type="dxa"/>
            <w:bottom w:w="0" w:type="dxa"/>
          </w:tblCellMar>
        </w:tblPrEx>
        <w:trPr>
          <w:cantSplit/>
          <w:trHeight w:val="216"/>
        </w:trPr>
        <w:tc>
          <w:tcPr>
            <w:tcW w:w="1814" w:type="dxa"/>
          </w:tcPr>
          <w:p w14:paraId="7A30A698" w14:textId="77777777" w:rsidR="0048679D" w:rsidRPr="00A538DD" w:rsidRDefault="0048679D">
            <w:pPr>
              <w:jc w:val="left"/>
              <w:rPr>
                <w:sz w:val="18"/>
              </w:rPr>
            </w:pPr>
            <w:r w:rsidRPr="00A538DD">
              <w:rPr>
                <w:sz w:val="18"/>
              </w:rPr>
              <w:t>Räntekostnader</w:t>
            </w:r>
          </w:p>
        </w:tc>
        <w:tc>
          <w:tcPr>
            <w:tcW w:w="794" w:type="dxa"/>
          </w:tcPr>
          <w:p w14:paraId="3774035D" w14:textId="77777777" w:rsidR="0048679D" w:rsidRPr="00A538DD" w:rsidRDefault="0048679D">
            <w:pPr>
              <w:jc w:val="right"/>
              <w:rPr>
                <w:sz w:val="18"/>
              </w:rPr>
            </w:pPr>
            <w:r w:rsidRPr="00A538DD">
              <w:rPr>
                <w:sz w:val="18"/>
              </w:rPr>
              <w:t>–290</w:t>
            </w:r>
          </w:p>
        </w:tc>
        <w:tc>
          <w:tcPr>
            <w:tcW w:w="794" w:type="dxa"/>
          </w:tcPr>
          <w:p w14:paraId="78B1E138" w14:textId="77777777" w:rsidR="0048679D" w:rsidRPr="00A538DD" w:rsidRDefault="0048679D">
            <w:pPr>
              <w:jc w:val="right"/>
              <w:rPr>
                <w:sz w:val="18"/>
              </w:rPr>
            </w:pPr>
            <w:r w:rsidRPr="00A538DD">
              <w:rPr>
                <w:sz w:val="18"/>
              </w:rPr>
              <w:t>–121</w:t>
            </w:r>
          </w:p>
        </w:tc>
        <w:tc>
          <w:tcPr>
            <w:tcW w:w="794" w:type="dxa"/>
          </w:tcPr>
          <w:p w14:paraId="5B1A2AC3" w14:textId="77777777" w:rsidR="0048679D" w:rsidRPr="00A538DD" w:rsidRDefault="0048679D">
            <w:pPr>
              <w:jc w:val="right"/>
              <w:rPr>
                <w:sz w:val="18"/>
              </w:rPr>
            </w:pPr>
            <w:r w:rsidRPr="00A538DD">
              <w:rPr>
                <w:sz w:val="18"/>
              </w:rPr>
              <w:t>–206</w:t>
            </w:r>
          </w:p>
        </w:tc>
        <w:tc>
          <w:tcPr>
            <w:tcW w:w="794" w:type="dxa"/>
          </w:tcPr>
          <w:p w14:paraId="15E759C7" w14:textId="77777777" w:rsidR="0048679D" w:rsidRPr="00A538DD" w:rsidRDefault="0048679D">
            <w:pPr>
              <w:jc w:val="right"/>
              <w:rPr>
                <w:sz w:val="18"/>
              </w:rPr>
            </w:pPr>
            <w:r w:rsidRPr="00A538DD">
              <w:rPr>
                <w:sz w:val="18"/>
              </w:rPr>
              <w:t>–445</w:t>
            </w:r>
          </w:p>
        </w:tc>
        <w:tc>
          <w:tcPr>
            <w:tcW w:w="794" w:type="dxa"/>
          </w:tcPr>
          <w:p w14:paraId="676BE016" w14:textId="77777777" w:rsidR="0048679D" w:rsidRPr="00A538DD" w:rsidRDefault="0048679D">
            <w:pPr>
              <w:jc w:val="right"/>
              <w:rPr>
                <w:sz w:val="18"/>
              </w:rPr>
            </w:pPr>
            <w:r w:rsidRPr="00A538DD">
              <w:rPr>
                <w:sz w:val="18"/>
              </w:rPr>
              <w:t>-548</w:t>
            </w:r>
          </w:p>
        </w:tc>
      </w:tr>
      <w:tr w:rsidR="00000000" w:rsidRPr="00A538DD" w14:paraId="465F8B71" w14:textId="77777777">
        <w:tblPrEx>
          <w:tblCellMar>
            <w:top w:w="0" w:type="dxa"/>
            <w:bottom w:w="0" w:type="dxa"/>
          </w:tblCellMar>
        </w:tblPrEx>
        <w:trPr>
          <w:cantSplit/>
          <w:trHeight w:val="216"/>
        </w:trPr>
        <w:tc>
          <w:tcPr>
            <w:tcW w:w="1814" w:type="dxa"/>
          </w:tcPr>
          <w:p w14:paraId="518920C9" w14:textId="77777777" w:rsidR="0048679D" w:rsidRPr="00A538DD" w:rsidRDefault="0048679D">
            <w:pPr>
              <w:jc w:val="left"/>
              <w:rPr>
                <w:sz w:val="18"/>
              </w:rPr>
            </w:pPr>
            <w:r w:rsidRPr="00A538DD">
              <w:rPr>
                <w:sz w:val="18"/>
              </w:rPr>
              <w:t>Nettoresultat av fina</w:t>
            </w:r>
            <w:r w:rsidRPr="00A538DD">
              <w:rPr>
                <w:sz w:val="18"/>
              </w:rPr>
              <w:t>n</w:t>
            </w:r>
            <w:r w:rsidRPr="00A538DD">
              <w:rPr>
                <w:sz w:val="18"/>
              </w:rPr>
              <w:t>siella transakti</w:t>
            </w:r>
            <w:r w:rsidRPr="00A538DD">
              <w:rPr>
                <w:sz w:val="18"/>
              </w:rPr>
              <w:t>o</w:t>
            </w:r>
            <w:r w:rsidRPr="00A538DD">
              <w:rPr>
                <w:sz w:val="18"/>
              </w:rPr>
              <w:t>ner</w:t>
            </w:r>
          </w:p>
        </w:tc>
        <w:tc>
          <w:tcPr>
            <w:tcW w:w="794" w:type="dxa"/>
            <w:vAlign w:val="bottom"/>
          </w:tcPr>
          <w:p w14:paraId="14BBA7D9" w14:textId="77777777" w:rsidR="0048679D" w:rsidRPr="00A538DD" w:rsidRDefault="0048679D">
            <w:pPr>
              <w:jc w:val="right"/>
              <w:rPr>
                <w:sz w:val="18"/>
              </w:rPr>
            </w:pPr>
            <w:r w:rsidRPr="00A538DD">
              <w:rPr>
                <w:sz w:val="18"/>
              </w:rPr>
              <w:br/>
              <w:t>-6 317</w:t>
            </w:r>
          </w:p>
        </w:tc>
        <w:tc>
          <w:tcPr>
            <w:tcW w:w="794" w:type="dxa"/>
            <w:vAlign w:val="bottom"/>
          </w:tcPr>
          <w:p w14:paraId="7E22E7BA" w14:textId="77777777" w:rsidR="0048679D" w:rsidRPr="00A538DD" w:rsidRDefault="0048679D">
            <w:pPr>
              <w:jc w:val="right"/>
              <w:rPr>
                <w:sz w:val="18"/>
              </w:rPr>
            </w:pPr>
            <w:r w:rsidRPr="00A538DD">
              <w:rPr>
                <w:sz w:val="18"/>
              </w:rPr>
              <w:br/>
              <w:t>–13 287</w:t>
            </w:r>
          </w:p>
        </w:tc>
        <w:tc>
          <w:tcPr>
            <w:tcW w:w="794" w:type="dxa"/>
            <w:vAlign w:val="bottom"/>
          </w:tcPr>
          <w:p w14:paraId="1C20B7BE" w14:textId="77777777" w:rsidR="0048679D" w:rsidRPr="00A538DD" w:rsidRDefault="0048679D">
            <w:pPr>
              <w:jc w:val="right"/>
              <w:rPr>
                <w:sz w:val="18"/>
              </w:rPr>
            </w:pPr>
          </w:p>
          <w:p w14:paraId="2E35C087" w14:textId="77777777" w:rsidR="0048679D" w:rsidRPr="00A538DD" w:rsidRDefault="0048679D">
            <w:pPr>
              <w:jc w:val="right"/>
              <w:rPr>
                <w:sz w:val="18"/>
              </w:rPr>
            </w:pPr>
            <w:r w:rsidRPr="00A538DD">
              <w:rPr>
                <w:sz w:val="18"/>
              </w:rPr>
              <w:t>–5 717</w:t>
            </w:r>
          </w:p>
        </w:tc>
        <w:tc>
          <w:tcPr>
            <w:tcW w:w="794" w:type="dxa"/>
            <w:vAlign w:val="bottom"/>
          </w:tcPr>
          <w:p w14:paraId="5F27BFFA" w14:textId="77777777" w:rsidR="0048679D" w:rsidRPr="00A538DD" w:rsidRDefault="0048679D">
            <w:pPr>
              <w:jc w:val="right"/>
              <w:rPr>
                <w:sz w:val="18"/>
              </w:rPr>
            </w:pPr>
          </w:p>
          <w:p w14:paraId="12FCB7DC" w14:textId="77777777" w:rsidR="0048679D" w:rsidRPr="00A538DD" w:rsidRDefault="0048679D">
            <w:pPr>
              <w:jc w:val="right"/>
              <w:rPr>
                <w:sz w:val="18"/>
              </w:rPr>
            </w:pPr>
            <w:r w:rsidRPr="00A538DD">
              <w:rPr>
                <w:sz w:val="18"/>
              </w:rPr>
              <w:t>11 410</w:t>
            </w:r>
          </w:p>
        </w:tc>
        <w:tc>
          <w:tcPr>
            <w:tcW w:w="794" w:type="dxa"/>
            <w:vAlign w:val="bottom"/>
          </w:tcPr>
          <w:p w14:paraId="042624D4" w14:textId="77777777" w:rsidR="0048679D" w:rsidRPr="00A538DD" w:rsidRDefault="0048679D">
            <w:pPr>
              <w:jc w:val="right"/>
              <w:rPr>
                <w:sz w:val="18"/>
              </w:rPr>
            </w:pPr>
            <w:r w:rsidRPr="00A538DD">
              <w:rPr>
                <w:sz w:val="18"/>
              </w:rPr>
              <w:br/>
              <w:t>12 009</w:t>
            </w:r>
          </w:p>
        </w:tc>
      </w:tr>
      <w:tr w:rsidR="00000000" w:rsidRPr="00A538DD" w14:paraId="6E4620D1" w14:textId="77777777">
        <w:tblPrEx>
          <w:tblCellMar>
            <w:top w:w="0" w:type="dxa"/>
            <w:bottom w:w="0" w:type="dxa"/>
          </w:tblCellMar>
        </w:tblPrEx>
        <w:trPr>
          <w:cantSplit/>
          <w:trHeight w:val="216"/>
        </w:trPr>
        <w:tc>
          <w:tcPr>
            <w:tcW w:w="1814" w:type="dxa"/>
          </w:tcPr>
          <w:p w14:paraId="5A755141" w14:textId="77777777" w:rsidR="0048679D" w:rsidRPr="00A538DD" w:rsidRDefault="0048679D">
            <w:pPr>
              <w:jc w:val="left"/>
              <w:rPr>
                <w:sz w:val="18"/>
              </w:rPr>
            </w:pPr>
            <w:r w:rsidRPr="00A538DD">
              <w:rPr>
                <w:sz w:val="18"/>
              </w:rPr>
              <w:t>Avgifts- och prov</w:t>
            </w:r>
            <w:r w:rsidRPr="00A538DD">
              <w:rPr>
                <w:sz w:val="18"/>
              </w:rPr>
              <w:t>i</w:t>
            </w:r>
            <w:r w:rsidRPr="00A538DD">
              <w:rPr>
                <w:sz w:val="18"/>
              </w:rPr>
              <w:t>sionsintäkter</w:t>
            </w:r>
          </w:p>
        </w:tc>
        <w:tc>
          <w:tcPr>
            <w:tcW w:w="794" w:type="dxa"/>
            <w:vAlign w:val="bottom"/>
          </w:tcPr>
          <w:p w14:paraId="61BB1755" w14:textId="77777777" w:rsidR="0048679D" w:rsidRPr="00A538DD" w:rsidRDefault="0048679D">
            <w:pPr>
              <w:jc w:val="right"/>
              <w:rPr>
                <w:sz w:val="18"/>
              </w:rPr>
            </w:pPr>
            <w:r w:rsidRPr="00A538DD">
              <w:rPr>
                <w:sz w:val="18"/>
              </w:rPr>
              <w:t>19</w:t>
            </w:r>
          </w:p>
        </w:tc>
        <w:tc>
          <w:tcPr>
            <w:tcW w:w="794" w:type="dxa"/>
            <w:vAlign w:val="bottom"/>
          </w:tcPr>
          <w:p w14:paraId="617B0738" w14:textId="77777777" w:rsidR="0048679D" w:rsidRPr="00A538DD" w:rsidRDefault="0048679D">
            <w:pPr>
              <w:jc w:val="right"/>
              <w:rPr>
                <w:sz w:val="18"/>
              </w:rPr>
            </w:pPr>
            <w:r w:rsidRPr="00A538DD">
              <w:rPr>
                <w:sz w:val="18"/>
              </w:rPr>
              <w:t>18</w:t>
            </w:r>
          </w:p>
        </w:tc>
        <w:tc>
          <w:tcPr>
            <w:tcW w:w="794" w:type="dxa"/>
            <w:vAlign w:val="bottom"/>
          </w:tcPr>
          <w:p w14:paraId="47D0EC66" w14:textId="77777777" w:rsidR="0048679D" w:rsidRPr="00A538DD" w:rsidRDefault="0048679D">
            <w:pPr>
              <w:jc w:val="right"/>
              <w:rPr>
                <w:sz w:val="18"/>
              </w:rPr>
            </w:pPr>
            <w:r w:rsidRPr="00A538DD">
              <w:rPr>
                <w:sz w:val="18"/>
              </w:rPr>
              <w:t>10</w:t>
            </w:r>
          </w:p>
        </w:tc>
        <w:tc>
          <w:tcPr>
            <w:tcW w:w="794" w:type="dxa"/>
            <w:vAlign w:val="bottom"/>
          </w:tcPr>
          <w:p w14:paraId="3509E4F7" w14:textId="77777777" w:rsidR="0048679D" w:rsidRPr="00A538DD" w:rsidRDefault="0048679D">
            <w:pPr>
              <w:jc w:val="right"/>
              <w:rPr>
                <w:sz w:val="18"/>
              </w:rPr>
            </w:pPr>
            <w:r w:rsidRPr="00A538DD">
              <w:rPr>
                <w:sz w:val="18"/>
              </w:rPr>
              <w:t>11</w:t>
            </w:r>
          </w:p>
        </w:tc>
        <w:tc>
          <w:tcPr>
            <w:tcW w:w="794" w:type="dxa"/>
            <w:vAlign w:val="bottom"/>
          </w:tcPr>
          <w:p w14:paraId="57A19E63" w14:textId="77777777" w:rsidR="0048679D" w:rsidRPr="00A538DD" w:rsidRDefault="0048679D">
            <w:pPr>
              <w:jc w:val="right"/>
              <w:rPr>
                <w:sz w:val="18"/>
              </w:rPr>
            </w:pPr>
            <w:r w:rsidRPr="00A538DD">
              <w:rPr>
                <w:sz w:val="18"/>
              </w:rPr>
              <w:t>12</w:t>
            </w:r>
          </w:p>
        </w:tc>
      </w:tr>
      <w:tr w:rsidR="00000000" w:rsidRPr="00A538DD" w14:paraId="4DD117E8" w14:textId="77777777">
        <w:tblPrEx>
          <w:tblCellMar>
            <w:top w:w="0" w:type="dxa"/>
            <w:bottom w:w="0" w:type="dxa"/>
          </w:tblCellMar>
        </w:tblPrEx>
        <w:trPr>
          <w:trHeight w:val="216"/>
        </w:trPr>
        <w:tc>
          <w:tcPr>
            <w:tcW w:w="1814" w:type="dxa"/>
          </w:tcPr>
          <w:p w14:paraId="1365DE80" w14:textId="77777777" w:rsidR="0048679D" w:rsidRPr="00A538DD" w:rsidRDefault="0048679D">
            <w:pPr>
              <w:jc w:val="left"/>
              <w:rPr>
                <w:sz w:val="18"/>
              </w:rPr>
            </w:pPr>
            <w:r w:rsidRPr="00A538DD">
              <w:rPr>
                <w:sz w:val="18"/>
              </w:rPr>
              <w:t>Avgifts- och prov</w:t>
            </w:r>
            <w:r w:rsidRPr="00A538DD">
              <w:rPr>
                <w:sz w:val="18"/>
              </w:rPr>
              <w:t>i</w:t>
            </w:r>
            <w:r w:rsidRPr="00A538DD">
              <w:rPr>
                <w:sz w:val="18"/>
              </w:rPr>
              <w:t>sionskostnader</w:t>
            </w:r>
          </w:p>
        </w:tc>
        <w:tc>
          <w:tcPr>
            <w:tcW w:w="794" w:type="dxa"/>
            <w:vAlign w:val="bottom"/>
          </w:tcPr>
          <w:p w14:paraId="46158F9E" w14:textId="77777777" w:rsidR="0048679D" w:rsidRPr="00A538DD" w:rsidRDefault="0048679D">
            <w:pPr>
              <w:jc w:val="right"/>
              <w:rPr>
                <w:sz w:val="18"/>
              </w:rPr>
            </w:pPr>
            <w:r w:rsidRPr="00A538DD">
              <w:rPr>
                <w:sz w:val="18"/>
              </w:rPr>
              <w:t>–9</w:t>
            </w:r>
          </w:p>
        </w:tc>
        <w:tc>
          <w:tcPr>
            <w:tcW w:w="794" w:type="dxa"/>
            <w:vAlign w:val="bottom"/>
          </w:tcPr>
          <w:p w14:paraId="4433864D" w14:textId="77777777" w:rsidR="0048679D" w:rsidRPr="00A538DD" w:rsidRDefault="0048679D">
            <w:pPr>
              <w:jc w:val="right"/>
              <w:rPr>
                <w:sz w:val="18"/>
              </w:rPr>
            </w:pPr>
            <w:r w:rsidRPr="00A538DD">
              <w:rPr>
                <w:sz w:val="18"/>
              </w:rPr>
              <w:t>–8</w:t>
            </w:r>
          </w:p>
        </w:tc>
        <w:tc>
          <w:tcPr>
            <w:tcW w:w="794" w:type="dxa"/>
            <w:vAlign w:val="bottom"/>
          </w:tcPr>
          <w:p w14:paraId="07B41304" w14:textId="77777777" w:rsidR="0048679D" w:rsidRPr="00A538DD" w:rsidRDefault="0048679D">
            <w:pPr>
              <w:jc w:val="right"/>
              <w:rPr>
                <w:sz w:val="18"/>
              </w:rPr>
            </w:pPr>
            <w:r w:rsidRPr="00A538DD">
              <w:rPr>
                <w:sz w:val="18"/>
              </w:rPr>
              <w:t>–3</w:t>
            </w:r>
          </w:p>
        </w:tc>
        <w:tc>
          <w:tcPr>
            <w:tcW w:w="794" w:type="dxa"/>
            <w:vAlign w:val="bottom"/>
          </w:tcPr>
          <w:p w14:paraId="224A282B" w14:textId="77777777" w:rsidR="0048679D" w:rsidRPr="00A538DD" w:rsidRDefault="0048679D">
            <w:pPr>
              <w:jc w:val="right"/>
              <w:rPr>
                <w:sz w:val="18"/>
              </w:rPr>
            </w:pPr>
            <w:r w:rsidRPr="00A538DD">
              <w:rPr>
                <w:sz w:val="18"/>
              </w:rPr>
              <w:t>–4</w:t>
            </w:r>
          </w:p>
        </w:tc>
        <w:tc>
          <w:tcPr>
            <w:tcW w:w="794" w:type="dxa"/>
            <w:vAlign w:val="bottom"/>
          </w:tcPr>
          <w:p w14:paraId="11F3B771" w14:textId="77777777" w:rsidR="0048679D" w:rsidRPr="00A538DD" w:rsidRDefault="0048679D">
            <w:pPr>
              <w:jc w:val="right"/>
              <w:rPr>
                <w:sz w:val="18"/>
              </w:rPr>
            </w:pPr>
            <w:r w:rsidRPr="00A538DD">
              <w:rPr>
                <w:sz w:val="18"/>
              </w:rPr>
              <w:t>–7</w:t>
            </w:r>
          </w:p>
        </w:tc>
      </w:tr>
      <w:tr w:rsidR="00000000" w:rsidRPr="00A538DD" w14:paraId="291F791F" w14:textId="77777777">
        <w:tblPrEx>
          <w:tblCellMar>
            <w:top w:w="0" w:type="dxa"/>
            <w:bottom w:w="0" w:type="dxa"/>
          </w:tblCellMar>
        </w:tblPrEx>
        <w:trPr>
          <w:cantSplit/>
          <w:trHeight w:val="216"/>
        </w:trPr>
        <w:tc>
          <w:tcPr>
            <w:tcW w:w="1814" w:type="dxa"/>
          </w:tcPr>
          <w:p w14:paraId="698EFF69" w14:textId="77777777" w:rsidR="0048679D" w:rsidRPr="00A538DD" w:rsidRDefault="0048679D">
            <w:pPr>
              <w:jc w:val="left"/>
              <w:rPr>
                <w:sz w:val="18"/>
              </w:rPr>
            </w:pPr>
            <w:r w:rsidRPr="00A538DD">
              <w:rPr>
                <w:sz w:val="18"/>
              </w:rPr>
              <w:t>Erhållna utdelningar</w:t>
            </w:r>
          </w:p>
        </w:tc>
        <w:tc>
          <w:tcPr>
            <w:tcW w:w="794" w:type="dxa"/>
          </w:tcPr>
          <w:p w14:paraId="2DE96112" w14:textId="77777777" w:rsidR="0048679D" w:rsidRPr="00A538DD" w:rsidRDefault="0048679D">
            <w:pPr>
              <w:jc w:val="right"/>
              <w:rPr>
                <w:sz w:val="18"/>
              </w:rPr>
            </w:pPr>
            <w:r w:rsidRPr="00A538DD">
              <w:rPr>
                <w:sz w:val="18"/>
              </w:rPr>
              <w:t>42</w:t>
            </w:r>
          </w:p>
        </w:tc>
        <w:tc>
          <w:tcPr>
            <w:tcW w:w="794" w:type="dxa"/>
          </w:tcPr>
          <w:p w14:paraId="6D3DC807" w14:textId="77777777" w:rsidR="0048679D" w:rsidRPr="00A538DD" w:rsidRDefault="0048679D">
            <w:pPr>
              <w:jc w:val="right"/>
              <w:rPr>
                <w:sz w:val="18"/>
              </w:rPr>
            </w:pPr>
            <w:r w:rsidRPr="00A538DD">
              <w:rPr>
                <w:sz w:val="18"/>
              </w:rPr>
              <w:t>185</w:t>
            </w:r>
          </w:p>
        </w:tc>
        <w:tc>
          <w:tcPr>
            <w:tcW w:w="794" w:type="dxa"/>
          </w:tcPr>
          <w:p w14:paraId="762FA23C" w14:textId="77777777" w:rsidR="0048679D" w:rsidRPr="00A538DD" w:rsidRDefault="0048679D">
            <w:pPr>
              <w:jc w:val="right"/>
              <w:rPr>
                <w:sz w:val="18"/>
              </w:rPr>
            </w:pPr>
            <w:r w:rsidRPr="00A538DD">
              <w:rPr>
                <w:sz w:val="18"/>
              </w:rPr>
              <w:t>39</w:t>
            </w:r>
          </w:p>
        </w:tc>
        <w:tc>
          <w:tcPr>
            <w:tcW w:w="794" w:type="dxa"/>
          </w:tcPr>
          <w:p w14:paraId="1C6FD501" w14:textId="77777777" w:rsidR="0048679D" w:rsidRPr="00A538DD" w:rsidRDefault="0048679D">
            <w:pPr>
              <w:jc w:val="right"/>
              <w:rPr>
                <w:sz w:val="18"/>
              </w:rPr>
            </w:pPr>
            <w:r w:rsidRPr="00A538DD">
              <w:rPr>
                <w:sz w:val="18"/>
              </w:rPr>
              <w:t>35</w:t>
            </w:r>
          </w:p>
        </w:tc>
        <w:tc>
          <w:tcPr>
            <w:tcW w:w="794" w:type="dxa"/>
          </w:tcPr>
          <w:p w14:paraId="094B4EEC" w14:textId="77777777" w:rsidR="0048679D" w:rsidRPr="00A538DD" w:rsidRDefault="0048679D">
            <w:pPr>
              <w:jc w:val="right"/>
              <w:rPr>
                <w:sz w:val="18"/>
              </w:rPr>
            </w:pPr>
            <w:r w:rsidRPr="00A538DD">
              <w:rPr>
                <w:sz w:val="18"/>
              </w:rPr>
              <w:t>38</w:t>
            </w:r>
          </w:p>
        </w:tc>
      </w:tr>
      <w:tr w:rsidR="00000000" w:rsidRPr="00A538DD" w14:paraId="3EFFBF75" w14:textId="77777777">
        <w:tblPrEx>
          <w:tblCellMar>
            <w:top w:w="0" w:type="dxa"/>
            <w:bottom w:w="0" w:type="dxa"/>
          </w:tblCellMar>
        </w:tblPrEx>
        <w:trPr>
          <w:cantSplit/>
          <w:trHeight w:val="216"/>
        </w:trPr>
        <w:tc>
          <w:tcPr>
            <w:tcW w:w="1814" w:type="dxa"/>
          </w:tcPr>
          <w:p w14:paraId="37765562" w14:textId="77777777" w:rsidR="0048679D" w:rsidRPr="00A538DD" w:rsidRDefault="0048679D">
            <w:pPr>
              <w:jc w:val="left"/>
              <w:rPr>
                <w:sz w:val="18"/>
              </w:rPr>
            </w:pPr>
            <w:r w:rsidRPr="00A538DD">
              <w:rPr>
                <w:sz w:val="18"/>
              </w:rPr>
              <w:t>Övriga intäkter</w:t>
            </w:r>
          </w:p>
        </w:tc>
        <w:tc>
          <w:tcPr>
            <w:tcW w:w="794" w:type="dxa"/>
            <w:tcBorders>
              <w:bottom w:val="single" w:sz="6" w:space="0" w:color="auto"/>
            </w:tcBorders>
          </w:tcPr>
          <w:p w14:paraId="51B65024" w14:textId="77777777" w:rsidR="0048679D" w:rsidRPr="00A538DD" w:rsidRDefault="0048679D">
            <w:pPr>
              <w:jc w:val="right"/>
              <w:rPr>
                <w:sz w:val="18"/>
              </w:rPr>
            </w:pPr>
            <w:r w:rsidRPr="00A538DD">
              <w:rPr>
                <w:sz w:val="18"/>
              </w:rPr>
              <w:t>24</w:t>
            </w:r>
          </w:p>
        </w:tc>
        <w:tc>
          <w:tcPr>
            <w:tcW w:w="794" w:type="dxa"/>
            <w:tcBorders>
              <w:bottom w:val="single" w:sz="6" w:space="0" w:color="auto"/>
            </w:tcBorders>
          </w:tcPr>
          <w:p w14:paraId="5A2D501D" w14:textId="77777777" w:rsidR="0048679D" w:rsidRPr="00A538DD" w:rsidRDefault="0048679D">
            <w:pPr>
              <w:jc w:val="right"/>
              <w:rPr>
                <w:sz w:val="18"/>
              </w:rPr>
            </w:pPr>
            <w:r w:rsidRPr="00A538DD">
              <w:rPr>
                <w:sz w:val="18"/>
              </w:rPr>
              <w:t>5</w:t>
            </w:r>
          </w:p>
        </w:tc>
        <w:tc>
          <w:tcPr>
            <w:tcW w:w="794" w:type="dxa"/>
            <w:tcBorders>
              <w:bottom w:val="single" w:sz="6" w:space="0" w:color="auto"/>
            </w:tcBorders>
          </w:tcPr>
          <w:p w14:paraId="17675CFA" w14:textId="77777777" w:rsidR="0048679D" w:rsidRPr="00A538DD" w:rsidRDefault="0048679D">
            <w:pPr>
              <w:jc w:val="right"/>
              <w:rPr>
                <w:sz w:val="18"/>
              </w:rPr>
            </w:pPr>
            <w:r w:rsidRPr="00A538DD">
              <w:rPr>
                <w:sz w:val="18"/>
              </w:rPr>
              <w:t>4</w:t>
            </w:r>
          </w:p>
        </w:tc>
        <w:tc>
          <w:tcPr>
            <w:tcW w:w="794" w:type="dxa"/>
            <w:tcBorders>
              <w:bottom w:val="single" w:sz="6" w:space="0" w:color="auto"/>
            </w:tcBorders>
          </w:tcPr>
          <w:p w14:paraId="7366A0A2" w14:textId="77777777" w:rsidR="0048679D" w:rsidRPr="00A538DD" w:rsidRDefault="0048679D">
            <w:pPr>
              <w:jc w:val="right"/>
              <w:rPr>
                <w:sz w:val="18"/>
              </w:rPr>
            </w:pPr>
            <w:r w:rsidRPr="00A538DD">
              <w:rPr>
                <w:sz w:val="18"/>
              </w:rPr>
              <w:t>11</w:t>
            </w:r>
          </w:p>
        </w:tc>
        <w:tc>
          <w:tcPr>
            <w:tcW w:w="794" w:type="dxa"/>
            <w:tcBorders>
              <w:bottom w:val="single" w:sz="6" w:space="0" w:color="auto"/>
            </w:tcBorders>
          </w:tcPr>
          <w:p w14:paraId="432D616F" w14:textId="77777777" w:rsidR="0048679D" w:rsidRPr="00A538DD" w:rsidRDefault="0048679D">
            <w:pPr>
              <w:jc w:val="right"/>
              <w:rPr>
                <w:sz w:val="18"/>
              </w:rPr>
            </w:pPr>
            <w:r w:rsidRPr="00A538DD">
              <w:rPr>
                <w:sz w:val="18"/>
              </w:rPr>
              <w:t>21</w:t>
            </w:r>
          </w:p>
        </w:tc>
      </w:tr>
      <w:tr w:rsidR="00000000" w:rsidRPr="00A538DD" w14:paraId="65D3E8C2" w14:textId="77777777">
        <w:tblPrEx>
          <w:tblCellMar>
            <w:top w:w="0" w:type="dxa"/>
            <w:bottom w:w="0" w:type="dxa"/>
          </w:tblCellMar>
        </w:tblPrEx>
        <w:trPr>
          <w:cantSplit/>
          <w:trHeight w:val="216"/>
        </w:trPr>
        <w:tc>
          <w:tcPr>
            <w:tcW w:w="1814" w:type="dxa"/>
          </w:tcPr>
          <w:p w14:paraId="7460C710" w14:textId="77777777" w:rsidR="0048679D" w:rsidRPr="00A538DD" w:rsidRDefault="0048679D">
            <w:pPr>
              <w:jc w:val="left"/>
              <w:rPr>
                <w:b/>
                <w:sz w:val="18"/>
              </w:rPr>
            </w:pPr>
            <w:r w:rsidRPr="00A538DD">
              <w:rPr>
                <w:b/>
                <w:sz w:val="18"/>
              </w:rPr>
              <w:t>Summa nettointä</w:t>
            </w:r>
            <w:r w:rsidRPr="00A538DD">
              <w:rPr>
                <w:b/>
                <w:sz w:val="18"/>
              </w:rPr>
              <w:t>k</w:t>
            </w:r>
            <w:r w:rsidRPr="00A538DD">
              <w:rPr>
                <w:b/>
                <w:sz w:val="18"/>
              </w:rPr>
              <w:t>ter</w:t>
            </w:r>
          </w:p>
        </w:tc>
        <w:tc>
          <w:tcPr>
            <w:tcW w:w="794" w:type="dxa"/>
          </w:tcPr>
          <w:p w14:paraId="3FC1AFAB" w14:textId="77777777" w:rsidR="0048679D" w:rsidRPr="00A538DD" w:rsidRDefault="0048679D">
            <w:pPr>
              <w:jc w:val="right"/>
              <w:rPr>
                <w:sz w:val="18"/>
              </w:rPr>
            </w:pPr>
            <w:r w:rsidRPr="00A538DD">
              <w:rPr>
                <w:sz w:val="18"/>
              </w:rPr>
              <w:t>–1 753</w:t>
            </w:r>
          </w:p>
        </w:tc>
        <w:tc>
          <w:tcPr>
            <w:tcW w:w="794" w:type="dxa"/>
          </w:tcPr>
          <w:p w14:paraId="047CFA88" w14:textId="77777777" w:rsidR="0048679D" w:rsidRPr="00A538DD" w:rsidRDefault="0048679D">
            <w:pPr>
              <w:jc w:val="right"/>
              <w:rPr>
                <w:sz w:val="18"/>
              </w:rPr>
            </w:pPr>
            <w:r w:rsidRPr="00A538DD">
              <w:rPr>
                <w:sz w:val="18"/>
              </w:rPr>
              <w:t>–7 892</w:t>
            </w:r>
          </w:p>
        </w:tc>
        <w:tc>
          <w:tcPr>
            <w:tcW w:w="794" w:type="dxa"/>
          </w:tcPr>
          <w:p w14:paraId="49A3EADA" w14:textId="77777777" w:rsidR="0048679D" w:rsidRPr="00A538DD" w:rsidRDefault="0048679D">
            <w:pPr>
              <w:jc w:val="right"/>
              <w:rPr>
                <w:sz w:val="18"/>
              </w:rPr>
            </w:pPr>
            <w:r w:rsidRPr="00A538DD">
              <w:rPr>
                <w:sz w:val="18"/>
              </w:rPr>
              <w:t>1 347</w:t>
            </w:r>
          </w:p>
        </w:tc>
        <w:tc>
          <w:tcPr>
            <w:tcW w:w="794" w:type="dxa"/>
          </w:tcPr>
          <w:p w14:paraId="307596EC" w14:textId="77777777" w:rsidR="0048679D" w:rsidRPr="00A538DD" w:rsidRDefault="0048679D">
            <w:pPr>
              <w:jc w:val="right"/>
              <w:rPr>
                <w:sz w:val="18"/>
              </w:rPr>
            </w:pPr>
            <w:r w:rsidRPr="00A538DD">
              <w:rPr>
                <w:sz w:val="18"/>
              </w:rPr>
              <w:t>20 215</w:t>
            </w:r>
          </w:p>
        </w:tc>
        <w:tc>
          <w:tcPr>
            <w:tcW w:w="794" w:type="dxa"/>
          </w:tcPr>
          <w:p w14:paraId="2A2B9A87" w14:textId="77777777" w:rsidR="0048679D" w:rsidRPr="00A538DD" w:rsidRDefault="0048679D">
            <w:pPr>
              <w:jc w:val="right"/>
              <w:rPr>
                <w:sz w:val="18"/>
              </w:rPr>
            </w:pPr>
            <w:r w:rsidRPr="00A538DD">
              <w:rPr>
                <w:sz w:val="18"/>
              </w:rPr>
              <w:t>21 097</w:t>
            </w:r>
          </w:p>
        </w:tc>
      </w:tr>
      <w:tr w:rsidR="00000000" w:rsidRPr="00A538DD" w14:paraId="66D6F0DB" w14:textId="77777777">
        <w:tblPrEx>
          <w:tblCellMar>
            <w:top w:w="0" w:type="dxa"/>
            <w:bottom w:w="0" w:type="dxa"/>
          </w:tblCellMar>
        </w:tblPrEx>
        <w:trPr>
          <w:cantSplit/>
          <w:trHeight w:val="216"/>
        </w:trPr>
        <w:tc>
          <w:tcPr>
            <w:tcW w:w="1814" w:type="dxa"/>
          </w:tcPr>
          <w:p w14:paraId="0D9551C4" w14:textId="77777777" w:rsidR="0048679D" w:rsidRPr="00A538DD" w:rsidRDefault="0048679D">
            <w:pPr>
              <w:jc w:val="left"/>
              <w:rPr>
                <w:sz w:val="18"/>
              </w:rPr>
            </w:pPr>
          </w:p>
        </w:tc>
        <w:tc>
          <w:tcPr>
            <w:tcW w:w="794" w:type="dxa"/>
          </w:tcPr>
          <w:p w14:paraId="346E8646" w14:textId="77777777" w:rsidR="0048679D" w:rsidRPr="00A538DD" w:rsidRDefault="0048679D">
            <w:pPr>
              <w:jc w:val="right"/>
              <w:rPr>
                <w:sz w:val="18"/>
              </w:rPr>
            </w:pPr>
          </w:p>
        </w:tc>
        <w:tc>
          <w:tcPr>
            <w:tcW w:w="794" w:type="dxa"/>
          </w:tcPr>
          <w:p w14:paraId="0F21FC81" w14:textId="77777777" w:rsidR="0048679D" w:rsidRPr="00A538DD" w:rsidRDefault="0048679D">
            <w:pPr>
              <w:jc w:val="right"/>
              <w:rPr>
                <w:sz w:val="18"/>
              </w:rPr>
            </w:pPr>
          </w:p>
        </w:tc>
        <w:tc>
          <w:tcPr>
            <w:tcW w:w="794" w:type="dxa"/>
          </w:tcPr>
          <w:p w14:paraId="25E0A8DF" w14:textId="77777777" w:rsidR="0048679D" w:rsidRPr="00A538DD" w:rsidRDefault="0048679D">
            <w:pPr>
              <w:jc w:val="right"/>
              <w:rPr>
                <w:sz w:val="18"/>
              </w:rPr>
            </w:pPr>
          </w:p>
        </w:tc>
        <w:tc>
          <w:tcPr>
            <w:tcW w:w="794" w:type="dxa"/>
          </w:tcPr>
          <w:p w14:paraId="36BB3BD8" w14:textId="77777777" w:rsidR="0048679D" w:rsidRPr="00A538DD" w:rsidRDefault="0048679D">
            <w:pPr>
              <w:jc w:val="right"/>
              <w:rPr>
                <w:sz w:val="18"/>
              </w:rPr>
            </w:pPr>
          </w:p>
        </w:tc>
        <w:tc>
          <w:tcPr>
            <w:tcW w:w="794" w:type="dxa"/>
          </w:tcPr>
          <w:p w14:paraId="47F39639" w14:textId="77777777" w:rsidR="0048679D" w:rsidRPr="00A538DD" w:rsidRDefault="0048679D">
            <w:pPr>
              <w:jc w:val="right"/>
              <w:rPr>
                <w:sz w:val="18"/>
              </w:rPr>
            </w:pPr>
          </w:p>
        </w:tc>
      </w:tr>
      <w:tr w:rsidR="00000000" w:rsidRPr="00A538DD" w14:paraId="28B8CF23" w14:textId="77777777">
        <w:tblPrEx>
          <w:tblCellMar>
            <w:top w:w="0" w:type="dxa"/>
            <w:bottom w:w="0" w:type="dxa"/>
          </w:tblCellMar>
        </w:tblPrEx>
        <w:trPr>
          <w:cantSplit/>
          <w:trHeight w:val="216"/>
        </w:trPr>
        <w:tc>
          <w:tcPr>
            <w:tcW w:w="1814" w:type="dxa"/>
          </w:tcPr>
          <w:p w14:paraId="5EE2EDD4" w14:textId="77777777" w:rsidR="0048679D" w:rsidRPr="00A538DD" w:rsidRDefault="0048679D">
            <w:pPr>
              <w:jc w:val="left"/>
              <w:rPr>
                <w:sz w:val="18"/>
              </w:rPr>
            </w:pPr>
          </w:p>
        </w:tc>
        <w:tc>
          <w:tcPr>
            <w:tcW w:w="794" w:type="dxa"/>
          </w:tcPr>
          <w:p w14:paraId="42CAC9EA" w14:textId="77777777" w:rsidR="0048679D" w:rsidRPr="00A538DD" w:rsidRDefault="0048679D">
            <w:pPr>
              <w:jc w:val="right"/>
              <w:rPr>
                <w:sz w:val="18"/>
              </w:rPr>
            </w:pPr>
          </w:p>
        </w:tc>
        <w:tc>
          <w:tcPr>
            <w:tcW w:w="794" w:type="dxa"/>
          </w:tcPr>
          <w:p w14:paraId="78B0DF0F" w14:textId="77777777" w:rsidR="0048679D" w:rsidRPr="00A538DD" w:rsidRDefault="0048679D">
            <w:pPr>
              <w:jc w:val="right"/>
              <w:rPr>
                <w:sz w:val="18"/>
              </w:rPr>
            </w:pPr>
          </w:p>
        </w:tc>
        <w:tc>
          <w:tcPr>
            <w:tcW w:w="794" w:type="dxa"/>
          </w:tcPr>
          <w:p w14:paraId="346A4679" w14:textId="77777777" w:rsidR="0048679D" w:rsidRPr="00A538DD" w:rsidRDefault="0048679D">
            <w:pPr>
              <w:jc w:val="right"/>
              <w:rPr>
                <w:sz w:val="18"/>
              </w:rPr>
            </w:pPr>
          </w:p>
        </w:tc>
        <w:tc>
          <w:tcPr>
            <w:tcW w:w="794" w:type="dxa"/>
          </w:tcPr>
          <w:p w14:paraId="6C1E6BE4" w14:textId="77777777" w:rsidR="0048679D" w:rsidRPr="00A538DD" w:rsidRDefault="0048679D">
            <w:pPr>
              <w:jc w:val="right"/>
              <w:rPr>
                <w:sz w:val="18"/>
              </w:rPr>
            </w:pPr>
          </w:p>
        </w:tc>
        <w:tc>
          <w:tcPr>
            <w:tcW w:w="794" w:type="dxa"/>
          </w:tcPr>
          <w:p w14:paraId="661E0528" w14:textId="77777777" w:rsidR="0048679D" w:rsidRPr="00A538DD" w:rsidRDefault="0048679D">
            <w:pPr>
              <w:jc w:val="right"/>
              <w:rPr>
                <w:sz w:val="18"/>
              </w:rPr>
            </w:pPr>
          </w:p>
        </w:tc>
      </w:tr>
      <w:tr w:rsidR="00000000" w:rsidRPr="00A538DD" w14:paraId="49001E47" w14:textId="77777777">
        <w:tblPrEx>
          <w:tblCellMar>
            <w:top w:w="0" w:type="dxa"/>
            <w:bottom w:w="0" w:type="dxa"/>
          </w:tblCellMar>
        </w:tblPrEx>
        <w:trPr>
          <w:cantSplit/>
          <w:trHeight w:val="216"/>
        </w:trPr>
        <w:tc>
          <w:tcPr>
            <w:tcW w:w="1814" w:type="dxa"/>
          </w:tcPr>
          <w:p w14:paraId="54EF3201" w14:textId="77777777" w:rsidR="0048679D" w:rsidRPr="00A538DD" w:rsidRDefault="0048679D">
            <w:pPr>
              <w:jc w:val="left"/>
              <w:rPr>
                <w:sz w:val="18"/>
              </w:rPr>
            </w:pPr>
            <w:r w:rsidRPr="00A538DD">
              <w:rPr>
                <w:sz w:val="18"/>
              </w:rPr>
              <w:t>Personalkostnader</w:t>
            </w:r>
          </w:p>
        </w:tc>
        <w:tc>
          <w:tcPr>
            <w:tcW w:w="794" w:type="dxa"/>
          </w:tcPr>
          <w:p w14:paraId="775E245B" w14:textId="77777777" w:rsidR="0048679D" w:rsidRPr="00A538DD" w:rsidRDefault="0048679D">
            <w:pPr>
              <w:jc w:val="right"/>
              <w:rPr>
                <w:sz w:val="18"/>
              </w:rPr>
            </w:pPr>
            <w:r w:rsidRPr="00A538DD">
              <w:rPr>
                <w:sz w:val="18"/>
              </w:rPr>
              <w:t>–309</w:t>
            </w:r>
          </w:p>
        </w:tc>
        <w:tc>
          <w:tcPr>
            <w:tcW w:w="794" w:type="dxa"/>
          </w:tcPr>
          <w:p w14:paraId="71A5A8A6" w14:textId="77777777" w:rsidR="0048679D" w:rsidRPr="00A538DD" w:rsidRDefault="0048679D">
            <w:pPr>
              <w:jc w:val="right"/>
              <w:rPr>
                <w:sz w:val="18"/>
              </w:rPr>
            </w:pPr>
            <w:r w:rsidRPr="00A538DD">
              <w:rPr>
                <w:sz w:val="18"/>
              </w:rPr>
              <w:t>–323</w:t>
            </w:r>
          </w:p>
        </w:tc>
        <w:tc>
          <w:tcPr>
            <w:tcW w:w="794" w:type="dxa"/>
          </w:tcPr>
          <w:p w14:paraId="7B43D03A" w14:textId="77777777" w:rsidR="0048679D" w:rsidRPr="00A538DD" w:rsidRDefault="0048679D">
            <w:pPr>
              <w:jc w:val="right"/>
              <w:rPr>
                <w:sz w:val="18"/>
              </w:rPr>
            </w:pPr>
            <w:r w:rsidRPr="00A538DD">
              <w:rPr>
                <w:sz w:val="18"/>
              </w:rPr>
              <w:t>–337</w:t>
            </w:r>
          </w:p>
        </w:tc>
        <w:tc>
          <w:tcPr>
            <w:tcW w:w="794" w:type="dxa"/>
          </w:tcPr>
          <w:p w14:paraId="73983EDF" w14:textId="77777777" w:rsidR="0048679D" w:rsidRPr="00A538DD" w:rsidRDefault="0048679D">
            <w:pPr>
              <w:jc w:val="right"/>
              <w:rPr>
                <w:sz w:val="18"/>
              </w:rPr>
            </w:pPr>
            <w:r w:rsidRPr="00A538DD">
              <w:rPr>
                <w:sz w:val="18"/>
              </w:rPr>
              <w:t>–279</w:t>
            </w:r>
          </w:p>
        </w:tc>
        <w:tc>
          <w:tcPr>
            <w:tcW w:w="794" w:type="dxa"/>
          </w:tcPr>
          <w:p w14:paraId="32B0F051" w14:textId="77777777" w:rsidR="0048679D" w:rsidRPr="00A538DD" w:rsidRDefault="0048679D">
            <w:pPr>
              <w:jc w:val="right"/>
              <w:rPr>
                <w:sz w:val="18"/>
              </w:rPr>
            </w:pPr>
            <w:r w:rsidRPr="00A538DD">
              <w:rPr>
                <w:sz w:val="18"/>
              </w:rPr>
              <w:t>–253</w:t>
            </w:r>
          </w:p>
        </w:tc>
      </w:tr>
      <w:tr w:rsidR="00000000" w:rsidRPr="00A538DD" w14:paraId="46ACC75D" w14:textId="77777777">
        <w:tblPrEx>
          <w:tblCellMar>
            <w:top w:w="0" w:type="dxa"/>
            <w:bottom w:w="0" w:type="dxa"/>
          </w:tblCellMar>
        </w:tblPrEx>
        <w:trPr>
          <w:cantSplit/>
          <w:trHeight w:val="216"/>
        </w:trPr>
        <w:tc>
          <w:tcPr>
            <w:tcW w:w="1814" w:type="dxa"/>
          </w:tcPr>
          <w:p w14:paraId="2496753E" w14:textId="77777777" w:rsidR="0048679D" w:rsidRPr="00A538DD" w:rsidRDefault="0048679D">
            <w:pPr>
              <w:jc w:val="left"/>
              <w:rPr>
                <w:sz w:val="18"/>
              </w:rPr>
            </w:pPr>
            <w:r w:rsidRPr="00A538DD">
              <w:rPr>
                <w:sz w:val="18"/>
              </w:rPr>
              <w:t>Administrationskostn</w:t>
            </w:r>
            <w:r w:rsidRPr="00A538DD">
              <w:rPr>
                <w:sz w:val="18"/>
              </w:rPr>
              <w:t>a</w:t>
            </w:r>
            <w:r w:rsidRPr="00A538DD">
              <w:rPr>
                <w:sz w:val="18"/>
              </w:rPr>
              <w:t>der</w:t>
            </w:r>
          </w:p>
        </w:tc>
        <w:tc>
          <w:tcPr>
            <w:tcW w:w="794" w:type="dxa"/>
            <w:vAlign w:val="bottom"/>
          </w:tcPr>
          <w:p w14:paraId="3B1C9122" w14:textId="77777777" w:rsidR="0048679D" w:rsidRPr="00A538DD" w:rsidRDefault="0048679D">
            <w:pPr>
              <w:jc w:val="right"/>
              <w:rPr>
                <w:sz w:val="18"/>
              </w:rPr>
            </w:pPr>
            <w:r w:rsidRPr="00A538DD">
              <w:rPr>
                <w:sz w:val="18"/>
              </w:rPr>
              <w:t>–231</w:t>
            </w:r>
          </w:p>
        </w:tc>
        <w:tc>
          <w:tcPr>
            <w:tcW w:w="794" w:type="dxa"/>
            <w:vAlign w:val="bottom"/>
          </w:tcPr>
          <w:p w14:paraId="51F89560" w14:textId="77777777" w:rsidR="0048679D" w:rsidRPr="00A538DD" w:rsidRDefault="0048679D">
            <w:pPr>
              <w:jc w:val="right"/>
              <w:rPr>
                <w:sz w:val="18"/>
              </w:rPr>
            </w:pPr>
            <w:r w:rsidRPr="00A538DD">
              <w:rPr>
                <w:sz w:val="18"/>
              </w:rPr>
              <w:t>–228</w:t>
            </w:r>
          </w:p>
        </w:tc>
        <w:tc>
          <w:tcPr>
            <w:tcW w:w="794" w:type="dxa"/>
            <w:vAlign w:val="bottom"/>
          </w:tcPr>
          <w:p w14:paraId="48875D6A" w14:textId="77777777" w:rsidR="0048679D" w:rsidRPr="00A538DD" w:rsidRDefault="0048679D">
            <w:pPr>
              <w:jc w:val="right"/>
              <w:rPr>
                <w:sz w:val="18"/>
              </w:rPr>
            </w:pPr>
            <w:r w:rsidRPr="00A538DD">
              <w:rPr>
                <w:sz w:val="18"/>
              </w:rPr>
              <w:t>–216</w:t>
            </w:r>
          </w:p>
        </w:tc>
        <w:tc>
          <w:tcPr>
            <w:tcW w:w="794" w:type="dxa"/>
            <w:vAlign w:val="bottom"/>
          </w:tcPr>
          <w:p w14:paraId="0C1787AC" w14:textId="77777777" w:rsidR="0048679D" w:rsidRPr="00A538DD" w:rsidRDefault="0048679D">
            <w:pPr>
              <w:jc w:val="right"/>
              <w:rPr>
                <w:sz w:val="18"/>
              </w:rPr>
            </w:pPr>
            <w:r w:rsidRPr="00A538DD">
              <w:rPr>
                <w:sz w:val="18"/>
              </w:rPr>
              <w:t>–211</w:t>
            </w:r>
          </w:p>
        </w:tc>
        <w:tc>
          <w:tcPr>
            <w:tcW w:w="794" w:type="dxa"/>
            <w:vAlign w:val="bottom"/>
          </w:tcPr>
          <w:p w14:paraId="7DBC94FE" w14:textId="77777777" w:rsidR="0048679D" w:rsidRPr="00A538DD" w:rsidRDefault="0048679D">
            <w:pPr>
              <w:jc w:val="right"/>
              <w:rPr>
                <w:sz w:val="18"/>
              </w:rPr>
            </w:pPr>
            <w:r w:rsidRPr="00A538DD">
              <w:rPr>
                <w:sz w:val="18"/>
              </w:rPr>
              <w:t>–160</w:t>
            </w:r>
          </w:p>
        </w:tc>
      </w:tr>
      <w:tr w:rsidR="00000000" w:rsidRPr="00A538DD" w14:paraId="03860AE4" w14:textId="77777777">
        <w:tblPrEx>
          <w:tblCellMar>
            <w:top w:w="0" w:type="dxa"/>
            <w:bottom w:w="0" w:type="dxa"/>
          </w:tblCellMar>
        </w:tblPrEx>
        <w:trPr>
          <w:cantSplit/>
          <w:trHeight w:val="216"/>
        </w:trPr>
        <w:tc>
          <w:tcPr>
            <w:tcW w:w="1814" w:type="dxa"/>
          </w:tcPr>
          <w:p w14:paraId="6D69149F" w14:textId="77777777" w:rsidR="0048679D" w:rsidRPr="00A538DD" w:rsidRDefault="0048679D">
            <w:pPr>
              <w:jc w:val="left"/>
              <w:rPr>
                <w:sz w:val="18"/>
              </w:rPr>
            </w:pPr>
            <w:r w:rsidRPr="00A538DD">
              <w:rPr>
                <w:sz w:val="18"/>
              </w:rPr>
              <w:t>Avskrivningar på mat</w:t>
            </w:r>
            <w:r w:rsidRPr="00A538DD">
              <w:rPr>
                <w:sz w:val="18"/>
              </w:rPr>
              <w:t>e</w:t>
            </w:r>
            <w:r w:rsidRPr="00A538DD">
              <w:rPr>
                <w:sz w:val="18"/>
              </w:rPr>
              <w:t>riella och immateriella anläggningstil</w:t>
            </w:r>
            <w:r w:rsidRPr="00A538DD">
              <w:rPr>
                <w:sz w:val="18"/>
              </w:rPr>
              <w:t>l</w:t>
            </w:r>
            <w:r w:rsidRPr="00A538DD">
              <w:rPr>
                <w:sz w:val="18"/>
              </w:rPr>
              <w:t>gångar</w:t>
            </w:r>
          </w:p>
        </w:tc>
        <w:tc>
          <w:tcPr>
            <w:tcW w:w="794" w:type="dxa"/>
            <w:vAlign w:val="bottom"/>
          </w:tcPr>
          <w:p w14:paraId="73490FCB" w14:textId="77777777" w:rsidR="0048679D" w:rsidRPr="00A538DD" w:rsidRDefault="0048679D">
            <w:pPr>
              <w:jc w:val="right"/>
              <w:rPr>
                <w:sz w:val="18"/>
              </w:rPr>
            </w:pPr>
            <w:r w:rsidRPr="00A538DD">
              <w:rPr>
                <w:sz w:val="18"/>
              </w:rPr>
              <w:t>69</w:t>
            </w:r>
          </w:p>
        </w:tc>
        <w:tc>
          <w:tcPr>
            <w:tcW w:w="794" w:type="dxa"/>
            <w:vAlign w:val="bottom"/>
          </w:tcPr>
          <w:p w14:paraId="54EFDEA6" w14:textId="77777777" w:rsidR="0048679D" w:rsidRPr="00A538DD" w:rsidRDefault="0048679D">
            <w:pPr>
              <w:jc w:val="right"/>
              <w:rPr>
                <w:sz w:val="18"/>
              </w:rPr>
            </w:pPr>
            <w:r w:rsidRPr="00A538DD">
              <w:rPr>
                <w:sz w:val="18"/>
              </w:rPr>
              <w:t>–72</w:t>
            </w:r>
          </w:p>
        </w:tc>
        <w:tc>
          <w:tcPr>
            <w:tcW w:w="794" w:type="dxa"/>
            <w:vAlign w:val="bottom"/>
          </w:tcPr>
          <w:p w14:paraId="113D628B" w14:textId="77777777" w:rsidR="0048679D" w:rsidRPr="00A538DD" w:rsidRDefault="0048679D">
            <w:pPr>
              <w:jc w:val="right"/>
              <w:rPr>
                <w:sz w:val="18"/>
              </w:rPr>
            </w:pPr>
            <w:r w:rsidRPr="00A538DD">
              <w:rPr>
                <w:sz w:val="18"/>
              </w:rPr>
              <w:t>–69</w:t>
            </w:r>
          </w:p>
        </w:tc>
        <w:tc>
          <w:tcPr>
            <w:tcW w:w="794" w:type="dxa"/>
            <w:vAlign w:val="bottom"/>
          </w:tcPr>
          <w:p w14:paraId="7AFA38F9" w14:textId="77777777" w:rsidR="0048679D" w:rsidRPr="00A538DD" w:rsidRDefault="0048679D">
            <w:pPr>
              <w:jc w:val="right"/>
              <w:rPr>
                <w:sz w:val="18"/>
              </w:rPr>
            </w:pPr>
            <w:r w:rsidRPr="00A538DD">
              <w:rPr>
                <w:sz w:val="18"/>
              </w:rPr>
              <w:br/>
              <w:t>–63</w:t>
            </w:r>
          </w:p>
        </w:tc>
        <w:tc>
          <w:tcPr>
            <w:tcW w:w="794" w:type="dxa"/>
            <w:vAlign w:val="bottom"/>
          </w:tcPr>
          <w:p w14:paraId="6C68976C" w14:textId="77777777" w:rsidR="0048679D" w:rsidRPr="00A538DD" w:rsidRDefault="0048679D">
            <w:pPr>
              <w:jc w:val="right"/>
              <w:rPr>
                <w:sz w:val="18"/>
              </w:rPr>
            </w:pPr>
            <w:r w:rsidRPr="00A538DD">
              <w:rPr>
                <w:sz w:val="18"/>
              </w:rPr>
              <w:br/>
              <w:t>–62</w:t>
            </w:r>
          </w:p>
        </w:tc>
      </w:tr>
      <w:tr w:rsidR="00000000" w:rsidRPr="00A538DD" w14:paraId="43273A11" w14:textId="77777777">
        <w:tblPrEx>
          <w:tblCellMar>
            <w:top w:w="0" w:type="dxa"/>
            <w:bottom w:w="0" w:type="dxa"/>
          </w:tblCellMar>
        </w:tblPrEx>
        <w:trPr>
          <w:cantSplit/>
          <w:trHeight w:val="216"/>
        </w:trPr>
        <w:tc>
          <w:tcPr>
            <w:tcW w:w="1814" w:type="dxa"/>
          </w:tcPr>
          <w:p w14:paraId="485C7BA8" w14:textId="77777777" w:rsidR="0048679D" w:rsidRPr="00A538DD" w:rsidRDefault="0048679D">
            <w:pPr>
              <w:jc w:val="left"/>
              <w:rPr>
                <w:sz w:val="18"/>
              </w:rPr>
            </w:pPr>
            <w:r w:rsidRPr="00A538DD">
              <w:rPr>
                <w:sz w:val="18"/>
              </w:rPr>
              <w:t>Sedel- och myntkostn</w:t>
            </w:r>
            <w:r w:rsidRPr="00A538DD">
              <w:rPr>
                <w:sz w:val="18"/>
              </w:rPr>
              <w:t>a</w:t>
            </w:r>
            <w:r w:rsidRPr="00A538DD">
              <w:rPr>
                <w:sz w:val="18"/>
              </w:rPr>
              <w:t>der</w:t>
            </w:r>
          </w:p>
        </w:tc>
        <w:tc>
          <w:tcPr>
            <w:tcW w:w="794" w:type="dxa"/>
            <w:vAlign w:val="bottom"/>
          </w:tcPr>
          <w:p w14:paraId="1F00CA07" w14:textId="77777777" w:rsidR="0048679D" w:rsidRPr="00A538DD" w:rsidRDefault="0048679D">
            <w:pPr>
              <w:jc w:val="right"/>
              <w:rPr>
                <w:sz w:val="18"/>
              </w:rPr>
            </w:pPr>
            <w:r w:rsidRPr="00A538DD">
              <w:rPr>
                <w:sz w:val="18"/>
              </w:rPr>
              <w:t>–160</w:t>
            </w:r>
          </w:p>
        </w:tc>
        <w:tc>
          <w:tcPr>
            <w:tcW w:w="794" w:type="dxa"/>
            <w:vAlign w:val="bottom"/>
          </w:tcPr>
          <w:p w14:paraId="7C533AE4" w14:textId="77777777" w:rsidR="0048679D" w:rsidRPr="00A538DD" w:rsidRDefault="0048679D">
            <w:pPr>
              <w:jc w:val="right"/>
              <w:rPr>
                <w:sz w:val="18"/>
              </w:rPr>
            </w:pPr>
            <w:r w:rsidRPr="00A538DD">
              <w:rPr>
                <w:sz w:val="18"/>
              </w:rPr>
              <w:t>–244</w:t>
            </w:r>
          </w:p>
        </w:tc>
        <w:tc>
          <w:tcPr>
            <w:tcW w:w="794" w:type="dxa"/>
            <w:vAlign w:val="bottom"/>
          </w:tcPr>
          <w:p w14:paraId="2007408E" w14:textId="77777777" w:rsidR="0048679D" w:rsidRPr="00A538DD" w:rsidRDefault="0048679D">
            <w:pPr>
              <w:jc w:val="right"/>
              <w:rPr>
                <w:sz w:val="18"/>
              </w:rPr>
            </w:pPr>
            <w:r w:rsidRPr="00A538DD">
              <w:rPr>
                <w:sz w:val="18"/>
              </w:rPr>
              <w:t>–322</w:t>
            </w:r>
          </w:p>
        </w:tc>
        <w:tc>
          <w:tcPr>
            <w:tcW w:w="794" w:type="dxa"/>
            <w:vAlign w:val="bottom"/>
          </w:tcPr>
          <w:p w14:paraId="514447A6" w14:textId="77777777" w:rsidR="0048679D" w:rsidRPr="00A538DD" w:rsidRDefault="0048679D">
            <w:pPr>
              <w:jc w:val="right"/>
              <w:rPr>
                <w:sz w:val="18"/>
              </w:rPr>
            </w:pPr>
            <w:r w:rsidRPr="00A538DD">
              <w:rPr>
                <w:sz w:val="18"/>
              </w:rPr>
              <w:t>–332</w:t>
            </w:r>
          </w:p>
        </w:tc>
        <w:tc>
          <w:tcPr>
            <w:tcW w:w="794" w:type="dxa"/>
            <w:vAlign w:val="bottom"/>
          </w:tcPr>
          <w:p w14:paraId="437D90C2" w14:textId="77777777" w:rsidR="0048679D" w:rsidRPr="00A538DD" w:rsidRDefault="0048679D">
            <w:pPr>
              <w:jc w:val="right"/>
              <w:rPr>
                <w:sz w:val="18"/>
              </w:rPr>
            </w:pPr>
            <w:r w:rsidRPr="00A538DD">
              <w:rPr>
                <w:sz w:val="18"/>
              </w:rPr>
              <w:t>–209</w:t>
            </w:r>
          </w:p>
        </w:tc>
      </w:tr>
      <w:tr w:rsidR="00000000" w:rsidRPr="00A538DD" w14:paraId="3BB54540" w14:textId="77777777">
        <w:tblPrEx>
          <w:tblCellMar>
            <w:top w:w="0" w:type="dxa"/>
            <w:bottom w:w="0" w:type="dxa"/>
          </w:tblCellMar>
        </w:tblPrEx>
        <w:trPr>
          <w:cantSplit/>
          <w:trHeight w:val="216"/>
        </w:trPr>
        <w:tc>
          <w:tcPr>
            <w:tcW w:w="1814" w:type="dxa"/>
          </w:tcPr>
          <w:p w14:paraId="52EB84FA" w14:textId="77777777" w:rsidR="0048679D" w:rsidRPr="00A538DD" w:rsidRDefault="0048679D">
            <w:pPr>
              <w:jc w:val="left"/>
              <w:rPr>
                <w:sz w:val="18"/>
              </w:rPr>
            </w:pPr>
            <w:r w:rsidRPr="00A538DD">
              <w:rPr>
                <w:sz w:val="18"/>
              </w:rPr>
              <w:t>Övriga kostnader</w:t>
            </w:r>
          </w:p>
        </w:tc>
        <w:tc>
          <w:tcPr>
            <w:tcW w:w="794" w:type="dxa"/>
            <w:tcBorders>
              <w:bottom w:val="single" w:sz="6" w:space="0" w:color="auto"/>
            </w:tcBorders>
            <w:vAlign w:val="bottom"/>
          </w:tcPr>
          <w:p w14:paraId="30594CC1" w14:textId="77777777" w:rsidR="0048679D" w:rsidRPr="00A538DD" w:rsidRDefault="0048679D">
            <w:pPr>
              <w:jc w:val="right"/>
              <w:rPr>
                <w:sz w:val="18"/>
              </w:rPr>
            </w:pPr>
            <w:r w:rsidRPr="00A538DD">
              <w:rPr>
                <w:sz w:val="18"/>
              </w:rPr>
              <w:t>–282</w:t>
            </w:r>
          </w:p>
        </w:tc>
        <w:tc>
          <w:tcPr>
            <w:tcW w:w="794" w:type="dxa"/>
            <w:tcBorders>
              <w:bottom w:val="single" w:sz="6" w:space="0" w:color="auto"/>
            </w:tcBorders>
            <w:vAlign w:val="bottom"/>
          </w:tcPr>
          <w:p w14:paraId="6CE24B19" w14:textId="77777777" w:rsidR="0048679D" w:rsidRPr="00A538DD" w:rsidRDefault="0048679D">
            <w:pPr>
              <w:jc w:val="right"/>
              <w:rPr>
                <w:sz w:val="18"/>
              </w:rPr>
            </w:pPr>
            <w:r w:rsidRPr="00A538DD">
              <w:rPr>
                <w:sz w:val="18"/>
              </w:rPr>
              <w:t>–521</w:t>
            </w:r>
          </w:p>
        </w:tc>
        <w:tc>
          <w:tcPr>
            <w:tcW w:w="794" w:type="dxa"/>
            <w:tcBorders>
              <w:bottom w:val="single" w:sz="6" w:space="0" w:color="auto"/>
            </w:tcBorders>
            <w:vAlign w:val="bottom"/>
          </w:tcPr>
          <w:p w14:paraId="4067E6C2" w14:textId="77777777" w:rsidR="0048679D" w:rsidRPr="00A538DD" w:rsidRDefault="0048679D">
            <w:pPr>
              <w:jc w:val="right"/>
              <w:rPr>
                <w:sz w:val="18"/>
              </w:rPr>
            </w:pPr>
            <w:r w:rsidRPr="00A538DD">
              <w:rPr>
                <w:sz w:val="18"/>
              </w:rPr>
              <w:t>–474</w:t>
            </w:r>
          </w:p>
        </w:tc>
        <w:tc>
          <w:tcPr>
            <w:tcW w:w="794" w:type="dxa"/>
            <w:tcBorders>
              <w:bottom w:val="single" w:sz="6" w:space="0" w:color="auto"/>
            </w:tcBorders>
            <w:vAlign w:val="bottom"/>
          </w:tcPr>
          <w:p w14:paraId="6D0C70DF" w14:textId="77777777" w:rsidR="0048679D" w:rsidRPr="00A538DD" w:rsidRDefault="0048679D">
            <w:pPr>
              <w:jc w:val="right"/>
              <w:rPr>
                <w:sz w:val="18"/>
              </w:rPr>
            </w:pPr>
            <w:r w:rsidRPr="00A538DD">
              <w:rPr>
                <w:sz w:val="18"/>
              </w:rPr>
              <w:t>–53</w:t>
            </w:r>
          </w:p>
        </w:tc>
        <w:tc>
          <w:tcPr>
            <w:tcW w:w="794" w:type="dxa"/>
            <w:tcBorders>
              <w:bottom w:val="single" w:sz="6" w:space="0" w:color="auto"/>
            </w:tcBorders>
            <w:vAlign w:val="bottom"/>
          </w:tcPr>
          <w:p w14:paraId="11531765" w14:textId="77777777" w:rsidR="0048679D" w:rsidRPr="00A538DD" w:rsidRDefault="0048679D">
            <w:pPr>
              <w:jc w:val="right"/>
              <w:rPr>
                <w:sz w:val="18"/>
              </w:rPr>
            </w:pPr>
            <w:r w:rsidRPr="00A538DD">
              <w:rPr>
                <w:sz w:val="18"/>
              </w:rPr>
              <w:t>–104</w:t>
            </w:r>
          </w:p>
        </w:tc>
      </w:tr>
      <w:tr w:rsidR="00000000" w:rsidRPr="00A538DD" w14:paraId="36E84211" w14:textId="77777777">
        <w:tblPrEx>
          <w:tblCellMar>
            <w:top w:w="0" w:type="dxa"/>
            <w:bottom w:w="0" w:type="dxa"/>
          </w:tblCellMar>
        </w:tblPrEx>
        <w:trPr>
          <w:cantSplit/>
          <w:trHeight w:val="216"/>
        </w:trPr>
        <w:tc>
          <w:tcPr>
            <w:tcW w:w="1814" w:type="dxa"/>
          </w:tcPr>
          <w:p w14:paraId="342E6DA2" w14:textId="77777777" w:rsidR="0048679D" w:rsidRPr="00A538DD" w:rsidRDefault="0048679D">
            <w:pPr>
              <w:jc w:val="left"/>
              <w:rPr>
                <w:b/>
                <w:sz w:val="18"/>
              </w:rPr>
            </w:pPr>
            <w:r w:rsidRPr="00A538DD">
              <w:rPr>
                <w:b/>
                <w:sz w:val="18"/>
              </w:rPr>
              <w:t>Summa kostnader</w:t>
            </w:r>
          </w:p>
        </w:tc>
        <w:tc>
          <w:tcPr>
            <w:tcW w:w="794" w:type="dxa"/>
            <w:vAlign w:val="bottom"/>
          </w:tcPr>
          <w:p w14:paraId="7430C155" w14:textId="77777777" w:rsidR="0048679D" w:rsidRPr="00A538DD" w:rsidRDefault="0048679D">
            <w:pPr>
              <w:jc w:val="right"/>
              <w:rPr>
                <w:sz w:val="18"/>
              </w:rPr>
            </w:pPr>
            <w:r w:rsidRPr="00A538DD">
              <w:rPr>
                <w:sz w:val="18"/>
              </w:rPr>
              <w:t>–1 051</w:t>
            </w:r>
          </w:p>
        </w:tc>
        <w:tc>
          <w:tcPr>
            <w:tcW w:w="794" w:type="dxa"/>
            <w:vAlign w:val="bottom"/>
          </w:tcPr>
          <w:p w14:paraId="0D75BFC9" w14:textId="77777777" w:rsidR="0048679D" w:rsidRPr="00A538DD" w:rsidRDefault="0048679D">
            <w:pPr>
              <w:jc w:val="right"/>
              <w:rPr>
                <w:sz w:val="18"/>
              </w:rPr>
            </w:pPr>
            <w:r w:rsidRPr="00A538DD">
              <w:rPr>
                <w:sz w:val="18"/>
              </w:rPr>
              <w:t>–1 388</w:t>
            </w:r>
          </w:p>
        </w:tc>
        <w:tc>
          <w:tcPr>
            <w:tcW w:w="794" w:type="dxa"/>
            <w:vAlign w:val="bottom"/>
          </w:tcPr>
          <w:p w14:paraId="794B36B1" w14:textId="77777777" w:rsidR="0048679D" w:rsidRPr="00A538DD" w:rsidRDefault="0048679D">
            <w:pPr>
              <w:jc w:val="right"/>
              <w:rPr>
                <w:sz w:val="18"/>
              </w:rPr>
            </w:pPr>
            <w:r w:rsidRPr="00A538DD">
              <w:rPr>
                <w:sz w:val="18"/>
              </w:rPr>
              <w:t>–1 418</w:t>
            </w:r>
          </w:p>
        </w:tc>
        <w:tc>
          <w:tcPr>
            <w:tcW w:w="794" w:type="dxa"/>
            <w:vAlign w:val="bottom"/>
          </w:tcPr>
          <w:p w14:paraId="557E18BD" w14:textId="77777777" w:rsidR="0048679D" w:rsidRPr="00A538DD" w:rsidRDefault="0048679D">
            <w:pPr>
              <w:jc w:val="right"/>
              <w:rPr>
                <w:sz w:val="18"/>
              </w:rPr>
            </w:pPr>
            <w:r w:rsidRPr="00A538DD">
              <w:rPr>
                <w:sz w:val="18"/>
              </w:rPr>
              <w:t>–938</w:t>
            </w:r>
          </w:p>
        </w:tc>
        <w:tc>
          <w:tcPr>
            <w:tcW w:w="794" w:type="dxa"/>
            <w:vAlign w:val="bottom"/>
          </w:tcPr>
          <w:p w14:paraId="6187EEFD" w14:textId="77777777" w:rsidR="0048679D" w:rsidRPr="00A538DD" w:rsidRDefault="0048679D">
            <w:pPr>
              <w:jc w:val="right"/>
              <w:rPr>
                <w:sz w:val="18"/>
              </w:rPr>
            </w:pPr>
            <w:r w:rsidRPr="00A538DD">
              <w:rPr>
                <w:sz w:val="18"/>
              </w:rPr>
              <w:t>–788</w:t>
            </w:r>
          </w:p>
        </w:tc>
      </w:tr>
      <w:tr w:rsidR="00000000" w:rsidRPr="00A538DD" w14:paraId="309B249F" w14:textId="77777777">
        <w:tblPrEx>
          <w:tblCellMar>
            <w:top w:w="0" w:type="dxa"/>
            <w:bottom w:w="0" w:type="dxa"/>
          </w:tblCellMar>
        </w:tblPrEx>
        <w:trPr>
          <w:cantSplit/>
          <w:trHeight w:val="216"/>
        </w:trPr>
        <w:tc>
          <w:tcPr>
            <w:tcW w:w="1814" w:type="dxa"/>
          </w:tcPr>
          <w:p w14:paraId="073B5E12" w14:textId="77777777" w:rsidR="0048679D" w:rsidRPr="00A538DD" w:rsidRDefault="0048679D">
            <w:pPr>
              <w:jc w:val="left"/>
              <w:rPr>
                <w:sz w:val="18"/>
              </w:rPr>
            </w:pPr>
          </w:p>
        </w:tc>
        <w:tc>
          <w:tcPr>
            <w:tcW w:w="794" w:type="dxa"/>
            <w:vAlign w:val="bottom"/>
          </w:tcPr>
          <w:p w14:paraId="0B948E7E" w14:textId="77777777" w:rsidR="0048679D" w:rsidRPr="00A538DD" w:rsidRDefault="0048679D">
            <w:pPr>
              <w:jc w:val="right"/>
              <w:rPr>
                <w:sz w:val="18"/>
              </w:rPr>
            </w:pPr>
          </w:p>
        </w:tc>
        <w:tc>
          <w:tcPr>
            <w:tcW w:w="794" w:type="dxa"/>
            <w:vAlign w:val="bottom"/>
          </w:tcPr>
          <w:p w14:paraId="5D2B22DB" w14:textId="77777777" w:rsidR="0048679D" w:rsidRPr="00A538DD" w:rsidRDefault="0048679D">
            <w:pPr>
              <w:jc w:val="right"/>
              <w:rPr>
                <w:sz w:val="18"/>
              </w:rPr>
            </w:pPr>
          </w:p>
        </w:tc>
        <w:tc>
          <w:tcPr>
            <w:tcW w:w="794" w:type="dxa"/>
            <w:vAlign w:val="bottom"/>
          </w:tcPr>
          <w:p w14:paraId="5AE51668" w14:textId="77777777" w:rsidR="0048679D" w:rsidRPr="00A538DD" w:rsidRDefault="0048679D">
            <w:pPr>
              <w:jc w:val="right"/>
              <w:rPr>
                <w:sz w:val="18"/>
              </w:rPr>
            </w:pPr>
          </w:p>
        </w:tc>
        <w:tc>
          <w:tcPr>
            <w:tcW w:w="794" w:type="dxa"/>
            <w:vAlign w:val="bottom"/>
          </w:tcPr>
          <w:p w14:paraId="21996E5F" w14:textId="77777777" w:rsidR="0048679D" w:rsidRPr="00A538DD" w:rsidRDefault="0048679D">
            <w:pPr>
              <w:jc w:val="right"/>
              <w:rPr>
                <w:sz w:val="18"/>
              </w:rPr>
            </w:pPr>
          </w:p>
        </w:tc>
        <w:tc>
          <w:tcPr>
            <w:tcW w:w="794" w:type="dxa"/>
            <w:vAlign w:val="bottom"/>
          </w:tcPr>
          <w:p w14:paraId="162BFD25" w14:textId="77777777" w:rsidR="0048679D" w:rsidRPr="00A538DD" w:rsidRDefault="0048679D">
            <w:pPr>
              <w:jc w:val="right"/>
              <w:rPr>
                <w:sz w:val="18"/>
              </w:rPr>
            </w:pPr>
          </w:p>
        </w:tc>
      </w:tr>
      <w:tr w:rsidR="00000000" w:rsidRPr="00A538DD" w14:paraId="69CA4010" w14:textId="77777777">
        <w:tblPrEx>
          <w:tblCellMar>
            <w:top w:w="0" w:type="dxa"/>
            <w:bottom w:w="0" w:type="dxa"/>
          </w:tblCellMar>
        </w:tblPrEx>
        <w:trPr>
          <w:cantSplit/>
          <w:trHeight w:val="213"/>
        </w:trPr>
        <w:tc>
          <w:tcPr>
            <w:tcW w:w="1814" w:type="dxa"/>
            <w:tcBorders>
              <w:bottom w:val="single" w:sz="4" w:space="0" w:color="auto"/>
            </w:tcBorders>
          </w:tcPr>
          <w:p w14:paraId="4AD8B9BC" w14:textId="77777777" w:rsidR="0048679D" w:rsidRPr="00A538DD" w:rsidRDefault="0048679D">
            <w:pPr>
              <w:jc w:val="left"/>
              <w:rPr>
                <w:b/>
                <w:sz w:val="18"/>
              </w:rPr>
            </w:pPr>
            <w:r w:rsidRPr="00A538DD">
              <w:rPr>
                <w:b/>
                <w:sz w:val="18"/>
              </w:rPr>
              <w:t>Årets resultat</w:t>
            </w:r>
          </w:p>
        </w:tc>
        <w:tc>
          <w:tcPr>
            <w:tcW w:w="794" w:type="dxa"/>
            <w:tcBorders>
              <w:bottom w:val="single" w:sz="4" w:space="0" w:color="auto"/>
            </w:tcBorders>
            <w:vAlign w:val="bottom"/>
          </w:tcPr>
          <w:p w14:paraId="775A3031" w14:textId="77777777" w:rsidR="0048679D" w:rsidRPr="00A538DD" w:rsidRDefault="0048679D">
            <w:pPr>
              <w:jc w:val="right"/>
              <w:rPr>
                <w:b/>
                <w:sz w:val="18"/>
              </w:rPr>
            </w:pPr>
            <w:r w:rsidRPr="00A538DD">
              <w:rPr>
                <w:b/>
                <w:sz w:val="18"/>
              </w:rPr>
              <w:t>–2 804</w:t>
            </w:r>
          </w:p>
        </w:tc>
        <w:tc>
          <w:tcPr>
            <w:tcW w:w="794" w:type="dxa"/>
            <w:tcBorders>
              <w:bottom w:val="single" w:sz="4" w:space="0" w:color="auto"/>
            </w:tcBorders>
            <w:vAlign w:val="bottom"/>
          </w:tcPr>
          <w:p w14:paraId="59F7D244" w14:textId="77777777" w:rsidR="0048679D" w:rsidRPr="00A538DD" w:rsidRDefault="0048679D">
            <w:pPr>
              <w:jc w:val="right"/>
              <w:rPr>
                <w:b/>
                <w:sz w:val="18"/>
              </w:rPr>
            </w:pPr>
            <w:r w:rsidRPr="00A538DD">
              <w:rPr>
                <w:b/>
                <w:sz w:val="18"/>
              </w:rPr>
              <w:t>–9 280</w:t>
            </w:r>
          </w:p>
        </w:tc>
        <w:tc>
          <w:tcPr>
            <w:tcW w:w="794" w:type="dxa"/>
            <w:tcBorders>
              <w:bottom w:val="single" w:sz="4" w:space="0" w:color="auto"/>
            </w:tcBorders>
            <w:vAlign w:val="bottom"/>
          </w:tcPr>
          <w:p w14:paraId="134A6E52" w14:textId="77777777" w:rsidR="0048679D" w:rsidRPr="00A538DD" w:rsidRDefault="0048679D">
            <w:pPr>
              <w:jc w:val="right"/>
              <w:rPr>
                <w:b/>
                <w:sz w:val="18"/>
              </w:rPr>
            </w:pPr>
            <w:r w:rsidRPr="00A538DD">
              <w:rPr>
                <w:b/>
                <w:sz w:val="18"/>
              </w:rPr>
              <w:t>–71</w:t>
            </w:r>
          </w:p>
        </w:tc>
        <w:tc>
          <w:tcPr>
            <w:tcW w:w="794" w:type="dxa"/>
            <w:tcBorders>
              <w:bottom w:val="single" w:sz="4" w:space="0" w:color="auto"/>
            </w:tcBorders>
            <w:vAlign w:val="bottom"/>
          </w:tcPr>
          <w:p w14:paraId="2976FDAE" w14:textId="77777777" w:rsidR="0048679D" w:rsidRPr="00A538DD" w:rsidRDefault="0048679D">
            <w:pPr>
              <w:jc w:val="right"/>
              <w:rPr>
                <w:b/>
                <w:sz w:val="18"/>
              </w:rPr>
            </w:pPr>
            <w:r w:rsidRPr="00A538DD">
              <w:rPr>
                <w:b/>
                <w:sz w:val="18"/>
              </w:rPr>
              <w:t>19 277</w:t>
            </w:r>
          </w:p>
        </w:tc>
        <w:tc>
          <w:tcPr>
            <w:tcW w:w="794" w:type="dxa"/>
            <w:tcBorders>
              <w:bottom w:val="single" w:sz="4" w:space="0" w:color="auto"/>
            </w:tcBorders>
            <w:vAlign w:val="bottom"/>
          </w:tcPr>
          <w:p w14:paraId="54EED766" w14:textId="77777777" w:rsidR="0048679D" w:rsidRPr="00A538DD" w:rsidRDefault="0048679D">
            <w:pPr>
              <w:jc w:val="right"/>
              <w:rPr>
                <w:b/>
                <w:sz w:val="18"/>
              </w:rPr>
            </w:pPr>
            <w:r w:rsidRPr="00A538DD">
              <w:rPr>
                <w:b/>
                <w:sz w:val="18"/>
              </w:rPr>
              <w:t>20 309</w:t>
            </w:r>
          </w:p>
        </w:tc>
      </w:tr>
    </w:tbl>
    <w:p w14:paraId="0F08A81E" w14:textId="77777777" w:rsidR="0048679D" w:rsidRPr="00A538DD" w:rsidRDefault="0048679D"/>
    <w:p w14:paraId="5A263581" w14:textId="77777777" w:rsidR="0048679D" w:rsidRPr="00A538DD" w:rsidRDefault="0048679D">
      <w:pPr>
        <w:pStyle w:val="Rubrik2"/>
        <w:spacing w:before="0"/>
      </w:pPr>
      <w:bookmarkStart w:id="37" w:name="_Toc97613762"/>
      <w:r w:rsidRPr="00A538DD">
        <w:br w:type="page"/>
        <w:t>Riksbankens bolag</w:t>
      </w:r>
      <w:bookmarkEnd w:id="37"/>
    </w:p>
    <w:p w14:paraId="06DF6EF5" w14:textId="77777777" w:rsidR="0048679D" w:rsidRPr="00A538DD" w:rsidRDefault="0048679D">
      <w:pPr>
        <w:rPr>
          <w:i/>
          <w:sz w:val="21"/>
        </w:rPr>
      </w:pPr>
      <w:r w:rsidRPr="00A538DD">
        <w:rPr>
          <w:i/>
          <w:sz w:val="21"/>
        </w:rPr>
        <w:t>Svensk Kontantförsörjning AB med dotterföretag</w:t>
      </w:r>
    </w:p>
    <w:p w14:paraId="44B05F5B" w14:textId="77777777" w:rsidR="0048679D" w:rsidRPr="00A538DD" w:rsidRDefault="0048679D">
      <w:r w:rsidRPr="00A538DD">
        <w:t>I koncernen ingår utöver Svensk Kontantförsörjning AB (SKAB) dotterbol</w:t>
      </w:r>
      <w:r w:rsidRPr="00A538DD">
        <w:t>a</w:t>
      </w:r>
      <w:r w:rsidRPr="00A538DD">
        <w:t>gen Pengar i Sverige AB, Svenska Kontanthanteringssystem AB, Swedcash AB (vilande) samt Svenska Kontanthanteringsfastigheter AB med två stycken fastighetsförvaltande dotterföretag.</w:t>
      </w:r>
    </w:p>
    <w:p w14:paraId="3D47024C" w14:textId="77777777" w:rsidR="0048679D" w:rsidRPr="00A538DD" w:rsidRDefault="0048679D">
      <w:pPr>
        <w:pStyle w:val="Normaltindrag"/>
      </w:pPr>
      <w:r w:rsidRPr="00A538DD">
        <w:t>Pengar i Sverige AB har under en längre tid varit till försäljning. I februari 2004 träffades en överenskommelse med Securitas Värde AB om överlåtelse av huvuddelen av personalen och tillgångarna. Avtalet prövades av Konku</w:t>
      </w:r>
      <w:r w:rsidRPr="00A538DD">
        <w:t>r</w:t>
      </w:r>
      <w:r w:rsidRPr="00A538DD">
        <w:t xml:space="preserve">rensverket, som i maj månad meddelade att en särskild undersökning av överlåtelsen skulle inledas. Securitas valde då att säga upp avtalet i början av juni. Mot denna bakgrund beslutades att verksamheten i Pengar i Sverige AB skulle avvecklas. Den kvarvarande personalen varslades om uppsägning och tillgångarna i företaget såldes genom ett anbudsförfarande. </w:t>
      </w:r>
    </w:p>
    <w:p w14:paraId="682FE816" w14:textId="77777777" w:rsidR="0048679D" w:rsidRPr="00A538DD" w:rsidRDefault="0048679D">
      <w:pPr>
        <w:pStyle w:val="Normaltindrag"/>
      </w:pPr>
      <w:r w:rsidRPr="00A538DD">
        <w:t>Under augusti beslutade Riksbanken att verksamheten i SKAB skulle öve</w:t>
      </w:r>
      <w:r w:rsidRPr="00A538DD">
        <w:t>r</w:t>
      </w:r>
      <w:r w:rsidRPr="00A538DD">
        <w:t>föras till Riksbanken fr.o.m. den 1 oktober 2004, varefter avveckling av även detta företag påbörjades. Beslut fattades att antalet kontor skulle reduceras från fyra till två stycken, belägna i Tumba och Mölndal. Under en övergång</w:t>
      </w:r>
      <w:r w:rsidRPr="00A538DD">
        <w:t>s</w:t>
      </w:r>
      <w:r w:rsidRPr="00A538DD">
        <w:t>period drivs emellertid även kontoren i Malmö och Härnösand vidare av Riksbanken.</w:t>
      </w:r>
    </w:p>
    <w:p w14:paraId="10E782F7" w14:textId="77777777" w:rsidR="0048679D" w:rsidRPr="00A538DD" w:rsidRDefault="0048679D">
      <w:pPr>
        <w:pStyle w:val="Normaltindrag"/>
      </w:pPr>
      <w:r w:rsidRPr="00A538DD">
        <w:t>Driften av IT-verksamheten för SKAB överfördes från dotterföretaget Svenska Kontanthanteringssystem AB till Riksbanken i juli 2004. Företaget är under avveckling.</w:t>
      </w:r>
    </w:p>
    <w:p w14:paraId="1C97F195" w14:textId="77777777" w:rsidR="0048679D" w:rsidRPr="00A538DD" w:rsidRDefault="0048679D">
      <w:pPr>
        <w:pStyle w:val="Normaltindrag"/>
      </w:pPr>
      <w:r w:rsidRPr="00A538DD">
        <w:t>De två fastighetsförvaltande bolagen med fastigheter i Härnösand och Växjö är under försäljning. Efter genomförd försäljning kommer även Sven</w:t>
      </w:r>
      <w:r w:rsidRPr="00A538DD">
        <w:t>s</w:t>
      </w:r>
      <w:r w:rsidRPr="00A538DD">
        <w:t>ka Kontanthanteringsfastigheter AB att avvecklas.</w:t>
      </w:r>
    </w:p>
    <w:p w14:paraId="0C1BAF48" w14:textId="77777777" w:rsidR="0048679D" w:rsidRPr="00A538DD" w:rsidRDefault="0048679D">
      <w:pPr>
        <w:pStyle w:val="Normaltindrag"/>
      </w:pPr>
      <w:r w:rsidRPr="00A538DD">
        <w:t>SKAB:s kostnader för verksamhetsavvecklingen uppgick under 2004 till netto 185 miljoner kronor, vari inbegrips samtliga kostnader som uppkommit efter beslut om avveckling i respektive bolag. Kostnaderna är främst relater</w:t>
      </w:r>
      <w:r w:rsidRPr="00A538DD">
        <w:t>a</w:t>
      </w:r>
      <w:r w:rsidRPr="00A538DD">
        <w:t>de till uppsägning och pensionering av personal, nedskrivning av anläg</w:t>
      </w:r>
      <w:r w:rsidRPr="00A538DD">
        <w:t>g</w:t>
      </w:r>
      <w:r w:rsidRPr="00A538DD">
        <w:t>ningstillgångar samt förtida uppsägning av kundavtal. Tidigare reserveringar för framtida hyreskostnader för outnyttjade lokalytor har återförts på grund av att vissa lokalhyresavtal överlåtits till externa parter.</w:t>
      </w:r>
    </w:p>
    <w:p w14:paraId="1D2021F1" w14:textId="77777777" w:rsidR="0048679D" w:rsidRPr="00A538DD" w:rsidRDefault="0048679D">
      <w:pPr>
        <w:pStyle w:val="Normaltindrag"/>
      </w:pPr>
      <w:r w:rsidRPr="00A538DD">
        <w:t>Hyresavtalet avseende fastigheten i Svågertorp, Malmö, har den 1 januari 2005 överlåtits från SKAB till Riksbanken.</w:t>
      </w:r>
    </w:p>
    <w:p w14:paraId="74C2EAA5" w14:textId="77777777" w:rsidR="0048679D" w:rsidRPr="00A538DD" w:rsidRDefault="0048679D">
      <w:pPr>
        <w:pStyle w:val="Normaltindrag"/>
      </w:pPr>
      <w:r w:rsidRPr="00A538DD">
        <w:t>Riksbanken har under året lämnat aktieägartillskott på 20 miljoner kronor till SKAB samt utställt en kapitaltäckningsgaranti på 275 miljoner kronor till Pengar i Sverige AB, varav 261 miljoner kronor ianspråktagits.</w:t>
      </w:r>
    </w:p>
    <w:p w14:paraId="74B0C2CF" w14:textId="77777777" w:rsidR="0048679D" w:rsidRPr="00A538DD" w:rsidRDefault="0048679D"/>
    <w:p w14:paraId="3C2E7D9B" w14:textId="77777777" w:rsidR="0048679D" w:rsidRPr="00A538DD" w:rsidRDefault="0048679D"/>
    <w:p w14:paraId="5E956744" w14:textId="77777777" w:rsidR="0048679D" w:rsidRPr="00A538DD" w:rsidRDefault="0048679D"/>
    <w:p w14:paraId="24A7923E" w14:textId="77777777" w:rsidR="0048679D" w:rsidRPr="00A538DD" w:rsidRDefault="0048679D">
      <w:pPr>
        <w:rPr>
          <w:b/>
        </w:rPr>
      </w:pPr>
    </w:p>
    <w:p w14:paraId="4BA215A3" w14:textId="77777777" w:rsidR="0048679D" w:rsidRPr="00A538DD" w:rsidRDefault="0048679D">
      <w:pPr>
        <w:rPr>
          <w:b/>
        </w:rPr>
      </w:pPr>
    </w:p>
    <w:p w14:paraId="2424E223" w14:textId="77777777" w:rsidR="0048679D" w:rsidRPr="00A538DD" w:rsidRDefault="0048679D">
      <w:pPr>
        <w:rPr>
          <w:b/>
        </w:rPr>
      </w:pPr>
      <w:r w:rsidRPr="00A538DD">
        <w:rPr>
          <w:b/>
        </w:rPr>
        <w:t>Resultaträkning (koncernen)</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134"/>
        <w:gridCol w:w="1134"/>
      </w:tblGrid>
      <w:tr w:rsidR="00000000" w:rsidRPr="00A538DD" w14:paraId="48F0EDFA" w14:textId="77777777">
        <w:tblPrEx>
          <w:tblCellMar>
            <w:top w:w="0" w:type="dxa"/>
            <w:bottom w:w="0" w:type="dxa"/>
          </w:tblCellMar>
        </w:tblPrEx>
        <w:tc>
          <w:tcPr>
            <w:tcW w:w="2835" w:type="dxa"/>
            <w:tcBorders>
              <w:top w:val="single" w:sz="4" w:space="0" w:color="auto"/>
              <w:bottom w:val="single" w:sz="4" w:space="0" w:color="auto"/>
            </w:tcBorders>
          </w:tcPr>
          <w:p w14:paraId="36041CFA" w14:textId="77777777" w:rsidR="0048679D" w:rsidRPr="00A538DD" w:rsidRDefault="0048679D">
            <w:r w:rsidRPr="00A538DD">
              <w:t>Belopp i mnkr</w:t>
            </w:r>
          </w:p>
        </w:tc>
        <w:tc>
          <w:tcPr>
            <w:tcW w:w="1134" w:type="dxa"/>
            <w:tcBorders>
              <w:top w:val="single" w:sz="4" w:space="0" w:color="auto"/>
              <w:bottom w:val="single" w:sz="4" w:space="0" w:color="auto"/>
            </w:tcBorders>
          </w:tcPr>
          <w:p w14:paraId="56D86881" w14:textId="77777777" w:rsidR="0048679D" w:rsidRPr="00A538DD" w:rsidRDefault="0048679D">
            <w:pPr>
              <w:jc w:val="right"/>
              <w:rPr>
                <w:b/>
              </w:rPr>
            </w:pPr>
            <w:r w:rsidRPr="00A538DD">
              <w:rPr>
                <w:b/>
              </w:rPr>
              <w:t>2004</w:t>
            </w:r>
          </w:p>
        </w:tc>
        <w:tc>
          <w:tcPr>
            <w:tcW w:w="1134" w:type="dxa"/>
            <w:tcBorders>
              <w:top w:val="single" w:sz="4" w:space="0" w:color="auto"/>
              <w:bottom w:val="single" w:sz="4" w:space="0" w:color="auto"/>
            </w:tcBorders>
          </w:tcPr>
          <w:p w14:paraId="472DF3DB" w14:textId="77777777" w:rsidR="0048679D" w:rsidRPr="00A538DD" w:rsidRDefault="0048679D">
            <w:pPr>
              <w:jc w:val="right"/>
              <w:rPr>
                <w:b/>
              </w:rPr>
            </w:pPr>
            <w:r w:rsidRPr="00A538DD">
              <w:rPr>
                <w:b/>
              </w:rPr>
              <w:t>2003</w:t>
            </w:r>
          </w:p>
        </w:tc>
      </w:tr>
      <w:tr w:rsidR="00000000" w:rsidRPr="00A538DD" w14:paraId="273F9B47" w14:textId="77777777">
        <w:tblPrEx>
          <w:tblCellMar>
            <w:top w:w="0" w:type="dxa"/>
            <w:bottom w:w="0" w:type="dxa"/>
          </w:tblCellMar>
        </w:tblPrEx>
        <w:tc>
          <w:tcPr>
            <w:tcW w:w="2835" w:type="dxa"/>
            <w:tcBorders>
              <w:top w:val="single" w:sz="4" w:space="0" w:color="auto"/>
            </w:tcBorders>
          </w:tcPr>
          <w:p w14:paraId="5DE66C5B" w14:textId="77777777" w:rsidR="0048679D" w:rsidRPr="00A538DD" w:rsidRDefault="0048679D">
            <w:r w:rsidRPr="00A538DD">
              <w:t>Rörelsens intäkter</w:t>
            </w:r>
          </w:p>
        </w:tc>
        <w:tc>
          <w:tcPr>
            <w:tcW w:w="1134" w:type="dxa"/>
          </w:tcPr>
          <w:p w14:paraId="6BD7C569" w14:textId="77777777" w:rsidR="0048679D" w:rsidRPr="00A538DD" w:rsidRDefault="0048679D">
            <w:pPr>
              <w:jc w:val="right"/>
            </w:pPr>
            <w:r w:rsidRPr="00A538DD">
              <w:t>143</w:t>
            </w:r>
          </w:p>
        </w:tc>
        <w:tc>
          <w:tcPr>
            <w:tcW w:w="1134" w:type="dxa"/>
          </w:tcPr>
          <w:p w14:paraId="4FBD2BA1" w14:textId="77777777" w:rsidR="0048679D" w:rsidRPr="00A538DD" w:rsidRDefault="0048679D">
            <w:pPr>
              <w:jc w:val="right"/>
            </w:pPr>
            <w:r w:rsidRPr="00A538DD">
              <w:t>292</w:t>
            </w:r>
          </w:p>
        </w:tc>
      </w:tr>
      <w:tr w:rsidR="00000000" w:rsidRPr="00A538DD" w14:paraId="22C727DF" w14:textId="77777777">
        <w:tblPrEx>
          <w:tblCellMar>
            <w:top w:w="0" w:type="dxa"/>
            <w:bottom w:w="0" w:type="dxa"/>
          </w:tblCellMar>
        </w:tblPrEx>
        <w:tc>
          <w:tcPr>
            <w:tcW w:w="2835" w:type="dxa"/>
          </w:tcPr>
          <w:p w14:paraId="4E34B9D3" w14:textId="77777777" w:rsidR="0048679D" w:rsidRPr="00A538DD" w:rsidRDefault="0048679D">
            <w:r w:rsidRPr="00A538DD">
              <w:t>Rörelsens kostnader</w:t>
            </w:r>
          </w:p>
        </w:tc>
        <w:tc>
          <w:tcPr>
            <w:tcW w:w="1134" w:type="dxa"/>
            <w:tcBorders>
              <w:bottom w:val="single" w:sz="4" w:space="0" w:color="auto"/>
            </w:tcBorders>
          </w:tcPr>
          <w:p w14:paraId="57C9B4FC" w14:textId="77777777" w:rsidR="0048679D" w:rsidRPr="00A538DD" w:rsidRDefault="0048679D">
            <w:pPr>
              <w:jc w:val="right"/>
            </w:pPr>
            <w:r w:rsidRPr="00A538DD">
              <w:rPr>
                <w:b/>
                <w:sz w:val="18"/>
              </w:rPr>
              <w:t>–</w:t>
            </w:r>
            <w:r w:rsidRPr="00A538DD">
              <w:t>413</w:t>
            </w:r>
          </w:p>
        </w:tc>
        <w:tc>
          <w:tcPr>
            <w:tcW w:w="1134" w:type="dxa"/>
            <w:tcBorders>
              <w:bottom w:val="single" w:sz="4" w:space="0" w:color="auto"/>
            </w:tcBorders>
          </w:tcPr>
          <w:p w14:paraId="7030FF83" w14:textId="77777777" w:rsidR="0048679D" w:rsidRPr="00A538DD" w:rsidRDefault="0048679D">
            <w:pPr>
              <w:jc w:val="right"/>
            </w:pPr>
            <w:r w:rsidRPr="00A538DD">
              <w:rPr>
                <w:b/>
                <w:sz w:val="18"/>
              </w:rPr>
              <w:t>–</w:t>
            </w:r>
            <w:r w:rsidRPr="00A538DD">
              <w:t>688*</w:t>
            </w:r>
          </w:p>
        </w:tc>
      </w:tr>
      <w:tr w:rsidR="00000000" w:rsidRPr="00A538DD" w14:paraId="3D58B933" w14:textId="77777777">
        <w:tblPrEx>
          <w:tblCellMar>
            <w:top w:w="0" w:type="dxa"/>
            <w:bottom w:w="0" w:type="dxa"/>
          </w:tblCellMar>
        </w:tblPrEx>
        <w:tc>
          <w:tcPr>
            <w:tcW w:w="2835" w:type="dxa"/>
          </w:tcPr>
          <w:p w14:paraId="4D51636A" w14:textId="77777777" w:rsidR="0048679D" w:rsidRPr="00A538DD" w:rsidRDefault="0048679D">
            <w:r w:rsidRPr="00A538DD">
              <w:t>Rörelseresultat</w:t>
            </w:r>
          </w:p>
        </w:tc>
        <w:tc>
          <w:tcPr>
            <w:tcW w:w="1134" w:type="dxa"/>
          </w:tcPr>
          <w:p w14:paraId="465FA556" w14:textId="77777777" w:rsidR="0048679D" w:rsidRPr="00A538DD" w:rsidRDefault="0048679D">
            <w:pPr>
              <w:jc w:val="right"/>
            </w:pPr>
            <w:r w:rsidRPr="00A538DD">
              <w:rPr>
                <w:b/>
                <w:sz w:val="18"/>
              </w:rPr>
              <w:t>–</w:t>
            </w:r>
            <w:r w:rsidRPr="00A538DD">
              <w:t>270</w:t>
            </w:r>
          </w:p>
        </w:tc>
        <w:tc>
          <w:tcPr>
            <w:tcW w:w="1134" w:type="dxa"/>
          </w:tcPr>
          <w:p w14:paraId="5E56A730" w14:textId="77777777" w:rsidR="0048679D" w:rsidRPr="00A538DD" w:rsidRDefault="0048679D">
            <w:pPr>
              <w:jc w:val="right"/>
            </w:pPr>
            <w:r w:rsidRPr="00A538DD">
              <w:rPr>
                <w:b/>
                <w:sz w:val="18"/>
              </w:rPr>
              <w:t>–</w:t>
            </w:r>
            <w:r w:rsidRPr="00A538DD">
              <w:t>396*</w:t>
            </w:r>
          </w:p>
        </w:tc>
      </w:tr>
      <w:tr w:rsidR="00000000" w:rsidRPr="00A538DD" w14:paraId="7DF87F0D" w14:textId="77777777">
        <w:tblPrEx>
          <w:tblCellMar>
            <w:top w:w="0" w:type="dxa"/>
            <w:bottom w:w="0" w:type="dxa"/>
          </w:tblCellMar>
        </w:tblPrEx>
        <w:tc>
          <w:tcPr>
            <w:tcW w:w="2835" w:type="dxa"/>
          </w:tcPr>
          <w:p w14:paraId="0FC5AE6D" w14:textId="77777777" w:rsidR="0048679D" w:rsidRPr="00A538DD" w:rsidRDefault="0048679D">
            <w:r w:rsidRPr="00A538DD">
              <w:t>Finansiella poster</w:t>
            </w:r>
          </w:p>
        </w:tc>
        <w:tc>
          <w:tcPr>
            <w:tcW w:w="1134" w:type="dxa"/>
            <w:tcBorders>
              <w:bottom w:val="single" w:sz="4" w:space="0" w:color="auto"/>
            </w:tcBorders>
          </w:tcPr>
          <w:p w14:paraId="2DC1375B" w14:textId="77777777" w:rsidR="0048679D" w:rsidRPr="00A538DD" w:rsidRDefault="0048679D">
            <w:pPr>
              <w:jc w:val="right"/>
            </w:pPr>
            <w:r w:rsidRPr="00A538DD">
              <w:rPr>
                <w:b/>
                <w:sz w:val="18"/>
              </w:rPr>
              <w:t>–</w:t>
            </w:r>
            <w:r w:rsidRPr="00A538DD">
              <w:t>9</w:t>
            </w:r>
          </w:p>
        </w:tc>
        <w:tc>
          <w:tcPr>
            <w:tcW w:w="1134" w:type="dxa"/>
            <w:tcBorders>
              <w:bottom w:val="single" w:sz="4" w:space="0" w:color="auto"/>
            </w:tcBorders>
          </w:tcPr>
          <w:p w14:paraId="68757AE5" w14:textId="77777777" w:rsidR="0048679D" w:rsidRPr="00A538DD" w:rsidRDefault="0048679D">
            <w:pPr>
              <w:jc w:val="right"/>
            </w:pPr>
            <w:r w:rsidRPr="00A538DD">
              <w:rPr>
                <w:b/>
                <w:sz w:val="18"/>
              </w:rPr>
              <w:t>–</w:t>
            </w:r>
            <w:r w:rsidRPr="00A538DD">
              <w:t>23</w:t>
            </w:r>
          </w:p>
        </w:tc>
      </w:tr>
      <w:tr w:rsidR="00000000" w:rsidRPr="00A538DD" w14:paraId="78BDBB14" w14:textId="77777777">
        <w:tblPrEx>
          <w:tblCellMar>
            <w:top w:w="0" w:type="dxa"/>
            <w:bottom w:w="0" w:type="dxa"/>
          </w:tblCellMar>
        </w:tblPrEx>
        <w:tc>
          <w:tcPr>
            <w:tcW w:w="2835" w:type="dxa"/>
          </w:tcPr>
          <w:p w14:paraId="412F0A16" w14:textId="77777777" w:rsidR="0048679D" w:rsidRPr="00A538DD" w:rsidRDefault="0048679D">
            <w:r w:rsidRPr="00A538DD">
              <w:t>Resultat efter finansiella poster</w:t>
            </w:r>
          </w:p>
        </w:tc>
        <w:tc>
          <w:tcPr>
            <w:tcW w:w="1134" w:type="dxa"/>
          </w:tcPr>
          <w:p w14:paraId="44A2CB47" w14:textId="77777777" w:rsidR="0048679D" w:rsidRPr="00A538DD" w:rsidRDefault="0048679D">
            <w:pPr>
              <w:jc w:val="right"/>
            </w:pPr>
            <w:r w:rsidRPr="00A538DD">
              <w:rPr>
                <w:b/>
                <w:sz w:val="18"/>
              </w:rPr>
              <w:t>–</w:t>
            </w:r>
            <w:r w:rsidRPr="00A538DD">
              <w:t>279</w:t>
            </w:r>
          </w:p>
        </w:tc>
        <w:tc>
          <w:tcPr>
            <w:tcW w:w="1134" w:type="dxa"/>
          </w:tcPr>
          <w:p w14:paraId="345D421A" w14:textId="77777777" w:rsidR="0048679D" w:rsidRPr="00A538DD" w:rsidRDefault="0048679D">
            <w:pPr>
              <w:jc w:val="right"/>
            </w:pPr>
            <w:r w:rsidRPr="00A538DD">
              <w:rPr>
                <w:b/>
                <w:sz w:val="18"/>
              </w:rPr>
              <w:t>–</w:t>
            </w:r>
            <w:r w:rsidRPr="00A538DD">
              <w:t>419*</w:t>
            </w:r>
          </w:p>
        </w:tc>
      </w:tr>
      <w:tr w:rsidR="00000000" w:rsidRPr="00A538DD" w14:paraId="2A05F6EF" w14:textId="77777777">
        <w:tblPrEx>
          <w:tblCellMar>
            <w:top w:w="0" w:type="dxa"/>
            <w:bottom w:w="0" w:type="dxa"/>
          </w:tblCellMar>
        </w:tblPrEx>
        <w:tc>
          <w:tcPr>
            <w:tcW w:w="2835" w:type="dxa"/>
          </w:tcPr>
          <w:p w14:paraId="21BEF417" w14:textId="77777777" w:rsidR="0048679D" w:rsidRPr="00A538DD" w:rsidRDefault="0048679D">
            <w:r w:rsidRPr="00A538DD">
              <w:t>Skatt på årets resultat</w:t>
            </w:r>
          </w:p>
        </w:tc>
        <w:tc>
          <w:tcPr>
            <w:tcW w:w="1134" w:type="dxa"/>
            <w:tcBorders>
              <w:bottom w:val="single" w:sz="4" w:space="0" w:color="auto"/>
            </w:tcBorders>
          </w:tcPr>
          <w:p w14:paraId="35A6D9B8" w14:textId="77777777" w:rsidR="0048679D" w:rsidRPr="00A538DD" w:rsidRDefault="0048679D">
            <w:pPr>
              <w:jc w:val="right"/>
            </w:pPr>
            <w:r w:rsidRPr="00A538DD">
              <w:rPr>
                <w:b/>
                <w:sz w:val="18"/>
              </w:rPr>
              <w:t>–</w:t>
            </w:r>
          </w:p>
        </w:tc>
        <w:tc>
          <w:tcPr>
            <w:tcW w:w="1134" w:type="dxa"/>
            <w:tcBorders>
              <w:bottom w:val="single" w:sz="4" w:space="0" w:color="auto"/>
            </w:tcBorders>
          </w:tcPr>
          <w:p w14:paraId="5CFB26A2" w14:textId="77777777" w:rsidR="0048679D" w:rsidRPr="00A538DD" w:rsidRDefault="0048679D">
            <w:pPr>
              <w:jc w:val="right"/>
            </w:pPr>
            <w:r w:rsidRPr="00A538DD">
              <w:rPr>
                <w:b/>
                <w:sz w:val="18"/>
              </w:rPr>
              <w:t>–</w:t>
            </w:r>
          </w:p>
        </w:tc>
      </w:tr>
      <w:tr w:rsidR="00000000" w:rsidRPr="00A538DD" w14:paraId="71F1EECA" w14:textId="77777777">
        <w:tblPrEx>
          <w:tblCellMar>
            <w:top w:w="0" w:type="dxa"/>
            <w:bottom w:w="0" w:type="dxa"/>
          </w:tblCellMar>
        </w:tblPrEx>
        <w:tc>
          <w:tcPr>
            <w:tcW w:w="2835" w:type="dxa"/>
            <w:tcBorders>
              <w:bottom w:val="single" w:sz="4" w:space="0" w:color="auto"/>
            </w:tcBorders>
          </w:tcPr>
          <w:p w14:paraId="41DEFFBF" w14:textId="77777777" w:rsidR="0048679D" w:rsidRPr="00A538DD" w:rsidRDefault="0048679D">
            <w:pPr>
              <w:rPr>
                <w:b/>
              </w:rPr>
            </w:pPr>
            <w:r w:rsidRPr="00A538DD">
              <w:rPr>
                <w:b/>
              </w:rPr>
              <w:t>Årets resultat</w:t>
            </w:r>
          </w:p>
        </w:tc>
        <w:tc>
          <w:tcPr>
            <w:tcW w:w="1134" w:type="dxa"/>
            <w:tcBorders>
              <w:top w:val="single" w:sz="4" w:space="0" w:color="auto"/>
              <w:bottom w:val="single" w:sz="4" w:space="0" w:color="auto"/>
            </w:tcBorders>
          </w:tcPr>
          <w:p w14:paraId="230622D2" w14:textId="77777777" w:rsidR="0048679D" w:rsidRPr="00A538DD" w:rsidRDefault="0048679D">
            <w:pPr>
              <w:jc w:val="right"/>
              <w:rPr>
                <w:b/>
              </w:rPr>
            </w:pPr>
            <w:r w:rsidRPr="00A538DD">
              <w:rPr>
                <w:b/>
              </w:rPr>
              <w:t>–279</w:t>
            </w:r>
          </w:p>
        </w:tc>
        <w:tc>
          <w:tcPr>
            <w:tcW w:w="1134" w:type="dxa"/>
            <w:tcBorders>
              <w:top w:val="single" w:sz="4" w:space="0" w:color="auto"/>
              <w:bottom w:val="single" w:sz="4" w:space="0" w:color="auto"/>
            </w:tcBorders>
          </w:tcPr>
          <w:p w14:paraId="3D72A35D" w14:textId="77777777" w:rsidR="0048679D" w:rsidRPr="00A538DD" w:rsidRDefault="0048679D">
            <w:pPr>
              <w:jc w:val="right"/>
              <w:rPr>
                <w:b/>
              </w:rPr>
            </w:pPr>
            <w:r w:rsidRPr="00A538DD">
              <w:rPr>
                <w:b/>
              </w:rPr>
              <w:t>–419*</w:t>
            </w:r>
          </w:p>
        </w:tc>
      </w:tr>
    </w:tbl>
    <w:p w14:paraId="6962AA93" w14:textId="77777777" w:rsidR="0048679D" w:rsidRPr="00A538DD" w:rsidRDefault="0048679D"/>
    <w:p w14:paraId="0936B886" w14:textId="77777777" w:rsidR="0048679D" w:rsidRPr="00A538DD" w:rsidRDefault="0048679D">
      <w:pPr>
        <w:rPr>
          <w:b/>
        </w:rPr>
      </w:pPr>
      <w:r w:rsidRPr="00A538DD">
        <w:rPr>
          <w:b/>
        </w:rPr>
        <w:t>Balansräkning (koncernen)</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134"/>
        <w:gridCol w:w="1134"/>
      </w:tblGrid>
      <w:tr w:rsidR="00000000" w:rsidRPr="00A538DD" w14:paraId="52CC731C" w14:textId="77777777">
        <w:tblPrEx>
          <w:tblCellMar>
            <w:top w:w="0" w:type="dxa"/>
            <w:bottom w:w="0" w:type="dxa"/>
          </w:tblCellMar>
        </w:tblPrEx>
        <w:tc>
          <w:tcPr>
            <w:tcW w:w="2835" w:type="dxa"/>
            <w:tcBorders>
              <w:top w:val="single" w:sz="4" w:space="0" w:color="auto"/>
              <w:bottom w:val="single" w:sz="4" w:space="0" w:color="auto"/>
            </w:tcBorders>
          </w:tcPr>
          <w:p w14:paraId="1351AE78" w14:textId="77777777" w:rsidR="0048679D" w:rsidRPr="00A538DD" w:rsidRDefault="0048679D">
            <w:r w:rsidRPr="00A538DD">
              <w:t>Belopp i mnkr</w:t>
            </w:r>
          </w:p>
        </w:tc>
        <w:tc>
          <w:tcPr>
            <w:tcW w:w="1134" w:type="dxa"/>
            <w:tcBorders>
              <w:top w:val="single" w:sz="4" w:space="0" w:color="auto"/>
              <w:bottom w:val="single" w:sz="4" w:space="0" w:color="auto"/>
            </w:tcBorders>
          </w:tcPr>
          <w:p w14:paraId="3F9EF781" w14:textId="77777777" w:rsidR="0048679D" w:rsidRPr="00A538DD" w:rsidRDefault="0048679D">
            <w:pPr>
              <w:jc w:val="right"/>
              <w:rPr>
                <w:b/>
              </w:rPr>
            </w:pPr>
            <w:r w:rsidRPr="00A538DD">
              <w:rPr>
                <w:b/>
              </w:rPr>
              <w:t>2004-12-31</w:t>
            </w:r>
          </w:p>
        </w:tc>
        <w:tc>
          <w:tcPr>
            <w:tcW w:w="1134" w:type="dxa"/>
            <w:tcBorders>
              <w:top w:val="single" w:sz="4" w:space="0" w:color="auto"/>
              <w:bottom w:val="single" w:sz="4" w:space="0" w:color="auto"/>
            </w:tcBorders>
          </w:tcPr>
          <w:p w14:paraId="5089D565" w14:textId="77777777" w:rsidR="0048679D" w:rsidRPr="00A538DD" w:rsidRDefault="0048679D">
            <w:pPr>
              <w:jc w:val="right"/>
              <w:rPr>
                <w:b/>
              </w:rPr>
            </w:pPr>
            <w:r w:rsidRPr="00A538DD">
              <w:rPr>
                <w:b/>
              </w:rPr>
              <w:t>2003-12-31</w:t>
            </w:r>
          </w:p>
        </w:tc>
      </w:tr>
      <w:tr w:rsidR="00000000" w:rsidRPr="00A538DD" w14:paraId="1CC0AD01" w14:textId="77777777">
        <w:tblPrEx>
          <w:tblCellMar>
            <w:top w:w="0" w:type="dxa"/>
            <w:bottom w:w="0" w:type="dxa"/>
          </w:tblCellMar>
        </w:tblPrEx>
        <w:tc>
          <w:tcPr>
            <w:tcW w:w="2835" w:type="dxa"/>
            <w:tcBorders>
              <w:top w:val="single" w:sz="4" w:space="0" w:color="auto"/>
            </w:tcBorders>
          </w:tcPr>
          <w:p w14:paraId="0868D6D6" w14:textId="77777777" w:rsidR="0048679D" w:rsidRPr="00A538DD" w:rsidRDefault="0048679D">
            <w:r w:rsidRPr="00A538DD">
              <w:t>Anläggningstillgångar</w:t>
            </w:r>
          </w:p>
        </w:tc>
        <w:tc>
          <w:tcPr>
            <w:tcW w:w="1134" w:type="dxa"/>
          </w:tcPr>
          <w:p w14:paraId="3906852B" w14:textId="77777777" w:rsidR="0048679D" w:rsidRPr="00A538DD" w:rsidRDefault="0048679D">
            <w:pPr>
              <w:jc w:val="right"/>
            </w:pPr>
            <w:r w:rsidRPr="00A538DD">
              <w:t>29</w:t>
            </w:r>
          </w:p>
        </w:tc>
        <w:tc>
          <w:tcPr>
            <w:tcW w:w="1134" w:type="dxa"/>
          </w:tcPr>
          <w:p w14:paraId="4A2F89A7" w14:textId="77777777" w:rsidR="0048679D" w:rsidRPr="00A538DD" w:rsidRDefault="0048679D">
            <w:pPr>
              <w:jc w:val="right"/>
            </w:pPr>
            <w:r w:rsidRPr="00A538DD">
              <w:t>176</w:t>
            </w:r>
          </w:p>
        </w:tc>
      </w:tr>
      <w:tr w:rsidR="00000000" w:rsidRPr="00A538DD" w14:paraId="5446DCBB" w14:textId="77777777">
        <w:tblPrEx>
          <w:tblCellMar>
            <w:top w:w="0" w:type="dxa"/>
            <w:bottom w:w="0" w:type="dxa"/>
          </w:tblCellMar>
        </w:tblPrEx>
        <w:tc>
          <w:tcPr>
            <w:tcW w:w="2835" w:type="dxa"/>
          </w:tcPr>
          <w:p w14:paraId="26B9B0F8" w14:textId="77777777" w:rsidR="0048679D" w:rsidRPr="00A538DD" w:rsidRDefault="0048679D">
            <w:r w:rsidRPr="00A538DD">
              <w:t>Omsättningstillgångar</w:t>
            </w:r>
          </w:p>
        </w:tc>
        <w:tc>
          <w:tcPr>
            <w:tcW w:w="1134" w:type="dxa"/>
            <w:tcBorders>
              <w:bottom w:val="single" w:sz="4" w:space="0" w:color="auto"/>
            </w:tcBorders>
          </w:tcPr>
          <w:p w14:paraId="3CC6D703" w14:textId="77777777" w:rsidR="0048679D" w:rsidRPr="00A538DD" w:rsidRDefault="0048679D">
            <w:pPr>
              <w:jc w:val="right"/>
            </w:pPr>
            <w:r w:rsidRPr="00A538DD">
              <w:t>111</w:t>
            </w:r>
          </w:p>
        </w:tc>
        <w:tc>
          <w:tcPr>
            <w:tcW w:w="1134" w:type="dxa"/>
            <w:tcBorders>
              <w:bottom w:val="single" w:sz="4" w:space="0" w:color="auto"/>
            </w:tcBorders>
          </w:tcPr>
          <w:p w14:paraId="33335B6B" w14:textId="77777777" w:rsidR="0048679D" w:rsidRPr="00A538DD" w:rsidRDefault="0048679D">
            <w:pPr>
              <w:jc w:val="right"/>
            </w:pPr>
            <w:r w:rsidRPr="00A538DD">
              <w:t>524</w:t>
            </w:r>
          </w:p>
        </w:tc>
      </w:tr>
      <w:tr w:rsidR="00000000" w:rsidRPr="00A538DD" w14:paraId="5B544EF7" w14:textId="77777777">
        <w:tblPrEx>
          <w:tblCellMar>
            <w:top w:w="0" w:type="dxa"/>
            <w:bottom w:w="0" w:type="dxa"/>
          </w:tblCellMar>
        </w:tblPrEx>
        <w:tc>
          <w:tcPr>
            <w:tcW w:w="2835" w:type="dxa"/>
          </w:tcPr>
          <w:p w14:paraId="3D8EC900" w14:textId="77777777" w:rsidR="0048679D" w:rsidRPr="00A538DD" w:rsidRDefault="0048679D">
            <w:pPr>
              <w:rPr>
                <w:b/>
              </w:rPr>
            </w:pPr>
            <w:r w:rsidRPr="00A538DD">
              <w:rPr>
                <w:b/>
              </w:rPr>
              <w:t>Summa tillgångar</w:t>
            </w:r>
          </w:p>
        </w:tc>
        <w:tc>
          <w:tcPr>
            <w:tcW w:w="1134" w:type="dxa"/>
          </w:tcPr>
          <w:p w14:paraId="29C1E163" w14:textId="77777777" w:rsidR="0048679D" w:rsidRPr="00A538DD" w:rsidRDefault="0048679D">
            <w:pPr>
              <w:jc w:val="right"/>
              <w:rPr>
                <w:b/>
              </w:rPr>
            </w:pPr>
            <w:r w:rsidRPr="00A538DD">
              <w:rPr>
                <w:b/>
              </w:rPr>
              <w:t>140</w:t>
            </w:r>
          </w:p>
        </w:tc>
        <w:tc>
          <w:tcPr>
            <w:tcW w:w="1134" w:type="dxa"/>
          </w:tcPr>
          <w:p w14:paraId="0DF06B62" w14:textId="77777777" w:rsidR="0048679D" w:rsidRPr="00A538DD" w:rsidRDefault="0048679D">
            <w:pPr>
              <w:jc w:val="right"/>
              <w:rPr>
                <w:b/>
              </w:rPr>
            </w:pPr>
            <w:r w:rsidRPr="00A538DD">
              <w:rPr>
                <w:b/>
              </w:rPr>
              <w:t>700</w:t>
            </w:r>
          </w:p>
        </w:tc>
      </w:tr>
      <w:tr w:rsidR="00000000" w:rsidRPr="00A538DD" w14:paraId="3745007E" w14:textId="77777777">
        <w:tblPrEx>
          <w:tblCellMar>
            <w:top w:w="0" w:type="dxa"/>
            <w:bottom w:w="0" w:type="dxa"/>
          </w:tblCellMar>
        </w:tblPrEx>
        <w:tc>
          <w:tcPr>
            <w:tcW w:w="2835" w:type="dxa"/>
          </w:tcPr>
          <w:p w14:paraId="4C6634B1" w14:textId="77777777" w:rsidR="0048679D" w:rsidRPr="00A538DD" w:rsidRDefault="0048679D"/>
        </w:tc>
        <w:tc>
          <w:tcPr>
            <w:tcW w:w="1134" w:type="dxa"/>
          </w:tcPr>
          <w:p w14:paraId="080057C6" w14:textId="77777777" w:rsidR="0048679D" w:rsidRPr="00A538DD" w:rsidRDefault="0048679D">
            <w:pPr>
              <w:jc w:val="right"/>
            </w:pPr>
          </w:p>
        </w:tc>
        <w:tc>
          <w:tcPr>
            <w:tcW w:w="1134" w:type="dxa"/>
          </w:tcPr>
          <w:p w14:paraId="103408DF" w14:textId="77777777" w:rsidR="0048679D" w:rsidRPr="00A538DD" w:rsidRDefault="0048679D">
            <w:pPr>
              <w:jc w:val="right"/>
            </w:pPr>
          </w:p>
        </w:tc>
      </w:tr>
      <w:tr w:rsidR="00000000" w:rsidRPr="00A538DD" w14:paraId="392A781A" w14:textId="77777777">
        <w:tblPrEx>
          <w:tblCellMar>
            <w:top w:w="0" w:type="dxa"/>
            <w:bottom w:w="0" w:type="dxa"/>
          </w:tblCellMar>
        </w:tblPrEx>
        <w:tc>
          <w:tcPr>
            <w:tcW w:w="2835" w:type="dxa"/>
          </w:tcPr>
          <w:p w14:paraId="6D30C56D" w14:textId="77777777" w:rsidR="0048679D" w:rsidRPr="00A538DD" w:rsidRDefault="0048679D">
            <w:r w:rsidRPr="00A538DD">
              <w:t>Eget kapital</w:t>
            </w:r>
          </w:p>
        </w:tc>
        <w:tc>
          <w:tcPr>
            <w:tcW w:w="1134" w:type="dxa"/>
          </w:tcPr>
          <w:p w14:paraId="0312D6C5" w14:textId="77777777" w:rsidR="0048679D" w:rsidRPr="00A538DD" w:rsidRDefault="0048679D">
            <w:pPr>
              <w:jc w:val="right"/>
            </w:pPr>
            <w:r w:rsidRPr="00A538DD">
              <w:t>68</w:t>
            </w:r>
          </w:p>
        </w:tc>
        <w:tc>
          <w:tcPr>
            <w:tcW w:w="1134" w:type="dxa"/>
          </w:tcPr>
          <w:p w14:paraId="04C5F3E6" w14:textId="77777777" w:rsidR="0048679D" w:rsidRPr="00A538DD" w:rsidRDefault="0048679D">
            <w:pPr>
              <w:jc w:val="right"/>
            </w:pPr>
            <w:r w:rsidRPr="00A538DD">
              <w:t>66*</w:t>
            </w:r>
          </w:p>
        </w:tc>
      </w:tr>
      <w:tr w:rsidR="00000000" w:rsidRPr="00A538DD" w14:paraId="788100A1" w14:textId="77777777">
        <w:tblPrEx>
          <w:tblCellMar>
            <w:top w:w="0" w:type="dxa"/>
            <w:bottom w:w="0" w:type="dxa"/>
          </w:tblCellMar>
        </w:tblPrEx>
        <w:tc>
          <w:tcPr>
            <w:tcW w:w="2835" w:type="dxa"/>
          </w:tcPr>
          <w:p w14:paraId="2D4E5B19" w14:textId="77777777" w:rsidR="0048679D" w:rsidRPr="00A538DD" w:rsidRDefault="0048679D">
            <w:r w:rsidRPr="00A538DD">
              <w:t>Avsättningar</w:t>
            </w:r>
          </w:p>
        </w:tc>
        <w:tc>
          <w:tcPr>
            <w:tcW w:w="1134" w:type="dxa"/>
          </w:tcPr>
          <w:p w14:paraId="32099A96" w14:textId="77777777" w:rsidR="0048679D" w:rsidRPr="00A538DD" w:rsidRDefault="0048679D">
            <w:pPr>
              <w:jc w:val="right"/>
            </w:pPr>
            <w:r w:rsidRPr="00A538DD">
              <w:t>42</w:t>
            </w:r>
          </w:p>
        </w:tc>
        <w:tc>
          <w:tcPr>
            <w:tcW w:w="1134" w:type="dxa"/>
          </w:tcPr>
          <w:p w14:paraId="357C316D" w14:textId="77777777" w:rsidR="0048679D" w:rsidRPr="00A538DD" w:rsidRDefault="0048679D">
            <w:pPr>
              <w:jc w:val="right"/>
            </w:pPr>
            <w:r w:rsidRPr="00A538DD">
              <w:t>94*</w:t>
            </w:r>
          </w:p>
        </w:tc>
      </w:tr>
      <w:tr w:rsidR="00000000" w:rsidRPr="00A538DD" w14:paraId="7CEF6694" w14:textId="77777777">
        <w:tblPrEx>
          <w:tblCellMar>
            <w:top w:w="0" w:type="dxa"/>
            <w:bottom w:w="0" w:type="dxa"/>
          </w:tblCellMar>
        </w:tblPrEx>
        <w:tc>
          <w:tcPr>
            <w:tcW w:w="2835" w:type="dxa"/>
          </w:tcPr>
          <w:p w14:paraId="08021F1F" w14:textId="77777777" w:rsidR="0048679D" w:rsidRPr="00A538DD" w:rsidRDefault="0048679D">
            <w:r w:rsidRPr="00A538DD">
              <w:t>Kortfristiga skulder</w:t>
            </w:r>
          </w:p>
        </w:tc>
        <w:tc>
          <w:tcPr>
            <w:tcW w:w="1134" w:type="dxa"/>
            <w:tcBorders>
              <w:bottom w:val="single" w:sz="4" w:space="0" w:color="auto"/>
            </w:tcBorders>
          </w:tcPr>
          <w:p w14:paraId="54709AD6" w14:textId="77777777" w:rsidR="0048679D" w:rsidRPr="00A538DD" w:rsidRDefault="0048679D">
            <w:pPr>
              <w:jc w:val="right"/>
            </w:pPr>
            <w:r w:rsidRPr="00A538DD">
              <w:t>30</w:t>
            </w:r>
          </w:p>
        </w:tc>
        <w:tc>
          <w:tcPr>
            <w:tcW w:w="1134" w:type="dxa"/>
            <w:tcBorders>
              <w:bottom w:val="single" w:sz="4" w:space="0" w:color="auto"/>
            </w:tcBorders>
          </w:tcPr>
          <w:p w14:paraId="7EF0F4E1" w14:textId="77777777" w:rsidR="0048679D" w:rsidRPr="00A538DD" w:rsidRDefault="0048679D">
            <w:pPr>
              <w:jc w:val="right"/>
            </w:pPr>
            <w:r w:rsidRPr="00A538DD">
              <w:t>540</w:t>
            </w:r>
          </w:p>
        </w:tc>
      </w:tr>
      <w:tr w:rsidR="00000000" w:rsidRPr="00A538DD" w14:paraId="1B2685F2" w14:textId="77777777">
        <w:tblPrEx>
          <w:tblCellMar>
            <w:top w:w="0" w:type="dxa"/>
            <w:bottom w:w="0" w:type="dxa"/>
          </w:tblCellMar>
        </w:tblPrEx>
        <w:tc>
          <w:tcPr>
            <w:tcW w:w="2835" w:type="dxa"/>
            <w:tcBorders>
              <w:bottom w:val="single" w:sz="4" w:space="0" w:color="auto"/>
            </w:tcBorders>
          </w:tcPr>
          <w:p w14:paraId="073F2BF0" w14:textId="77777777" w:rsidR="0048679D" w:rsidRPr="00A538DD" w:rsidRDefault="0048679D">
            <w:pPr>
              <w:rPr>
                <w:b/>
              </w:rPr>
            </w:pPr>
            <w:r w:rsidRPr="00A538DD">
              <w:rPr>
                <w:b/>
              </w:rPr>
              <w:t>Summa eget kapital och skulder</w:t>
            </w:r>
          </w:p>
        </w:tc>
        <w:tc>
          <w:tcPr>
            <w:tcW w:w="1134" w:type="dxa"/>
            <w:tcBorders>
              <w:bottom w:val="single" w:sz="4" w:space="0" w:color="auto"/>
            </w:tcBorders>
          </w:tcPr>
          <w:p w14:paraId="1D854685" w14:textId="77777777" w:rsidR="0048679D" w:rsidRPr="00A538DD" w:rsidRDefault="0048679D">
            <w:pPr>
              <w:jc w:val="right"/>
              <w:rPr>
                <w:b/>
              </w:rPr>
            </w:pPr>
            <w:r w:rsidRPr="00A538DD">
              <w:rPr>
                <w:b/>
              </w:rPr>
              <w:t>140</w:t>
            </w:r>
          </w:p>
        </w:tc>
        <w:tc>
          <w:tcPr>
            <w:tcW w:w="1134" w:type="dxa"/>
            <w:tcBorders>
              <w:bottom w:val="single" w:sz="4" w:space="0" w:color="auto"/>
            </w:tcBorders>
          </w:tcPr>
          <w:p w14:paraId="1CEF15DD" w14:textId="77777777" w:rsidR="0048679D" w:rsidRPr="00A538DD" w:rsidRDefault="0048679D">
            <w:pPr>
              <w:jc w:val="right"/>
              <w:rPr>
                <w:b/>
              </w:rPr>
            </w:pPr>
            <w:r w:rsidRPr="00A538DD">
              <w:rPr>
                <w:b/>
              </w:rPr>
              <w:t>700</w:t>
            </w:r>
          </w:p>
        </w:tc>
      </w:tr>
    </w:tbl>
    <w:p w14:paraId="2FED5368" w14:textId="77777777" w:rsidR="0048679D" w:rsidRPr="00A538DD" w:rsidRDefault="0048679D">
      <w:pPr>
        <w:rPr>
          <w:sz w:val="16"/>
        </w:rPr>
      </w:pPr>
      <w:r w:rsidRPr="00A538DD">
        <w:rPr>
          <w:sz w:val="16"/>
        </w:rPr>
        <w:t>*) Posterna har ändrats i enlighet med fastställd årsredovisning.</w:t>
      </w:r>
    </w:p>
    <w:p w14:paraId="3EA582FD" w14:textId="77777777" w:rsidR="0048679D" w:rsidRPr="00A538DD" w:rsidRDefault="0048679D"/>
    <w:p w14:paraId="6E9F0550" w14:textId="77777777" w:rsidR="0048679D" w:rsidRPr="00A538DD" w:rsidRDefault="0048679D">
      <w:r w:rsidRPr="00A538DD">
        <w:rPr>
          <w:b/>
        </w:rPr>
        <w:t xml:space="preserve">Styrelse </w:t>
      </w:r>
      <w:r w:rsidRPr="00A538DD">
        <w:t xml:space="preserve">(moderbolaget) </w:t>
      </w:r>
    </w:p>
    <w:p w14:paraId="659BD35C" w14:textId="77777777" w:rsidR="0048679D" w:rsidRPr="00A538DD" w:rsidRDefault="0048679D">
      <w:pPr>
        <w:pStyle w:val="Deltagare"/>
        <w:keepLines w:val="0"/>
        <w:spacing w:before="0" w:line="240" w:lineRule="exact"/>
        <w:rPr>
          <w:noProof w:val="0"/>
        </w:rPr>
      </w:pPr>
      <w:r w:rsidRPr="00A538DD">
        <w:rPr>
          <w:noProof w:val="0"/>
        </w:rPr>
        <w:t>Björn Hasselgren, ordförande</w:t>
      </w:r>
    </w:p>
    <w:p w14:paraId="26084FA8" w14:textId="77777777" w:rsidR="0048679D" w:rsidRPr="00A538DD" w:rsidRDefault="0048679D">
      <w:pPr>
        <w:pStyle w:val="Deltagare"/>
        <w:keepLines w:val="0"/>
        <w:spacing w:before="0" w:line="240" w:lineRule="exact"/>
        <w:rPr>
          <w:noProof w:val="0"/>
        </w:rPr>
      </w:pPr>
      <w:r w:rsidRPr="00A538DD">
        <w:rPr>
          <w:noProof w:val="0"/>
        </w:rPr>
        <w:t>Kai Barvèll</w:t>
      </w:r>
    </w:p>
    <w:p w14:paraId="27E4B4B4" w14:textId="77777777" w:rsidR="0048679D" w:rsidRPr="00A538DD" w:rsidRDefault="0048679D">
      <w:pPr>
        <w:pStyle w:val="Deltagare"/>
        <w:keepLines w:val="0"/>
        <w:spacing w:before="0" w:line="240" w:lineRule="exact"/>
        <w:rPr>
          <w:noProof w:val="0"/>
        </w:rPr>
      </w:pPr>
      <w:r w:rsidRPr="00A538DD">
        <w:rPr>
          <w:noProof w:val="0"/>
        </w:rPr>
        <w:t>Kersti Eriksen</w:t>
      </w:r>
    </w:p>
    <w:p w14:paraId="0BF51A9C" w14:textId="77777777" w:rsidR="0048679D" w:rsidRPr="00A538DD" w:rsidRDefault="0048679D">
      <w:pPr>
        <w:pStyle w:val="Deltagare"/>
        <w:keepLines w:val="0"/>
        <w:spacing w:before="0" w:line="240" w:lineRule="exact"/>
        <w:rPr>
          <w:noProof w:val="0"/>
        </w:rPr>
      </w:pPr>
      <w:r w:rsidRPr="00A538DD">
        <w:rPr>
          <w:noProof w:val="0"/>
        </w:rPr>
        <w:t>Heine Andersson, arbetstagarrepresentant</w:t>
      </w:r>
    </w:p>
    <w:p w14:paraId="550A9582" w14:textId="77777777" w:rsidR="0048679D" w:rsidRPr="00A538DD" w:rsidRDefault="0048679D">
      <w:pPr>
        <w:spacing w:before="125" w:line="240" w:lineRule="exact"/>
        <w:rPr>
          <w:b/>
        </w:rPr>
      </w:pPr>
      <w:r w:rsidRPr="00A538DD">
        <w:rPr>
          <w:b/>
        </w:rPr>
        <w:t>Adress</w:t>
      </w:r>
    </w:p>
    <w:p w14:paraId="121676F8" w14:textId="77777777" w:rsidR="0048679D" w:rsidRPr="00A538DD" w:rsidRDefault="0048679D">
      <w:pPr>
        <w:pStyle w:val="Deltagare"/>
        <w:keepLines w:val="0"/>
        <w:spacing w:before="0" w:line="240" w:lineRule="exact"/>
        <w:rPr>
          <w:noProof w:val="0"/>
        </w:rPr>
      </w:pPr>
      <w:r w:rsidRPr="00A538DD">
        <w:rPr>
          <w:noProof w:val="0"/>
        </w:rPr>
        <w:t xml:space="preserve">Svensk Kontantförsörjning AB </w:t>
      </w:r>
    </w:p>
    <w:p w14:paraId="02DEBA4D" w14:textId="77777777" w:rsidR="0048679D" w:rsidRPr="00A538DD" w:rsidRDefault="0048679D">
      <w:pPr>
        <w:pStyle w:val="Deltagare"/>
        <w:keepLines w:val="0"/>
        <w:spacing w:before="0" w:line="240" w:lineRule="exact"/>
        <w:rPr>
          <w:noProof w:val="0"/>
        </w:rPr>
      </w:pPr>
      <w:r w:rsidRPr="00A538DD">
        <w:rPr>
          <w:noProof w:val="0"/>
        </w:rPr>
        <w:t xml:space="preserve">Peter Mommas väg 2 </w:t>
      </w:r>
    </w:p>
    <w:p w14:paraId="359DC3E9" w14:textId="77777777" w:rsidR="0048679D" w:rsidRPr="00A538DD" w:rsidRDefault="0048679D">
      <w:pPr>
        <w:pStyle w:val="Deltagare"/>
        <w:keepLines w:val="0"/>
        <w:spacing w:before="0" w:line="240" w:lineRule="exact"/>
        <w:rPr>
          <w:noProof w:val="0"/>
        </w:rPr>
      </w:pPr>
      <w:r w:rsidRPr="00A538DD">
        <w:rPr>
          <w:noProof w:val="0"/>
        </w:rPr>
        <w:t>147 43 Tumba</w:t>
      </w:r>
      <w:r w:rsidRPr="00A538DD">
        <w:rPr>
          <w:noProof w:val="0"/>
        </w:rPr>
        <w:t xml:space="preserve">  </w:t>
      </w:r>
    </w:p>
    <w:p w14:paraId="0071945F" w14:textId="77777777" w:rsidR="0048679D" w:rsidRPr="00A538DD" w:rsidRDefault="0048679D"/>
    <w:p w14:paraId="2055B903" w14:textId="77777777" w:rsidR="0048679D" w:rsidRPr="00A538DD" w:rsidRDefault="0048679D">
      <w:r w:rsidRPr="00A538DD">
        <w:rPr>
          <w:i/>
          <w:sz w:val="21"/>
        </w:rPr>
        <w:t>Tumba Kulturfastigheter AB</w:t>
      </w:r>
    </w:p>
    <w:p w14:paraId="13A759EC" w14:textId="77777777" w:rsidR="0048679D" w:rsidRPr="00A538DD" w:rsidRDefault="0048679D">
      <w:r w:rsidRPr="00A538DD">
        <w:t xml:space="preserve">Bolaget ägs till 100 </w:t>
      </w:r>
      <w:r w:rsidRPr="00A538DD">
        <w:rPr>
          <w:sz w:val="16"/>
        </w:rPr>
        <w:t>%</w:t>
      </w:r>
      <w:r w:rsidRPr="00A538DD">
        <w:t xml:space="preserve"> av Riksbanken och förvärvades i december 2001 i syfte att köpa fastigheter och inventarier från AB Tumba Bruk (numera Crane AB). Det byggnadsminnesförklarade bruksområdet i Tumba med byggnader och närmast angränsande mark överläts år 2002, efter godkännande av Riksba</w:t>
      </w:r>
      <w:r w:rsidRPr="00A538DD">
        <w:t>n</w:t>
      </w:r>
      <w:r w:rsidRPr="00A538DD">
        <w:t xml:space="preserve">ken och riksdagen, till Statens Fastighetsverk. Avsikten är att det industriellt och kulturhistoriskt unika bruksområdet med tillhörande byggnader och park ska bevaras för kommande generationer. </w:t>
      </w:r>
    </w:p>
    <w:p w14:paraId="163169B2" w14:textId="77777777" w:rsidR="0048679D" w:rsidRPr="00A538DD" w:rsidRDefault="0048679D">
      <w:pPr>
        <w:pStyle w:val="Normaltindrag"/>
      </w:pPr>
      <w:r w:rsidRPr="00A538DD">
        <w:t>Under år 2004 har den sista av bolagets fyra v</w:t>
      </w:r>
      <w:r w:rsidRPr="00A538DD">
        <w:t>illatomter sålts. Beträffande ett avskilt markområde har viss utredning skett i syfte att förbereda en pla</w:t>
      </w:r>
      <w:r w:rsidRPr="00A538DD">
        <w:t>n</w:t>
      </w:r>
      <w:r w:rsidRPr="00A538DD">
        <w:t>läggning och senare försäljning. Resterande mark (åker- och skogsmark) avses behållas i bolaget i avvaktan på att Botkyrka kommun initierar en pla</w:t>
      </w:r>
      <w:r w:rsidRPr="00A538DD">
        <w:t>n</w:t>
      </w:r>
      <w:r w:rsidRPr="00A538DD">
        <w:t>läggning av detta område. Alternativt kan en överlåtelse av marken till Rik</w:t>
      </w:r>
      <w:r w:rsidRPr="00A538DD">
        <w:t>s</w:t>
      </w:r>
      <w:r w:rsidRPr="00A538DD">
        <w:t>ba</w:t>
      </w:r>
      <w:r w:rsidRPr="00A538DD">
        <w:t>n</w:t>
      </w:r>
      <w:r w:rsidRPr="00A538DD">
        <w:t>ken aktualiseras.</w:t>
      </w:r>
    </w:p>
    <w:p w14:paraId="00B0A148" w14:textId="77777777" w:rsidR="0048679D" w:rsidRPr="00A538DD" w:rsidRDefault="0048679D">
      <w:pPr>
        <w:pStyle w:val="Normaltindrag"/>
      </w:pPr>
      <w:r w:rsidRPr="00A538DD">
        <w:t>Ombyggnad och renovering av lokaler pågår genom Statens Fastighet</w:t>
      </w:r>
      <w:r w:rsidRPr="00A538DD">
        <w:t>s</w:t>
      </w:r>
      <w:r w:rsidRPr="00A538DD">
        <w:t>verks försorg i syfte att de ska kunna rymma ett bruksmuseum. Stiftelsen Tumba Bruk har, efter beslut av Riksbankens direktion och med riksdagens godkännande, bildats för att finansiera museiverksamheten. Museet, som ska drivas av Kungliga Myn</w:t>
      </w:r>
      <w:r w:rsidRPr="00A538DD">
        <w:t>t</w:t>
      </w:r>
      <w:r w:rsidRPr="00A538DD">
        <w:t>kabinettet, kommer att öppnas i juni 2005.</w:t>
      </w:r>
    </w:p>
    <w:p w14:paraId="1327E731" w14:textId="77777777" w:rsidR="0048679D" w:rsidRPr="00A538DD" w:rsidRDefault="0048679D">
      <w:pPr>
        <w:pStyle w:val="Normaltindrag"/>
      </w:pPr>
      <w:r w:rsidRPr="00A538DD">
        <w:t>När museiverksamheten startat och resterande mark sålts eller överlåtits till Riksbanken är avsikten att bolaget ska avvecklas.</w:t>
      </w:r>
    </w:p>
    <w:p w14:paraId="7CDCFC15" w14:textId="77777777" w:rsidR="0048679D" w:rsidRPr="00A538DD" w:rsidRDefault="0048679D">
      <w:pPr>
        <w:rPr>
          <w:b/>
        </w:rPr>
      </w:pPr>
      <w:r w:rsidRPr="00A538DD">
        <w:rPr>
          <w:b/>
        </w:rPr>
        <w:t xml:space="preserve">Resultaträkning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134"/>
        <w:gridCol w:w="1134"/>
      </w:tblGrid>
      <w:tr w:rsidR="00000000" w:rsidRPr="00A538DD" w14:paraId="3669A3C7" w14:textId="77777777">
        <w:tblPrEx>
          <w:tblCellMar>
            <w:top w:w="0" w:type="dxa"/>
            <w:bottom w:w="0" w:type="dxa"/>
          </w:tblCellMar>
        </w:tblPrEx>
        <w:tc>
          <w:tcPr>
            <w:tcW w:w="2835" w:type="dxa"/>
            <w:tcBorders>
              <w:top w:val="single" w:sz="4" w:space="0" w:color="auto"/>
              <w:bottom w:val="single" w:sz="4" w:space="0" w:color="auto"/>
            </w:tcBorders>
          </w:tcPr>
          <w:p w14:paraId="44BFA4F2" w14:textId="77777777" w:rsidR="0048679D" w:rsidRPr="00A538DD" w:rsidRDefault="0048679D">
            <w:r w:rsidRPr="00A538DD">
              <w:t>Belopp i mnkr</w:t>
            </w:r>
          </w:p>
        </w:tc>
        <w:tc>
          <w:tcPr>
            <w:tcW w:w="1134" w:type="dxa"/>
            <w:tcBorders>
              <w:top w:val="single" w:sz="4" w:space="0" w:color="auto"/>
              <w:bottom w:val="single" w:sz="4" w:space="0" w:color="auto"/>
            </w:tcBorders>
          </w:tcPr>
          <w:p w14:paraId="0727A060" w14:textId="77777777" w:rsidR="0048679D" w:rsidRPr="00A538DD" w:rsidRDefault="0048679D">
            <w:pPr>
              <w:jc w:val="right"/>
              <w:rPr>
                <w:b/>
              </w:rPr>
            </w:pPr>
            <w:r w:rsidRPr="00A538DD">
              <w:rPr>
                <w:b/>
              </w:rPr>
              <w:t>2004</w:t>
            </w:r>
          </w:p>
        </w:tc>
        <w:tc>
          <w:tcPr>
            <w:tcW w:w="1134" w:type="dxa"/>
            <w:tcBorders>
              <w:top w:val="single" w:sz="4" w:space="0" w:color="auto"/>
              <w:bottom w:val="single" w:sz="4" w:space="0" w:color="auto"/>
            </w:tcBorders>
          </w:tcPr>
          <w:p w14:paraId="164028CB" w14:textId="77777777" w:rsidR="0048679D" w:rsidRPr="00A538DD" w:rsidRDefault="0048679D">
            <w:pPr>
              <w:jc w:val="right"/>
              <w:rPr>
                <w:b/>
              </w:rPr>
            </w:pPr>
            <w:r w:rsidRPr="00A538DD">
              <w:rPr>
                <w:b/>
              </w:rPr>
              <w:t>2003</w:t>
            </w:r>
          </w:p>
        </w:tc>
      </w:tr>
      <w:tr w:rsidR="00000000" w:rsidRPr="00A538DD" w14:paraId="39971043" w14:textId="77777777">
        <w:tblPrEx>
          <w:tblCellMar>
            <w:top w:w="0" w:type="dxa"/>
            <w:bottom w:w="0" w:type="dxa"/>
          </w:tblCellMar>
        </w:tblPrEx>
        <w:tc>
          <w:tcPr>
            <w:tcW w:w="2835" w:type="dxa"/>
            <w:tcBorders>
              <w:top w:val="single" w:sz="4" w:space="0" w:color="auto"/>
            </w:tcBorders>
          </w:tcPr>
          <w:p w14:paraId="0DBCCD55" w14:textId="77777777" w:rsidR="0048679D" w:rsidRPr="00A538DD" w:rsidRDefault="0048679D">
            <w:r w:rsidRPr="00A538DD">
              <w:t>Rörelsens intäkter</w:t>
            </w:r>
          </w:p>
        </w:tc>
        <w:tc>
          <w:tcPr>
            <w:tcW w:w="1134" w:type="dxa"/>
            <w:tcBorders>
              <w:top w:val="single" w:sz="4" w:space="0" w:color="auto"/>
            </w:tcBorders>
          </w:tcPr>
          <w:p w14:paraId="1F1DE6A9" w14:textId="77777777" w:rsidR="0048679D" w:rsidRPr="00A538DD" w:rsidRDefault="0048679D">
            <w:pPr>
              <w:jc w:val="right"/>
            </w:pPr>
            <w:r w:rsidRPr="00A538DD">
              <w:t>0,4</w:t>
            </w:r>
          </w:p>
        </w:tc>
        <w:tc>
          <w:tcPr>
            <w:tcW w:w="1134" w:type="dxa"/>
            <w:tcBorders>
              <w:top w:val="single" w:sz="4" w:space="0" w:color="auto"/>
            </w:tcBorders>
          </w:tcPr>
          <w:p w14:paraId="59269E63" w14:textId="77777777" w:rsidR="0048679D" w:rsidRPr="00A538DD" w:rsidRDefault="0048679D">
            <w:pPr>
              <w:jc w:val="right"/>
            </w:pPr>
            <w:r w:rsidRPr="00A538DD">
              <w:t>1,8</w:t>
            </w:r>
          </w:p>
        </w:tc>
      </w:tr>
      <w:tr w:rsidR="00000000" w:rsidRPr="00A538DD" w14:paraId="74B79C71" w14:textId="77777777">
        <w:tblPrEx>
          <w:tblCellMar>
            <w:top w:w="0" w:type="dxa"/>
            <w:bottom w:w="0" w:type="dxa"/>
          </w:tblCellMar>
        </w:tblPrEx>
        <w:tc>
          <w:tcPr>
            <w:tcW w:w="2835" w:type="dxa"/>
          </w:tcPr>
          <w:p w14:paraId="73579B13" w14:textId="77777777" w:rsidR="0048679D" w:rsidRPr="00A538DD" w:rsidRDefault="0048679D">
            <w:r w:rsidRPr="00A538DD">
              <w:t>Rörelsens kostnader</w:t>
            </w:r>
          </w:p>
        </w:tc>
        <w:tc>
          <w:tcPr>
            <w:tcW w:w="1134" w:type="dxa"/>
            <w:tcBorders>
              <w:bottom w:val="single" w:sz="4" w:space="0" w:color="auto"/>
            </w:tcBorders>
          </w:tcPr>
          <w:p w14:paraId="02E525B6" w14:textId="77777777" w:rsidR="0048679D" w:rsidRPr="00A538DD" w:rsidRDefault="0048679D">
            <w:pPr>
              <w:jc w:val="right"/>
            </w:pPr>
            <w:r w:rsidRPr="00A538DD">
              <w:rPr>
                <w:b/>
              </w:rPr>
              <w:t>–</w:t>
            </w:r>
            <w:r w:rsidRPr="00A538DD">
              <w:t>0,0</w:t>
            </w:r>
          </w:p>
        </w:tc>
        <w:tc>
          <w:tcPr>
            <w:tcW w:w="1134" w:type="dxa"/>
            <w:tcBorders>
              <w:bottom w:val="single" w:sz="4" w:space="0" w:color="auto"/>
            </w:tcBorders>
          </w:tcPr>
          <w:p w14:paraId="2BE469B2" w14:textId="77777777" w:rsidR="0048679D" w:rsidRPr="00A538DD" w:rsidRDefault="0048679D">
            <w:pPr>
              <w:jc w:val="right"/>
            </w:pPr>
            <w:r w:rsidRPr="00A538DD">
              <w:rPr>
                <w:b/>
              </w:rPr>
              <w:t>–</w:t>
            </w:r>
            <w:r w:rsidRPr="00A538DD">
              <w:t>0,1</w:t>
            </w:r>
          </w:p>
        </w:tc>
      </w:tr>
      <w:tr w:rsidR="00000000" w:rsidRPr="00A538DD" w14:paraId="59234F3E" w14:textId="77777777">
        <w:tblPrEx>
          <w:tblCellMar>
            <w:top w:w="0" w:type="dxa"/>
            <w:bottom w:w="0" w:type="dxa"/>
          </w:tblCellMar>
        </w:tblPrEx>
        <w:tc>
          <w:tcPr>
            <w:tcW w:w="2835" w:type="dxa"/>
          </w:tcPr>
          <w:p w14:paraId="42F99688" w14:textId="77777777" w:rsidR="0048679D" w:rsidRPr="00A538DD" w:rsidRDefault="0048679D">
            <w:r w:rsidRPr="00A538DD">
              <w:t>Rörelseresultat</w:t>
            </w:r>
          </w:p>
        </w:tc>
        <w:tc>
          <w:tcPr>
            <w:tcW w:w="1134" w:type="dxa"/>
            <w:tcBorders>
              <w:top w:val="single" w:sz="4" w:space="0" w:color="auto"/>
            </w:tcBorders>
          </w:tcPr>
          <w:p w14:paraId="7C10C66E" w14:textId="77777777" w:rsidR="0048679D" w:rsidRPr="00A538DD" w:rsidRDefault="0048679D">
            <w:pPr>
              <w:jc w:val="right"/>
            </w:pPr>
            <w:r w:rsidRPr="00A538DD">
              <w:t>0,4</w:t>
            </w:r>
          </w:p>
        </w:tc>
        <w:tc>
          <w:tcPr>
            <w:tcW w:w="1134" w:type="dxa"/>
            <w:tcBorders>
              <w:top w:val="single" w:sz="4" w:space="0" w:color="auto"/>
            </w:tcBorders>
          </w:tcPr>
          <w:p w14:paraId="2A9960CD" w14:textId="77777777" w:rsidR="0048679D" w:rsidRPr="00A538DD" w:rsidRDefault="0048679D">
            <w:pPr>
              <w:jc w:val="right"/>
            </w:pPr>
            <w:r w:rsidRPr="00A538DD">
              <w:t>1,7</w:t>
            </w:r>
          </w:p>
        </w:tc>
      </w:tr>
      <w:tr w:rsidR="00000000" w:rsidRPr="00A538DD" w14:paraId="7D391951" w14:textId="77777777">
        <w:tblPrEx>
          <w:tblCellMar>
            <w:top w:w="0" w:type="dxa"/>
            <w:bottom w:w="0" w:type="dxa"/>
          </w:tblCellMar>
        </w:tblPrEx>
        <w:tc>
          <w:tcPr>
            <w:tcW w:w="2835" w:type="dxa"/>
          </w:tcPr>
          <w:p w14:paraId="3AA3F542" w14:textId="77777777" w:rsidR="0048679D" w:rsidRPr="00A538DD" w:rsidRDefault="0048679D">
            <w:r w:rsidRPr="00A538DD">
              <w:t>Finansiella poster</w:t>
            </w:r>
          </w:p>
        </w:tc>
        <w:tc>
          <w:tcPr>
            <w:tcW w:w="1134" w:type="dxa"/>
            <w:tcBorders>
              <w:bottom w:val="single" w:sz="4" w:space="0" w:color="auto"/>
            </w:tcBorders>
          </w:tcPr>
          <w:p w14:paraId="3F04C8DB" w14:textId="77777777" w:rsidR="0048679D" w:rsidRPr="00A538DD" w:rsidRDefault="0048679D">
            <w:pPr>
              <w:jc w:val="right"/>
            </w:pPr>
            <w:r w:rsidRPr="00A538DD">
              <w:t>0,0</w:t>
            </w:r>
          </w:p>
        </w:tc>
        <w:tc>
          <w:tcPr>
            <w:tcW w:w="1134" w:type="dxa"/>
            <w:tcBorders>
              <w:bottom w:val="single" w:sz="4" w:space="0" w:color="auto"/>
            </w:tcBorders>
          </w:tcPr>
          <w:p w14:paraId="359A5845" w14:textId="77777777" w:rsidR="0048679D" w:rsidRPr="00A538DD" w:rsidRDefault="0048679D">
            <w:pPr>
              <w:jc w:val="right"/>
            </w:pPr>
            <w:r w:rsidRPr="00A538DD">
              <w:rPr>
                <w:b/>
              </w:rPr>
              <w:t>–</w:t>
            </w:r>
            <w:r w:rsidRPr="00A538DD">
              <w:t>0,1</w:t>
            </w:r>
          </w:p>
        </w:tc>
      </w:tr>
      <w:tr w:rsidR="00000000" w:rsidRPr="00A538DD" w14:paraId="2651E323" w14:textId="77777777">
        <w:tblPrEx>
          <w:tblCellMar>
            <w:top w:w="0" w:type="dxa"/>
            <w:bottom w:w="0" w:type="dxa"/>
          </w:tblCellMar>
        </w:tblPrEx>
        <w:tc>
          <w:tcPr>
            <w:tcW w:w="2835" w:type="dxa"/>
          </w:tcPr>
          <w:p w14:paraId="128D38DB" w14:textId="77777777" w:rsidR="0048679D" w:rsidRPr="00A538DD" w:rsidRDefault="0048679D">
            <w:r w:rsidRPr="00A538DD">
              <w:t>Resultat efter finansiella poster</w:t>
            </w:r>
          </w:p>
        </w:tc>
        <w:tc>
          <w:tcPr>
            <w:tcW w:w="1134" w:type="dxa"/>
            <w:tcBorders>
              <w:top w:val="single" w:sz="4" w:space="0" w:color="auto"/>
            </w:tcBorders>
          </w:tcPr>
          <w:p w14:paraId="4ECAE9EC" w14:textId="77777777" w:rsidR="0048679D" w:rsidRPr="00A538DD" w:rsidRDefault="0048679D">
            <w:pPr>
              <w:jc w:val="right"/>
            </w:pPr>
            <w:r w:rsidRPr="00A538DD">
              <w:t>0,4</w:t>
            </w:r>
          </w:p>
        </w:tc>
        <w:tc>
          <w:tcPr>
            <w:tcW w:w="1134" w:type="dxa"/>
            <w:tcBorders>
              <w:top w:val="single" w:sz="4" w:space="0" w:color="auto"/>
            </w:tcBorders>
          </w:tcPr>
          <w:p w14:paraId="597CDDB2" w14:textId="77777777" w:rsidR="0048679D" w:rsidRPr="00A538DD" w:rsidRDefault="0048679D">
            <w:pPr>
              <w:jc w:val="right"/>
            </w:pPr>
            <w:r w:rsidRPr="00A538DD">
              <w:t>1,6</w:t>
            </w:r>
          </w:p>
        </w:tc>
      </w:tr>
      <w:tr w:rsidR="00000000" w:rsidRPr="00A538DD" w14:paraId="64D808B0" w14:textId="77777777">
        <w:tblPrEx>
          <w:tblCellMar>
            <w:top w:w="0" w:type="dxa"/>
            <w:bottom w:w="0" w:type="dxa"/>
          </w:tblCellMar>
        </w:tblPrEx>
        <w:tc>
          <w:tcPr>
            <w:tcW w:w="2835" w:type="dxa"/>
          </w:tcPr>
          <w:p w14:paraId="2E8377A7" w14:textId="77777777" w:rsidR="0048679D" w:rsidRPr="00A538DD" w:rsidRDefault="0048679D">
            <w:r w:rsidRPr="00A538DD">
              <w:t>Skatt på årets resultat</w:t>
            </w:r>
          </w:p>
        </w:tc>
        <w:tc>
          <w:tcPr>
            <w:tcW w:w="1134" w:type="dxa"/>
            <w:tcBorders>
              <w:bottom w:val="single" w:sz="4" w:space="0" w:color="auto"/>
            </w:tcBorders>
          </w:tcPr>
          <w:p w14:paraId="04921584" w14:textId="77777777" w:rsidR="0048679D" w:rsidRPr="00A538DD" w:rsidRDefault="0048679D">
            <w:pPr>
              <w:jc w:val="right"/>
            </w:pPr>
            <w:r w:rsidRPr="00A538DD">
              <w:rPr>
                <w:b/>
              </w:rPr>
              <w:t>–</w:t>
            </w:r>
            <w:r w:rsidRPr="00A538DD">
              <w:t>0,1</w:t>
            </w:r>
          </w:p>
        </w:tc>
        <w:tc>
          <w:tcPr>
            <w:tcW w:w="1134" w:type="dxa"/>
            <w:tcBorders>
              <w:bottom w:val="single" w:sz="4" w:space="0" w:color="auto"/>
            </w:tcBorders>
          </w:tcPr>
          <w:p w14:paraId="7350263E" w14:textId="77777777" w:rsidR="0048679D" w:rsidRPr="00A538DD" w:rsidRDefault="0048679D">
            <w:pPr>
              <w:jc w:val="right"/>
            </w:pPr>
            <w:r w:rsidRPr="00A538DD">
              <w:rPr>
                <w:b/>
              </w:rPr>
              <w:t>–</w:t>
            </w:r>
            <w:r w:rsidRPr="00A538DD">
              <w:t>4,2</w:t>
            </w:r>
          </w:p>
        </w:tc>
      </w:tr>
      <w:tr w:rsidR="00000000" w:rsidRPr="00A538DD" w14:paraId="43CB9BDD" w14:textId="77777777">
        <w:tblPrEx>
          <w:tblCellMar>
            <w:top w:w="0" w:type="dxa"/>
            <w:bottom w:w="0" w:type="dxa"/>
          </w:tblCellMar>
        </w:tblPrEx>
        <w:tc>
          <w:tcPr>
            <w:tcW w:w="2835" w:type="dxa"/>
            <w:tcBorders>
              <w:bottom w:val="single" w:sz="4" w:space="0" w:color="auto"/>
            </w:tcBorders>
          </w:tcPr>
          <w:p w14:paraId="4ED244FE" w14:textId="77777777" w:rsidR="0048679D" w:rsidRPr="00A538DD" w:rsidRDefault="0048679D">
            <w:pPr>
              <w:rPr>
                <w:b/>
              </w:rPr>
            </w:pPr>
            <w:r w:rsidRPr="00A538DD">
              <w:rPr>
                <w:b/>
              </w:rPr>
              <w:t xml:space="preserve">Årets resultat </w:t>
            </w:r>
          </w:p>
        </w:tc>
        <w:tc>
          <w:tcPr>
            <w:tcW w:w="1134" w:type="dxa"/>
            <w:tcBorders>
              <w:bottom w:val="single" w:sz="4" w:space="0" w:color="auto"/>
            </w:tcBorders>
          </w:tcPr>
          <w:p w14:paraId="73ADA42E" w14:textId="77777777" w:rsidR="0048679D" w:rsidRPr="00A538DD" w:rsidRDefault="0048679D">
            <w:pPr>
              <w:jc w:val="right"/>
              <w:rPr>
                <w:b/>
              </w:rPr>
            </w:pPr>
            <w:r w:rsidRPr="00A538DD">
              <w:rPr>
                <w:b/>
              </w:rPr>
              <w:t>0,3</w:t>
            </w:r>
          </w:p>
        </w:tc>
        <w:tc>
          <w:tcPr>
            <w:tcW w:w="1134" w:type="dxa"/>
            <w:tcBorders>
              <w:bottom w:val="single" w:sz="4" w:space="0" w:color="auto"/>
            </w:tcBorders>
          </w:tcPr>
          <w:p w14:paraId="678065BB" w14:textId="77777777" w:rsidR="0048679D" w:rsidRPr="00A538DD" w:rsidRDefault="0048679D">
            <w:pPr>
              <w:jc w:val="right"/>
              <w:rPr>
                <w:b/>
              </w:rPr>
            </w:pPr>
            <w:r w:rsidRPr="00A538DD">
              <w:rPr>
                <w:b/>
              </w:rPr>
              <w:t>–2,6</w:t>
            </w:r>
          </w:p>
        </w:tc>
      </w:tr>
    </w:tbl>
    <w:p w14:paraId="75273A75" w14:textId="77777777" w:rsidR="0048679D" w:rsidRPr="00A538DD" w:rsidRDefault="0048679D">
      <w:pPr>
        <w:spacing w:before="187"/>
        <w:rPr>
          <w:b/>
        </w:rPr>
      </w:pPr>
      <w:r w:rsidRPr="00A538DD">
        <w:rPr>
          <w:b/>
        </w:rPr>
        <w:t xml:space="preserve">Balansräkning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134"/>
        <w:gridCol w:w="1134"/>
      </w:tblGrid>
      <w:tr w:rsidR="00000000" w:rsidRPr="00A538DD" w14:paraId="151E5C3A" w14:textId="77777777">
        <w:tblPrEx>
          <w:tblCellMar>
            <w:top w:w="0" w:type="dxa"/>
            <w:bottom w:w="0" w:type="dxa"/>
          </w:tblCellMar>
        </w:tblPrEx>
        <w:tc>
          <w:tcPr>
            <w:tcW w:w="2835" w:type="dxa"/>
            <w:tcBorders>
              <w:top w:val="single" w:sz="4" w:space="0" w:color="auto"/>
              <w:bottom w:val="single" w:sz="4" w:space="0" w:color="auto"/>
            </w:tcBorders>
          </w:tcPr>
          <w:p w14:paraId="7CFA9E26" w14:textId="77777777" w:rsidR="0048679D" w:rsidRPr="00A538DD" w:rsidRDefault="0048679D">
            <w:r w:rsidRPr="00A538DD">
              <w:t>Belopp i mnkr</w:t>
            </w:r>
          </w:p>
        </w:tc>
        <w:tc>
          <w:tcPr>
            <w:tcW w:w="1134" w:type="dxa"/>
            <w:tcBorders>
              <w:top w:val="single" w:sz="4" w:space="0" w:color="auto"/>
              <w:bottom w:val="single" w:sz="4" w:space="0" w:color="auto"/>
            </w:tcBorders>
          </w:tcPr>
          <w:p w14:paraId="35921D8D" w14:textId="77777777" w:rsidR="0048679D" w:rsidRPr="00A538DD" w:rsidRDefault="0048679D">
            <w:pPr>
              <w:jc w:val="right"/>
              <w:rPr>
                <w:b/>
              </w:rPr>
            </w:pPr>
            <w:r w:rsidRPr="00A538DD">
              <w:rPr>
                <w:b/>
              </w:rPr>
              <w:t>2004-12-31</w:t>
            </w:r>
          </w:p>
        </w:tc>
        <w:tc>
          <w:tcPr>
            <w:tcW w:w="1134" w:type="dxa"/>
            <w:tcBorders>
              <w:top w:val="single" w:sz="4" w:space="0" w:color="auto"/>
              <w:bottom w:val="single" w:sz="4" w:space="0" w:color="auto"/>
            </w:tcBorders>
          </w:tcPr>
          <w:p w14:paraId="41848CE7" w14:textId="77777777" w:rsidR="0048679D" w:rsidRPr="00A538DD" w:rsidRDefault="0048679D">
            <w:pPr>
              <w:jc w:val="right"/>
              <w:rPr>
                <w:b/>
              </w:rPr>
            </w:pPr>
            <w:r w:rsidRPr="00A538DD">
              <w:rPr>
                <w:b/>
              </w:rPr>
              <w:t>2003-12-31</w:t>
            </w:r>
          </w:p>
        </w:tc>
      </w:tr>
      <w:tr w:rsidR="00000000" w:rsidRPr="00A538DD" w14:paraId="0808CEC8" w14:textId="77777777">
        <w:tblPrEx>
          <w:tblCellMar>
            <w:top w:w="0" w:type="dxa"/>
            <w:bottom w:w="0" w:type="dxa"/>
          </w:tblCellMar>
        </w:tblPrEx>
        <w:tc>
          <w:tcPr>
            <w:tcW w:w="2835" w:type="dxa"/>
            <w:tcBorders>
              <w:top w:val="single" w:sz="4" w:space="0" w:color="auto"/>
            </w:tcBorders>
          </w:tcPr>
          <w:p w14:paraId="48C4DC89" w14:textId="77777777" w:rsidR="0048679D" w:rsidRPr="00A538DD" w:rsidRDefault="0048679D">
            <w:r w:rsidRPr="00A538DD">
              <w:t>Omsättningstillgångar</w:t>
            </w:r>
          </w:p>
        </w:tc>
        <w:tc>
          <w:tcPr>
            <w:tcW w:w="1134" w:type="dxa"/>
            <w:tcBorders>
              <w:top w:val="single" w:sz="4" w:space="0" w:color="auto"/>
              <w:bottom w:val="single" w:sz="4" w:space="0" w:color="auto"/>
            </w:tcBorders>
          </w:tcPr>
          <w:p w14:paraId="434D47D7" w14:textId="77777777" w:rsidR="0048679D" w:rsidRPr="00A538DD" w:rsidRDefault="0048679D">
            <w:pPr>
              <w:jc w:val="right"/>
            </w:pPr>
            <w:r w:rsidRPr="00A538DD">
              <w:t>1,8</w:t>
            </w:r>
          </w:p>
        </w:tc>
        <w:tc>
          <w:tcPr>
            <w:tcW w:w="1134" w:type="dxa"/>
            <w:tcBorders>
              <w:bottom w:val="single" w:sz="4" w:space="0" w:color="auto"/>
            </w:tcBorders>
          </w:tcPr>
          <w:p w14:paraId="06C9D54E" w14:textId="77777777" w:rsidR="0048679D" w:rsidRPr="00A538DD" w:rsidRDefault="0048679D">
            <w:pPr>
              <w:jc w:val="right"/>
            </w:pPr>
            <w:r w:rsidRPr="00A538DD">
              <w:t>2,0</w:t>
            </w:r>
          </w:p>
        </w:tc>
      </w:tr>
      <w:tr w:rsidR="00000000" w:rsidRPr="00A538DD" w14:paraId="2A3C9097" w14:textId="77777777">
        <w:tblPrEx>
          <w:tblCellMar>
            <w:top w:w="0" w:type="dxa"/>
            <w:bottom w:w="0" w:type="dxa"/>
          </w:tblCellMar>
        </w:tblPrEx>
        <w:tc>
          <w:tcPr>
            <w:tcW w:w="2835" w:type="dxa"/>
          </w:tcPr>
          <w:p w14:paraId="54F18008" w14:textId="77777777" w:rsidR="0048679D" w:rsidRPr="00A538DD" w:rsidRDefault="0048679D">
            <w:pPr>
              <w:rPr>
                <w:b/>
              </w:rPr>
            </w:pPr>
            <w:r w:rsidRPr="00A538DD">
              <w:rPr>
                <w:b/>
              </w:rPr>
              <w:t>Summa tillgångar</w:t>
            </w:r>
          </w:p>
        </w:tc>
        <w:tc>
          <w:tcPr>
            <w:tcW w:w="1134" w:type="dxa"/>
            <w:tcBorders>
              <w:top w:val="single" w:sz="4" w:space="0" w:color="auto"/>
            </w:tcBorders>
          </w:tcPr>
          <w:p w14:paraId="4FC9A7A5" w14:textId="77777777" w:rsidR="0048679D" w:rsidRPr="00A538DD" w:rsidRDefault="0048679D">
            <w:pPr>
              <w:jc w:val="right"/>
              <w:rPr>
                <w:b/>
              </w:rPr>
            </w:pPr>
            <w:r w:rsidRPr="00A538DD">
              <w:rPr>
                <w:b/>
              </w:rPr>
              <w:t>1,8</w:t>
            </w:r>
          </w:p>
        </w:tc>
        <w:tc>
          <w:tcPr>
            <w:tcW w:w="1134" w:type="dxa"/>
          </w:tcPr>
          <w:p w14:paraId="06313EA2" w14:textId="77777777" w:rsidR="0048679D" w:rsidRPr="00A538DD" w:rsidRDefault="0048679D">
            <w:pPr>
              <w:jc w:val="right"/>
              <w:rPr>
                <w:b/>
              </w:rPr>
            </w:pPr>
            <w:r w:rsidRPr="00A538DD">
              <w:rPr>
                <w:b/>
              </w:rPr>
              <w:t>2,0</w:t>
            </w:r>
          </w:p>
        </w:tc>
      </w:tr>
      <w:tr w:rsidR="00000000" w:rsidRPr="00A538DD" w14:paraId="26372E17" w14:textId="77777777">
        <w:tblPrEx>
          <w:tblCellMar>
            <w:top w:w="0" w:type="dxa"/>
            <w:bottom w:w="0" w:type="dxa"/>
          </w:tblCellMar>
        </w:tblPrEx>
        <w:tc>
          <w:tcPr>
            <w:tcW w:w="2835" w:type="dxa"/>
          </w:tcPr>
          <w:p w14:paraId="7083AC1F" w14:textId="77777777" w:rsidR="0048679D" w:rsidRPr="00A538DD" w:rsidRDefault="0048679D"/>
        </w:tc>
        <w:tc>
          <w:tcPr>
            <w:tcW w:w="1134" w:type="dxa"/>
          </w:tcPr>
          <w:p w14:paraId="066F151B" w14:textId="77777777" w:rsidR="0048679D" w:rsidRPr="00A538DD" w:rsidRDefault="0048679D">
            <w:pPr>
              <w:jc w:val="right"/>
            </w:pPr>
          </w:p>
        </w:tc>
        <w:tc>
          <w:tcPr>
            <w:tcW w:w="1134" w:type="dxa"/>
          </w:tcPr>
          <w:p w14:paraId="6E895963" w14:textId="77777777" w:rsidR="0048679D" w:rsidRPr="00A538DD" w:rsidRDefault="0048679D">
            <w:pPr>
              <w:jc w:val="right"/>
            </w:pPr>
          </w:p>
        </w:tc>
      </w:tr>
      <w:tr w:rsidR="00000000" w:rsidRPr="00A538DD" w14:paraId="11B649AD" w14:textId="77777777">
        <w:tblPrEx>
          <w:tblCellMar>
            <w:top w:w="0" w:type="dxa"/>
            <w:bottom w:w="0" w:type="dxa"/>
          </w:tblCellMar>
        </w:tblPrEx>
        <w:tc>
          <w:tcPr>
            <w:tcW w:w="2835" w:type="dxa"/>
          </w:tcPr>
          <w:p w14:paraId="2DEFFD67" w14:textId="77777777" w:rsidR="0048679D" w:rsidRPr="00A538DD" w:rsidRDefault="0048679D">
            <w:r w:rsidRPr="00A538DD">
              <w:t>Eget kapital</w:t>
            </w:r>
          </w:p>
        </w:tc>
        <w:tc>
          <w:tcPr>
            <w:tcW w:w="1134" w:type="dxa"/>
          </w:tcPr>
          <w:p w14:paraId="6AD9121C" w14:textId="77777777" w:rsidR="0048679D" w:rsidRPr="00A538DD" w:rsidRDefault="0048679D">
            <w:pPr>
              <w:jc w:val="right"/>
            </w:pPr>
            <w:r w:rsidRPr="00A538DD">
              <w:t>1,8</w:t>
            </w:r>
          </w:p>
        </w:tc>
        <w:tc>
          <w:tcPr>
            <w:tcW w:w="1134" w:type="dxa"/>
          </w:tcPr>
          <w:p w14:paraId="2498B722" w14:textId="77777777" w:rsidR="0048679D" w:rsidRPr="00A538DD" w:rsidRDefault="0048679D">
            <w:pPr>
              <w:jc w:val="right"/>
            </w:pPr>
            <w:r w:rsidRPr="00A538DD">
              <w:t>1,5</w:t>
            </w:r>
          </w:p>
        </w:tc>
      </w:tr>
      <w:tr w:rsidR="00000000" w:rsidRPr="00A538DD" w14:paraId="0D0365CD" w14:textId="77777777">
        <w:tblPrEx>
          <w:tblCellMar>
            <w:top w:w="0" w:type="dxa"/>
            <w:bottom w:w="0" w:type="dxa"/>
          </w:tblCellMar>
        </w:tblPrEx>
        <w:tc>
          <w:tcPr>
            <w:tcW w:w="2835" w:type="dxa"/>
          </w:tcPr>
          <w:p w14:paraId="19353FC7" w14:textId="77777777" w:rsidR="0048679D" w:rsidRPr="00A538DD" w:rsidRDefault="0048679D">
            <w:r w:rsidRPr="00A538DD">
              <w:t>Skulder</w:t>
            </w:r>
          </w:p>
        </w:tc>
        <w:tc>
          <w:tcPr>
            <w:tcW w:w="1134" w:type="dxa"/>
            <w:tcBorders>
              <w:bottom w:val="single" w:sz="4" w:space="0" w:color="auto"/>
            </w:tcBorders>
          </w:tcPr>
          <w:p w14:paraId="2ADC652C" w14:textId="77777777" w:rsidR="0048679D" w:rsidRPr="00A538DD" w:rsidRDefault="0048679D">
            <w:pPr>
              <w:jc w:val="right"/>
            </w:pPr>
            <w:r w:rsidRPr="00A538DD">
              <w:t>0,0</w:t>
            </w:r>
          </w:p>
        </w:tc>
        <w:tc>
          <w:tcPr>
            <w:tcW w:w="1134" w:type="dxa"/>
            <w:tcBorders>
              <w:bottom w:val="single" w:sz="4" w:space="0" w:color="auto"/>
            </w:tcBorders>
          </w:tcPr>
          <w:p w14:paraId="64222572" w14:textId="77777777" w:rsidR="0048679D" w:rsidRPr="00A538DD" w:rsidRDefault="0048679D">
            <w:pPr>
              <w:jc w:val="right"/>
            </w:pPr>
            <w:r w:rsidRPr="00A538DD">
              <w:t>0,5</w:t>
            </w:r>
          </w:p>
        </w:tc>
      </w:tr>
      <w:tr w:rsidR="00000000" w:rsidRPr="00A538DD" w14:paraId="46EE4C12" w14:textId="77777777">
        <w:tblPrEx>
          <w:tblCellMar>
            <w:top w:w="0" w:type="dxa"/>
            <w:bottom w:w="0" w:type="dxa"/>
          </w:tblCellMar>
        </w:tblPrEx>
        <w:tc>
          <w:tcPr>
            <w:tcW w:w="2835" w:type="dxa"/>
            <w:tcBorders>
              <w:bottom w:val="single" w:sz="4" w:space="0" w:color="auto"/>
            </w:tcBorders>
          </w:tcPr>
          <w:p w14:paraId="566525B7" w14:textId="77777777" w:rsidR="0048679D" w:rsidRPr="00A538DD" w:rsidRDefault="0048679D">
            <w:pPr>
              <w:rPr>
                <w:b/>
              </w:rPr>
            </w:pPr>
            <w:r w:rsidRPr="00A538DD">
              <w:rPr>
                <w:b/>
              </w:rPr>
              <w:t xml:space="preserve">Summa eget kapital och skulder </w:t>
            </w:r>
          </w:p>
        </w:tc>
        <w:tc>
          <w:tcPr>
            <w:tcW w:w="1134" w:type="dxa"/>
            <w:tcBorders>
              <w:top w:val="single" w:sz="4" w:space="0" w:color="auto"/>
              <w:bottom w:val="single" w:sz="4" w:space="0" w:color="auto"/>
            </w:tcBorders>
          </w:tcPr>
          <w:p w14:paraId="0164B8D2" w14:textId="77777777" w:rsidR="0048679D" w:rsidRPr="00A538DD" w:rsidRDefault="0048679D">
            <w:pPr>
              <w:jc w:val="right"/>
              <w:rPr>
                <w:b/>
              </w:rPr>
            </w:pPr>
            <w:r w:rsidRPr="00A538DD">
              <w:rPr>
                <w:b/>
              </w:rPr>
              <w:t>1,8</w:t>
            </w:r>
          </w:p>
        </w:tc>
        <w:tc>
          <w:tcPr>
            <w:tcW w:w="1134" w:type="dxa"/>
            <w:tcBorders>
              <w:bottom w:val="single" w:sz="4" w:space="0" w:color="auto"/>
            </w:tcBorders>
          </w:tcPr>
          <w:p w14:paraId="101313E1" w14:textId="77777777" w:rsidR="0048679D" w:rsidRPr="00A538DD" w:rsidRDefault="0048679D">
            <w:pPr>
              <w:jc w:val="right"/>
              <w:rPr>
                <w:b/>
              </w:rPr>
            </w:pPr>
            <w:r w:rsidRPr="00A538DD">
              <w:rPr>
                <w:b/>
              </w:rPr>
              <w:t>2,0</w:t>
            </w:r>
          </w:p>
        </w:tc>
      </w:tr>
    </w:tbl>
    <w:p w14:paraId="3EE92FC2" w14:textId="77777777" w:rsidR="0048679D" w:rsidRPr="00A538DD" w:rsidRDefault="0048679D">
      <w:r w:rsidRPr="00A538DD">
        <w:rPr>
          <w:b/>
        </w:rPr>
        <w:t>Styrelse</w:t>
      </w:r>
      <w:r w:rsidRPr="00A538DD">
        <w:cr/>
        <w:t>Kersti Eriksen, ordförande</w:t>
      </w:r>
    </w:p>
    <w:p w14:paraId="12DA0623" w14:textId="77777777" w:rsidR="0048679D" w:rsidRPr="00A538DD" w:rsidRDefault="0048679D">
      <w:pPr>
        <w:spacing w:before="0"/>
      </w:pPr>
      <w:r w:rsidRPr="00A538DD">
        <w:t>Björn Hasselgren</w:t>
      </w:r>
    </w:p>
    <w:p w14:paraId="512A2C54" w14:textId="77777777" w:rsidR="0048679D" w:rsidRPr="00A538DD" w:rsidRDefault="0048679D">
      <w:pPr>
        <w:rPr>
          <w:b/>
        </w:rPr>
      </w:pPr>
      <w:r w:rsidRPr="00A538DD">
        <w:rPr>
          <w:b/>
        </w:rPr>
        <w:t>Adress</w:t>
      </w:r>
    </w:p>
    <w:p w14:paraId="59F37485" w14:textId="77777777" w:rsidR="0048679D" w:rsidRPr="00A538DD" w:rsidRDefault="0048679D">
      <w:pPr>
        <w:spacing w:before="0"/>
      </w:pPr>
      <w:r w:rsidRPr="00A538DD">
        <w:t>Tumba Kulturfastigheter AB</w:t>
      </w:r>
    </w:p>
    <w:p w14:paraId="6BCA02A2" w14:textId="77777777" w:rsidR="0048679D" w:rsidRPr="00A538DD" w:rsidRDefault="0048679D">
      <w:pPr>
        <w:pStyle w:val="Reservantfrslag"/>
      </w:pPr>
      <w:r w:rsidRPr="00A538DD">
        <w:t>c/o Sveriges riksbank</w:t>
      </w:r>
    </w:p>
    <w:p w14:paraId="3FD3E568" w14:textId="77777777" w:rsidR="0048679D" w:rsidRPr="00A538DD" w:rsidRDefault="0048679D">
      <w:pPr>
        <w:pStyle w:val="Reservantfrslag"/>
        <w:jc w:val="left"/>
        <w:sectPr w:rsidR="00000000" w:rsidRPr="00A538DD">
          <w:pgSz w:w="11906" w:h="16838" w:code="9"/>
          <w:pgMar w:top="907" w:right="4649" w:bottom="4508" w:left="1304" w:header="340" w:footer="227" w:gutter="0"/>
          <w:cols w:space="720"/>
          <w:titlePg/>
        </w:sectPr>
      </w:pPr>
      <w:r w:rsidRPr="00A538DD">
        <w:t>103 37 Stockholm</w:t>
      </w:r>
    </w:p>
    <w:p w14:paraId="3F1497A1" w14:textId="77777777" w:rsidR="0048679D" w:rsidRPr="00A538DD" w:rsidRDefault="0048679D">
      <w:pPr>
        <w:pStyle w:val="Rubrik1"/>
        <w:spacing w:after="120"/>
        <w:rPr>
          <w:noProof w:val="0"/>
        </w:rPr>
      </w:pPr>
      <w:bookmarkStart w:id="38" w:name="_Toc97613763"/>
      <w:r w:rsidRPr="00A538DD">
        <w:rPr>
          <w:noProof w:val="0"/>
        </w:rPr>
        <w:t>Remissyttranden 2004</w:t>
      </w:r>
      <w:bookmarkEnd w:id="38"/>
    </w:p>
    <w:p w14:paraId="1409D4F5" w14:textId="77777777" w:rsidR="0048679D" w:rsidRPr="00A538DD" w:rsidRDefault="0048679D">
      <w:r w:rsidRPr="00A538DD">
        <w:t xml:space="preserve">Följande remissyttranden lämnades av Riksbankens direktion under 2004. </w:t>
      </w:r>
      <w:r w:rsidRPr="00A538DD">
        <w:br/>
        <w:t>Där inte annat anges har beslut fattats av vice riksbankschef Villy Bergström som har beredningsansvar för remissfrågor.</w:t>
      </w:r>
    </w:p>
    <w:p w14:paraId="583B69D5" w14:textId="77777777" w:rsidR="0048679D" w:rsidRPr="00A538DD" w:rsidRDefault="0048679D"/>
    <w:p w14:paraId="7A57FE5F" w14:textId="77777777" w:rsidR="0048679D" w:rsidRPr="00A538DD" w:rsidRDefault="0048679D">
      <w:pPr>
        <w:rPr>
          <w:b/>
        </w:rPr>
      </w:pPr>
      <w:r w:rsidRPr="00A538DD">
        <w:rPr>
          <w:b/>
        </w:rPr>
        <w:t>European Commission</w:t>
      </w:r>
    </w:p>
    <w:p w14:paraId="1CC6753B" w14:textId="77777777" w:rsidR="0048679D" w:rsidRPr="00A538DD" w:rsidRDefault="0048679D">
      <w:r w:rsidRPr="00A538DD">
        <w:t>2004-03-11</w:t>
      </w:r>
      <w:r w:rsidRPr="00A538DD">
        <w:br/>
        <w:t>Comments on the consultative document for the Commission concerning a New Legal Framework for Payments in the Internal Market (COM (2003)718).</w:t>
      </w:r>
    </w:p>
    <w:p w14:paraId="048C0F83" w14:textId="77777777" w:rsidR="0048679D" w:rsidRPr="00A538DD" w:rsidRDefault="0048679D"/>
    <w:p w14:paraId="0C3BB51D" w14:textId="77777777" w:rsidR="0048679D" w:rsidRPr="00A538DD" w:rsidRDefault="0048679D">
      <w:pPr>
        <w:rPr>
          <w:b/>
        </w:rPr>
      </w:pPr>
      <w:r w:rsidRPr="00A538DD">
        <w:rPr>
          <w:b/>
        </w:rPr>
        <w:t>Finansdepartementet</w:t>
      </w:r>
    </w:p>
    <w:p w14:paraId="699FC691" w14:textId="77777777" w:rsidR="0048679D" w:rsidRPr="00A538DD" w:rsidRDefault="0048679D">
      <w:r w:rsidRPr="00A538DD">
        <w:t>2004-11-18</w:t>
      </w:r>
      <w:r w:rsidRPr="00A538DD">
        <w:br/>
        <w:t>Yttrande rörande delbetänkande av Prospektutredningen: Prospekt – nya regler om prospekt m.m. (SOU 2004:95).</w:t>
      </w:r>
    </w:p>
    <w:p w14:paraId="319188E3" w14:textId="77777777" w:rsidR="0048679D" w:rsidRPr="00A538DD" w:rsidRDefault="0048679D"/>
    <w:p w14:paraId="373D28A2" w14:textId="77777777" w:rsidR="0048679D" w:rsidRPr="00A538DD" w:rsidRDefault="0048679D">
      <w:r w:rsidRPr="00A538DD">
        <w:t>2004-10-15</w:t>
      </w:r>
      <w:r w:rsidRPr="00A538DD">
        <w:br/>
        <w:t>Yttrande över remiss av Riksgäldskontorets förslag till riktlinjer för statssku</w:t>
      </w:r>
      <w:r w:rsidRPr="00A538DD">
        <w:t>l</w:t>
      </w:r>
      <w:r w:rsidRPr="00A538DD">
        <w:t>dens förvaltning.</w:t>
      </w:r>
    </w:p>
    <w:p w14:paraId="404CA339" w14:textId="77777777" w:rsidR="0048679D" w:rsidRPr="00A538DD" w:rsidRDefault="0048679D"/>
    <w:p w14:paraId="571E896A" w14:textId="77777777" w:rsidR="0048679D" w:rsidRPr="00A538DD" w:rsidRDefault="0048679D">
      <w:r w:rsidRPr="00A538DD">
        <w:t>2004-10-13</w:t>
      </w:r>
      <w:r w:rsidRPr="00A538DD">
        <w:br/>
        <w:t>Yttrande över betänkande från Marknadsmissbruksutredningen (SOU 2004:69).</w:t>
      </w:r>
    </w:p>
    <w:p w14:paraId="498A7AD4" w14:textId="77777777" w:rsidR="0048679D" w:rsidRPr="00A538DD" w:rsidRDefault="0048679D"/>
    <w:p w14:paraId="6096F041" w14:textId="77777777" w:rsidR="0048679D" w:rsidRPr="00A538DD" w:rsidRDefault="0048679D">
      <w:r w:rsidRPr="00A538DD">
        <w:t>2004-09-15</w:t>
      </w:r>
      <w:r w:rsidRPr="00A538DD">
        <w:br/>
        <w:t>Yttrande över promemorian (Ds 2004:25) Sjätte AP-fonden i det reformerade pensionssystemet.</w:t>
      </w:r>
    </w:p>
    <w:p w14:paraId="198BD445" w14:textId="77777777" w:rsidR="0048679D" w:rsidRPr="00A538DD" w:rsidRDefault="0048679D"/>
    <w:p w14:paraId="245B08B3" w14:textId="77777777" w:rsidR="0048679D" w:rsidRPr="00A538DD" w:rsidRDefault="0048679D">
      <w:r w:rsidRPr="00A538DD">
        <w:t>2004-09-14</w:t>
      </w:r>
      <w:r w:rsidRPr="00A538DD">
        <w:br/>
        <w:t>Yttrande över Finansdepartementets promemoria om flytträtt för pension</w:t>
      </w:r>
      <w:r w:rsidRPr="00A538DD">
        <w:t>s</w:t>
      </w:r>
      <w:r w:rsidRPr="00A538DD">
        <w:t>sparande. Beslut i detta ärende har fattats av Riksbankens direktion.</w:t>
      </w:r>
    </w:p>
    <w:p w14:paraId="53698641" w14:textId="77777777" w:rsidR="0048679D" w:rsidRPr="00A538DD" w:rsidRDefault="0048679D"/>
    <w:p w14:paraId="1250538B" w14:textId="77777777" w:rsidR="0048679D" w:rsidRPr="00A538DD" w:rsidRDefault="0048679D">
      <w:r w:rsidRPr="00A538DD">
        <w:t>2004-08-27</w:t>
      </w:r>
      <w:r w:rsidRPr="00A538DD">
        <w:br/>
        <w:t>Yttrande över remiss angående direktivförslag om nya kapitaltäckningsregler och inbjudan till samrådsmöte. Beslut i detta ärende har fattats av Björn Ha</w:t>
      </w:r>
      <w:r w:rsidRPr="00A538DD">
        <w:t>s</w:t>
      </w:r>
      <w:r w:rsidRPr="00A538DD">
        <w:t>selgren på delegation från Villy Bergström.</w:t>
      </w:r>
    </w:p>
    <w:p w14:paraId="2EA1AC80" w14:textId="77777777" w:rsidR="0048679D" w:rsidRPr="00A538DD" w:rsidRDefault="0048679D"/>
    <w:p w14:paraId="0B637C66" w14:textId="77777777" w:rsidR="0048679D" w:rsidRPr="00A538DD" w:rsidRDefault="0048679D">
      <w:r w:rsidRPr="00A538DD">
        <w:t>2004-06-29</w:t>
      </w:r>
      <w:r w:rsidRPr="00A538DD">
        <w:br/>
        <w:t>Yttrande över Långtidsutredningens betänkande (SOU 2004:19). Beslut i detta ärende har fattats av Riksbankens direktion.</w:t>
      </w:r>
    </w:p>
    <w:p w14:paraId="02A81CFD" w14:textId="77777777" w:rsidR="0048679D" w:rsidRPr="00A538DD" w:rsidRDefault="0048679D">
      <w:r w:rsidRPr="00A538DD">
        <w:t>2004-06-22</w:t>
      </w:r>
      <w:r w:rsidRPr="00A538DD">
        <w:br/>
        <w:t>Yttrande över Finansdepartementets promemoria om vissa stämpelskattefr</w:t>
      </w:r>
      <w:r w:rsidRPr="00A538DD">
        <w:t>å</w:t>
      </w:r>
      <w:r w:rsidRPr="00A538DD">
        <w:t>g</w:t>
      </w:r>
      <w:r w:rsidRPr="00A538DD">
        <w:softHyphen/>
        <w:t>or.</w:t>
      </w:r>
    </w:p>
    <w:p w14:paraId="066CD7C7" w14:textId="77777777" w:rsidR="0048679D" w:rsidRPr="00A538DD" w:rsidRDefault="0048679D"/>
    <w:p w14:paraId="189E93D0" w14:textId="77777777" w:rsidR="0048679D" w:rsidRPr="00A538DD" w:rsidRDefault="0048679D">
      <w:r w:rsidRPr="00A538DD">
        <w:t>2004-04-15</w:t>
      </w:r>
      <w:r w:rsidRPr="00A538DD">
        <w:br/>
        <w:t>Yttrande över departementspromemorian Nya principer för utformning av statsbudgeten (Ds 2003:49). Beslut i detta ärende har fattats av Riksbankens direktion.</w:t>
      </w:r>
    </w:p>
    <w:p w14:paraId="1699449C" w14:textId="77777777" w:rsidR="0048679D" w:rsidRPr="00A538DD" w:rsidRDefault="0048679D"/>
    <w:p w14:paraId="10E9C5CA" w14:textId="77777777" w:rsidR="0048679D" w:rsidRPr="00A538DD" w:rsidRDefault="0048679D">
      <w:r w:rsidRPr="00A538DD">
        <w:t>2004-03-25</w:t>
      </w:r>
      <w:r w:rsidRPr="00A538DD">
        <w:br/>
        <w:t>Yttrande över promemoria om stämpelskatt i samband med företagsintec</w:t>
      </w:r>
      <w:r w:rsidRPr="00A538DD">
        <w:t>k</w:t>
      </w:r>
      <w:r w:rsidRPr="00A538DD">
        <w:t>ning.</w:t>
      </w:r>
    </w:p>
    <w:p w14:paraId="73559F8C" w14:textId="77777777" w:rsidR="0048679D" w:rsidRPr="00A538DD" w:rsidRDefault="0048679D">
      <w:pPr>
        <w:pStyle w:val="Normaltindrag"/>
      </w:pPr>
    </w:p>
    <w:p w14:paraId="36D6B928" w14:textId="77777777" w:rsidR="0048679D" w:rsidRPr="00A538DD" w:rsidRDefault="0048679D">
      <w:r w:rsidRPr="00A538DD">
        <w:t>2004-03-12</w:t>
      </w:r>
      <w:r w:rsidRPr="00A538DD">
        <w:br/>
        <w:t>Yttrande över Finansdepartementets förslag till förordningar med anledning av reformerade regler för bank- och finansieringsrörelse.</w:t>
      </w:r>
    </w:p>
    <w:p w14:paraId="6689F5FE" w14:textId="77777777" w:rsidR="0048679D" w:rsidRPr="00A538DD" w:rsidRDefault="0048679D"/>
    <w:p w14:paraId="55AEEF88" w14:textId="77777777" w:rsidR="0048679D" w:rsidRPr="00A538DD" w:rsidRDefault="0048679D">
      <w:r w:rsidRPr="00A538DD">
        <w:t>2004-02-24</w:t>
      </w:r>
      <w:r w:rsidRPr="00A538DD">
        <w:br/>
        <w:t>Yttrande över förslag till förordning med genomförandeåtgärder avseende prospektdirektivet.</w:t>
      </w:r>
    </w:p>
    <w:p w14:paraId="33282194" w14:textId="77777777" w:rsidR="0048679D" w:rsidRPr="00A538DD" w:rsidRDefault="0048679D"/>
    <w:p w14:paraId="259CF732" w14:textId="77777777" w:rsidR="0048679D" w:rsidRPr="00A538DD" w:rsidRDefault="0048679D">
      <w:r w:rsidRPr="00A538DD">
        <w:t>2004-02-03</w:t>
      </w:r>
      <w:r w:rsidRPr="00A538DD">
        <w:br/>
        <w:t>Yttrande över promemoria om förstärkt skydd för försäkringstagare i livfö</w:t>
      </w:r>
      <w:r w:rsidRPr="00A538DD">
        <w:t>r</w:t>
      </w:r>
      <w:r w:rsidRPr="00A538DD">
        <w:t>säkringsbolag.</w:t>
      </w:r>
    </w:p>
    <w:p w14:paraId="11C3F722" w14:textId="77777777" w:rsidR="0048679D" w:rsidRPr="00A538DD" w:rsidRDefault="0048679D"/>
    <w:p w14:paraId="25EC8F25" w14:textId="77777777" w:rsidR="0048679D" w:rsidRPr="00A538DD" w:rsidRDefault="0048679D">
      <w:r w:rsidRPr="00A538DD">
        <w:t>2004-01-29</w:t>
      </w:r>
      <w:r w:rsidRPr="00A538DD">
        <w:br/>
        <w:t>Yttrande över promemoria om särskilda frågor rörande finansiella företag som tillämpar IAS.</w:t>
      </w:r>
    </w:p>
    <w:p w14:paraId="7F3C5654" w14:textId="77777777" w:rsidR="0048679D" w:rsidRPr="00A538DD" w:rsidRDefault="0048679D"/>
    <w:p w14:paraId="48C8D731" w14:textId="77777777" w:rsidR="0048679D" w:rsidRPr="00A538DD" w:rsidRDefault="0048679D">
      <w:r w:rsidRPr="00A538DD">
        <w:t>2004-01-19</w:t>
      </w:r>
      <w:r w:rsidRPr="00A538DD">
        <w:br/>
        <w:t>Yttrande över förslag till ändringar i bestämmelserna om återkrav mot pe</w:t>
      </w:r>
      <w:r w:rsidRPr="00A538DD">
        <w:t>n</w:t>
      </w:r>
      <w:r w:rsidRPr="00A538DD">
        <w:t>sionsspararna i 14 kap. lagen (1998:674) om inkomstgrundad ålderspension (LIP) samt ändringar i 9 kap. 2 § samt 12 kap. 2 och 3 §§ samma lag.</w:t>
      </w:r>
    </w:p>
    <w:p w14:paraId="5BF4443F" w14:textId="77777777" w:rsidR="0048679D" w:rsidRPr="00A538DD" w:rsidRDefault="0048679D"/>
    <w:p w14:paraId="44EB0FBC" w14:textId="77777777" w:rsidR="0048679D" w:rsidRPr="00A538DD" w:rsidRDefault="0048679D">
      <w:r w:rsidRPr="00A538DD">
        <w:t>2004-01-16</w:t>
      </w:r>
      <w:r w:rsidRPr="00A538DD">
        <w:br/>
        <w:t>Yttrande över Finansdepartementets promemoria om följdändringar med anledning av nya regler för bank- och finansieringsrörelse samt inlåning</w:t>
      </w:r>
      <w:r w:rsidRPr="00A538DD">
        <w:t>s</w:t>
      </w:r>
      <w:r w:rsidRPr="00A538DD">
        <w:t>verksamhet.</w:t>
      </w:r>
    </w:p>
    <w:p w14:paraId="08C779E4" w14:textId="77777777" w:rsidR="0048679D" w:rsidRPr="00A538DD" w:rsidRDefault="0048679D"/>
    <w:p w14:paraId="679BC417" w14:textId="77777777" w:rsidR="0048679D" w:rsidRPr="00A538DD" w:rsidRDefault="0048679D">
      <w:r w:rsidRPr="00A538DD">
        <w:t>2004-01-16</w:t>
      </w:r>
      <w:r w:rsidRPr="00A538DD">
        <w:br/>
        <w:t>Yttrande över departementspromemoria Skärpta regler mot penningtvätt (Ds 2003:52).</w:t>
      </w:r>
    </w:p>
    <w:p w14:paraId="5DBEA342" w14:textId="77777777" w:rsidR="0048679D" w:rsidRPr="00A538DD" w:rsidRDefault="0048679D">
      <w:pPr>
        <w:rPr>
          <w:b/>
        </w:rPr>
      </w:pPr>
      <w:r w:rsidRPr="00A538DD">
        <w:rPr>
          <w:b/>
        </w:rPr>
        <w:t>Finansinspektionen</w:t>
      </w:r>
    </w:p>
    <w:p w14:paraId="758A134F" w14:textId="77777777" w:rsidR="0048679D" w:rsidRPr="00A538DD" w:rsidRDefault="0048679D">
      <w:r w:rsidRPr="00A538DD">
        <w:t>2004-12-07</w:t>
      </w:r>
      <w:r w:rsidRPr="00A538DD">
        <w:br/>
        <w:t>Yttrande över förslag till ändrade rörelseföreskrifter till följd av IAS-förordningen och ny IAS-anpassad lagstiftning.</w:t>
      </w:r>
    </w:p>
    <w:p w14:paraId="4D13B2F6" w14:textId="77777777" w:rsidR="0048679D" w:rsidRPr="00A538DD" w:rsidRDefault="0048679D"/>
    <w:p w14:paraId="07C56B8D" w14:textId="77777777" w:rsidR="0048679D" w:rsidRPr="00A538DD" w:rsidRDefault="0048679D">
      <w:r w:rsidRPr="00A538DD">
        <w:t>2004-11-17</w:t>
      </w:r>
      <w:r w:rsidRPr="00A538DD">
        <w:br/>
        <w:t>Yttrande över remiss av förslag till ändrade kapitaltäckningsföreskrifter.</w:t>
      </w:r>
    </w:p>
    <w:p w14:paraId="3BBBAE14" w14:textId="77777777" w:rsidR="0048679D" w:rsidRPr="00A538DD" w:rsidRDefault="0048679D"/>
    <w:p w14:paraId="2A121566" w14:textId="77777777" w:rsidR="0048679D" w:rsidRPr="00A538DD" w:rsidRDefault="0048679D">
      <w:r w:rsidRPr="00A538DD">
        <w:t>2004-10-25</w:t>
      </w:r>
      <w:r w:rsidRPr="00A538DD">
        <w:br/>
        <w:t>Yttrande över remiss rörande ändringsförslag till Finansinspektionens för</w:t>
      </w:r>
      <w:r w:rsidRPr="00A538DD">
        <w:t>e</w:t>
      </w:r>
      <w:r w:rsidRPr="00A538DD">
        <w:t>skrifter och allmänna råd (FFFS 2004:X) om årsredovisning i kreditinstitut och värdepappersbolag samt Finansinspektionens föreskrifter och allmänna råd (FFFS 2004:Y) om årsredovisning i försäkringsföretag.</w:t>
      </w:r>
    </w:p>
    <w:p w14:paraId="12CBC59F" w14:textId="77777777" w:rsidR="0048679D" w:rsidRPr="00A538DD" w:rsidRDefault="0048679D"/>
    <w:p w14:paraId="2E6916E4" w14:textId="77777777" w:rsidR="0048679D" w:rsidRPr="00A538DD" w:rsidRDefault="0048679D">
      <w:r w:rsidRPr="00A538DD">
        <w:t>2004-08-27</w:t>
      </w:r>
      <w:r w:rsidRPr="00A538DD">
        <w:br/>
        <w:t>Yttrande över remiss angående ändrad rapportering av kvalificerade innehav, dotterföretag samt allmän registerinformation. Beslut i detta ärende har fattats av Björn Hasselgren på delegation från Villy Bergström.</w:t>
      </w:r>
    </w:p>
    <w:p w14:paraId="109FF02A" w14:textId="77777777" w:rsidR="0048679D" w:rsidRPr="00A538DD" w:rsidRDefault="0048679D"/>
    <w:p w14:paraId="62CD2BBC" w14:textId="77777777" w:rsidR="0048679D" w:rsidRPr="00A538DD" w:rsidRDefault="0048679D">
      <w:r w:rsidRPr="00A538DD">
        <w:t>2004-05-06</w:t>
      </w:r>
      <w:r w:rsidRPr="00A538DD">
        <w:br/>
        <w:t>Yttrande över remiss rörande Finansinspektionens allmänna råd om ansökan om tillstånd att driva bank- och finansieringsrörelse eller att ge ut elektroniska pengar.</w:t>
      </w:r>
    </w:p>
    <w:p w14:paraId="7413B924" w14:textId="77777777" w:rsidR="0048679D" w:rsidRPr="00A538DD" w:rsidRDefault="0048679D"/>
    <w:p w14:paraId="33B27EDC" w14:textId="77777777" w:rsidR="0048679D" w:rsidRPr="00A538DD" w:rsidRDefault="0048679D">
      <w:r w:rsidRPr="00A538DD">
        <w:t>2004-04-22</w:t>
      </w:r>
      <w:r w:rsidRPr="00A538DD">
        <w:br/>
        <w:t>Yttrande över Finansinspektionens förslag till föreskrifter och allmänna råd om säkerställda obligationer.</w:t>
      </w:r>
    </w:p>
    <w:p w14:paraId="61B97D3C" w14:textId="77777777" w:rsidR="0048679D" w:rsidRPr="00A538DD" w:rsidRDefault="0048679D"/>
    <w:p w14:paraId="2406534C" w14:textId="77777777" w:rsidR="0048679D" w:rsidRPr="00A538DD" w:rsidRDefault="0048679D">
      <w:r w:rsidRPr="00A538DD">
        <w:t>2004-03-17</w:t>
      </w:r>
      <w:r w:rsidRPr="00A538DD">
        <w:br/>
        <w:t>Yttrande över ändringsförslag till Finansinspektionens föreskrifter och al</w:t>
      </w:r>
      <w:r w:rsidRPr="00A538DD">
        <w:t>l</w:t>
      </w:r>
      <w:r w:rsidRPr="00A538DD">
        <w:t>männa råd (FFFS 2003:13) om årsredovisning i försäkringsföretag – Förbät</w:t>
      </w:r>
      <w:r w:rsidRPr="00A538DD">
        <w:t>t</w:t>
      </w:r>
      <w:r w:rsidRPr="00A538DD">
        <w:t>rade upplysningar om ersättningar och förmåner till personer i ledande stäl</w:t>
      </w:r>
      <w:r w:rsidRPr="00A538DD">
        <w:t>l</w:t>
      </w:r>
      <w:r w:rsidRPr="00A538DD">
        <w:t>ning. Beslut i detta ärende har fattats av Björn Hasselgren på delegation från Villy Bergström.</w:t>
      </w:r>
    </w:p>
    <w:p w14:paraId="21B63EB0" w14:textId="77777777" w:rsidR="0048679D" w:rsidRPr="00A538DD" w:rsidRDefault="0048679D"/>
    <w:p w14:paraId="678FA2A1" w14:textId="77777777" w:rsidR="0048679D" w:rsidRPr="00A538DD" w:rsidRDefault="0048679D">
      <w:r w:rsidRPr="00A538DD">
        <w:t>2004-02-20</w:t>
      </w:r>
      <w:r w:rsidRPr="00A538DD">
        <w:br/>
        <w:t>Yttrande över förslag till Finansinspektionens allmänna råd om kreditrisker i kreditinstitut och värdepappersinstitut.</w:t>
      </w:r>
    </w:p>
    <w:p w14:paraId="0C5ED947" w14:textId="77777777" w:rsidR="0048679D" w:rsidRPr="00A538DD" w:rsidRDefault="0048679D">
      <w:r w:rsidRPr="00A538DD">
        <w:t>2004-01-19</w:t>
      </w:r>
      <w:r w:rsidRPr="00A538DD">
        <w:br/>
        <w:t>Yttrande över förslag till ändring av Finansinspektionens föreskrifter och allmänna råd (FFFS 2003:10) om kapitaltäckning och stora exponeringar.</w:t>
      </w:r>
    </w:p>
    <w:p w14:paraId="2DC223A7" w14:textId="77777777" w:rsidR="0048679D" w:rsidRPr="00A538DD" w:rsidRDefault="0048679D"/>
    <w:p w14:paraId="0BDE939D" w14:textId="77777777" w:rsidR="0048679D" w:rsidRPr="00A538DD" w:rsidRDefault="0048679D">
      <w:pPr>
        <w:rPr>
          <w:b/>
        </w:rPr>
      </w:pPr>
      <w:r w:rsidRPr="00A538DD">
        <w:rPr>
          <w:b/>
        </w:rPr>
        <w:t>Justitiedepartementet</w:t>
      </w:r>
    </w:p>
    <w:p w14:paraId="74D1AE9F" w14:textId="77777777" w:rsidR="0048679D" w:rsidRPr="00A538DD" w:rsidRDefault="0048679D">
      <w:r w:rsidRPr="00A538DD">
        <w:t>2004-09-29</w:t>
      </w:r>
      <w:r w:rsidRPr="00A538DD">
        <w:br/>
        <w:t>Yttrande över betänkandet Näringslivet och förtroendet (SOU 2004:47) samt Svensk kod för bolagsstyrning (SOU 2004:46). Beslut i detta ärende är fattat av Riksbankens direktion.</w:t>
      </w:r>
    </w:p>
    <w:p w14:paraId="2B24F9A2" w14:textId="77777777" w:rsidR="0048679D" w:rsidRPr="00A538DD" w:rsidRDefault="0048679D"/>
    <w:p w14:paraId="448976AC" w14:textId="77777777" w:rsidR="0048679D" w:rsidRPr="00A538DD" w:rsidRDefault="0048679D">
      <w:r w:rsidRPr="00A538DD">
        <w:t>2004-03-25</w:t>
      </w:r>
      <w:r w:rsidRPr="00A538DD">
        <w:br/>
        <w:t>Yttrande över utkast till lagrådsremiss Europeisk insolvens.</w:t>
      </w:r>
    </w:p>
    <w:p w14:paraId="689A6E83" w14:textId="77777777" w:rsidR="0048679D" w:rsidRPr="00A538DD" w:rsidRDefault="0048679D"/>
    <w:p w14:paraId="078E831E" w14:textId="77777777" w:rsidR="0048679D" w:rsidRPr="00A538DD" w:rsidRDefault="0048679D">
      <w:pPr>
        <w:rPr>
          <w:b/>
        </w:rPr>
      </w:pPr>
      <w:r w:rsidRPr="00A538DD">
        <w:rPr>
          <w:b/>
        </w:rPr>
        <w:t>Krisberedskapsmyndigheten</w:t>
      </w:r>
    </w:p>
    <w:p w14:paraId="0148BC1E" w14:textId="77777777" w:rsidR="0048679D" w:rsidRPr="00A538DD" w:rsidRDefault="0048679D">
      <w:r w:rsidRPr="00A538DD">
        <w:t>2004-08-26</w:t>
      </w:r>
      <w:r w:rsidRPr="00A538DD">
        <w:br/>
        <w:t>Yttrande över remiss angående KBM:s inriktning för det kommande webb</w:t>
      </w:r>
      <w:r w:rsidRPr="00A538DD">
        <w:t>a</w:t>
      </w:r>
      <w:r w:rsidRPr="00A538DD">
        <w:t>serade planeringsverktyget.</w:t>
      </w:r>
    </w:p>
    <w:p w14:paraId="5E657070" w14:textId="77777777" w:rsidR="0048679D" w:rsidRPr="00A538DD" w:rsidRDefault="0048679D"/>
    <w:p w14:paraId="7497529A" w14:textId="77777777" w:rsidR="0048679D" w:rsidRPr="00A538DD" w:rsidRDefault="0048679D">
      <w:r w:rsidRPr="00A538DD">
        <w:t>2004-06-29</w:t>
      </w:r>
      <w:r w:rsidRPr="00A538DD">
        <w:br/>
        <w:t>Yttrande över ”Samhällets krisberedskap 2006 Planeringsinriktning”.</w:t>
      </w:r>
    </w:p>
    <w:p w14:paraId="6C48C20C" w14:textId="77777777" w:rsidR="0048679D" w:rsidRPr="00A538DD" w:rsidRDefault="0048679D">
      <w:pPr>
        <w:rPr>
          <w:b/>
        </w:rPr>
      </w:pPr>
    </w:p>
    <w:p w14:paraId="3E4939F9" w14:textId="77777777" w:rsidR="0048679D" w:rsidRPr="00A538DD" w:rsidRDefault="0048679D">
      <w:pPr>
        <w:rPr>
          <w:b/>
        </w:rPr>
      </w:pPr>
      <w:r w:rsidRPr="00A538DD">
        <w:rPr>
          <w:b/>
        </w:rPr>
        <w:t>Näringsdepartementet</w:t>
      </w:r>
    </w:p>
    <w:p w14:paraId="1A41E9CA" w14:textId="77777777" w:rsidR="0048679D" w:rsidRPr="00A538DD" w:rsidRDefault="0048679D">
      <w:pPr>
        <w:rPr>
          <w:b/>
        </w:rPr>
      </w:pPr>
      <w:r w:rsidRPr="00A538DD">
        <w:t>2004-09-14</w:t>
      </w:r>
      <w:r w:rsidRPr="00A538DD">
        <w:br/>
        <w:t>Yttrande över delbetänkandet Samhällets behov av betaltjänster (SOU 2004:52). Beslut i detta ärende är fattat av Riksbankens direktion.</w:t>
      </w:r>
    </w:p>
    <w:p w14:paraId="6DB2A62C" w14:textId="77777777" w:rsidR="0048679D" w:rsidRPr="00A538DD" w:rsidRDefault="0048679D"/>
    <w:p w14:paraId="799DE43C" w14:textId="77777777" w:rsidR="0048679D" w:rsidRPr="00A538DD" w:rsidRDefault="0048679D">
      <w:pPr>
        <w:rPr>
          <w:b/>
        </w:rPr>
      </w:pPr>
      <w:r w:rsidRPr="00A538DD">
        <w:rPr>
          <w:b/>
        </w:rPr>
        <w:t>Post- och telestyrelsen</w:t>
      </w:r>
    </w:p>
    <w:p w14:paraId="3949D48C" w14:textId="77777777" w:rsidR="0048679D" w:rsidRPr="00A538DD" w:rsidRDefault="0048679D">
      <w:r w:rsidRPr="00A538DD">
        <w:t>2004-09-29</w:t>
      </w:r>
      <w:r w:rsidRPr="00A538DD">
        <w:br/>
        <w:t>Yttrande över remiss angående behov av sekretesskydd för uppgifter om anläggningar för elektronisk kommunikation.</w:t>
      </w:r>
    </w:p>
    <w:p w14:paraId="606BD759" w14:textId="77777777" w:rsidR="0048679D" w:rsidRPr="00A538DD" w:rsidRDefault="0048679D"/>
    <w:p w14:paraId="24315F07" w14:textId="77777777" w:rsidR="0048679D" w:rsidRPr="00A538DD" w:rsidRDefault="0048679D">
      <w:r w:rsidRPr="00A538DD">
        <w:t>2004-06-22</w:t>
      </w:r>
      <w:r w:rsidRPr="00A538DD">
        <w:br/>
        <w:t>Yttrande över remiss angående Post- och telestyrelsens förslag till ”Guideline för elektronisk kommunikation för samhällsviktiga användare”.</w:t>
      </w:r>
    </w:p>
    <w:p w14:paraId="15176663" w14:textId="77777777" w:rsidR="0048679D" w:rsidRPr="00A538DD" w:rsidRDefault="0048679D"/>
    <w:p w14:paraId="3DBFAB72" w14:textId="77777777" w:rsidR="0048679D" w:rsidRPr="00A538DD" w:rsidRDefault="0048679D">
      <w:r w:rsidRPr="00A538DD">
        <w:t>2004-06-22</w:t>
      </w:r>
      <w:r w:rsidRPr="00A538DD">
        <w:br/>
        <w:t>Yttrande över remiss angående Post- och telestyrelsens förslag till införande av prioritet i telenät.</w:t>
      </w:r>
    </w:p>
    <w:p w14:paraId="7D211930" w14:textId="77777777" w:rsidR="0048679D" w:rsidRPr="00A538DD" w:rsidRDefault="0048679D"/>
    <w:p w14:paraId="79D05266" w14:textId="77777777" w:rsidR="0048679D" w:rsidRPr="00A538DD" w:rsidRDefault="0048679D">
      <w:pPr>
        <w:pStyle w:val="Normaltindrag"/>
      </w:pPr>
    </w:p>
    <w:p w14:paraId="47F61EF2" w14:textId="77777777" w:rsidR="0048679D" w:rsidRPr="00A538DD" w:rsidRDefault="0048679D">
      <w:pPr>
        <w:spacing w:before="0"/>
        <w:rPr>
          <w:b/>
        </w:rPr>
      </w:pPr>
      <w:r w:rsidRPr="00A538DD">
        <w:rPr>
          <w:b/>
        </w:rPr>
        <w:t>Riksdagsförvaltningen</w:t>
      </w:r>
    </w:p>
    <w:p w14:paraId="480E088C" w14:textId="77777777" w:rsidR="0048679D" w:rsidRPr="00A538DD" w:rsidRDefault="0048679D">
      <w:r w:rsidRPr="00A538DD">
        <w:t>2004-01-22</w:t>
      </w:r>
      <w:r w:rsidRPr="00A538DD">
        <w:br/>
        <w:t>Yttrande över riksdagsförvaltningens remiss Säkerhetsskydd i riksdagen m.m.</w:t>
      </w:r>
    </w:p>
    <w:p w14:paraId="5D6ACC82" w14:textId="77777777" w:rsidR="0048679D" w:rsidRPr="00A538DD" w:rsidRDefault="0048679D"/>
    <w:p w14:paraId="65347569" w14:textId="77777777" w:rsidR="0048679D" w:rsidRPr="00A538DD" w:rsidRDefault="0048679D">
      <w:pPr>
        <w:rPr>
          <w:b/>
        </w:rPr>
      </w:pPr>
      <w:r w:rsidRPr="00A538DD">
        <w:rPr>
          <w:b/>
        </w:rPr>
        <w:t>Socialdepartementet</w:t>
      </w:r>
    </w:p>
    <w:p w14:paraId="28892359" w14:textId="77777777" w:rsidR="0048679D" w:rsidRPr="00A538DD" w:rsidRDefault="0048679D">
      <w:r w:rsidRPr="00A538DD">
        <w:t>2004-06-18</w:t>
      </w:r>
      <w:r w:rsidRPr="00A538DD">
        <w:br/>
        <w:t>Yttrande över promemorian Karensavdrag i stället för karensdag.</w:t>
      </w:r>
    </w:p>
    <w:p w14:paraId="301DDDE2" w14:textId="77777777" w:rsidR="0048679D" w:rsidRPr="00A538DD" w:rsidRDefault="0048679D"/>
    <w:p w14:paraId="04D5E4B2" w14:textId="77777777" w:rsidR="0048679D" w:rsidRPr="00A538DD" w:rsidRDefault="0048679D">
      <w:r w:rsidRPr="00A538DD">
        <w:t>2004-05-18</w:t>
      </w:r>
      <w:r w:rsidRPr="00A538DD">
        <w:br/>
        <w:t>Yttrande över promemorian Drivkrafter för minskad sjukfrånvaro.</w:t>
      </w:r>
    </w:p>
    <w:p w14:paraId="1CB33FFB" w14:textId="77777777" w:rsidR="0048679D" w:rsidRPr="00A538DD" w:rsidRDefault="0048679D">
      <w:pPr>
        <w:pStyle w:val="Reservantfrslag"/>
        <w:sectPr w:rsidR="00000000" w:rsidRPr="00A538DD">
          <w:pgSz w:w="11906" w:h="16838" w:code="9"/>
          <w:pgMar w:top="907" w:right="4649" w:bottom="4508" w:left="1304" w:header="340" w:footer="227" w:gutter="0"/>
          <w:cols w:space="720"/>
          <w:titlePg/>
        </w:sectPr>
      </w:pPr>
    </w:p>
    <w:p w14:paraId="23AA4652" w14:textId="77777777" w:rsidR="0048679D" w:rsidRPr="00A538DD" w:rsidRDefault="0048679D">
      <w:pPr>
        <w:pStyle w:val="Rubrik1"/>
        <w:spacing w:after="120"/>
        <w:rPr>
          <w:noProof w:val="0"/>
          <w:u w:val="single"/>
        </w:rPr>
      </w:pPr>
      <w:bookmarkStart w:id="39" w:name="_Toc97613764"/>
      <w:r w:rsidRPr="00A538DD">
        <w:rPr>
          <w:noProof w:val="0"/>
        </w:rPr>
        <w:t>Ordlista</w:t>
      </w:r>
      <w:bookmarkEnd w:id="39"/>
      <w:r w:rsidRPr="00A538DD">
        <w:rPr>
          <w:noProof w:val="0"/>
        </w:rPr>
        <w:t xml:space="preserve"> </w:t>
      </w:r>
    </w:p>
    <w:p w14:paraId="56586BDD" w14:textId="77777777" w:rsidR="0048679D" w:rsidRPr="00A538DD" w:rsidRDefault="0048679D">
      <w:r w:rsidRPr="00A538DD">
        <w:rPr>
          <w:b/>
        </w:rPr>
        <w:t>Avveckling</w:t>
      </w:r>
      <w:r w:rsidRPr="00A538DD">
        <w:t xml:space="preserve"> Den slutliga regleringen av ett skuldförhållande, dvs. då pengar eller värdepapper överförs från en part till en annan. I RIX sker avvecklingen genom överföring av medel mellan två deltagares konton.</w:t>
      </w:r>
    </w:p>
    <w:p w14:paraId="192EE058" w14:textId="77777777" w:rsidR="0048679D" w:rsidRPr="00A538DD" w:rsidRDefault="0048679D">
      <w:r w:rsidRPr="00A538DD">
        <w:rPr>
          <w:b/>
        </w:rPr>
        <w:t>Betalningsbalans</w:t>
      </w:r>
      <w:r w:rsidRPr="00A538DD">
        <w:t xml:space="preserve"> En statistisk redovisning av ett lands ekonomiska transa</w:t>
      </w:r>
      <w:r w:rsidRPr="00A538DD">
        <w:t>k</w:t>
      </w:r>
      <w:r w:rsidRPr="00A538DD">
        <w:t>tioner med omvärlden.</w:t>
      </w:r>
    </w:p>
    <w:p w14:paraId="36614864" w14:textId="77777777" w:rsidR="0048679D" w:rsidRPr="00A538DD" w:rsidRDefault="0048679D">
      <w:r w:rsidRPr="00A538DD">
        <w:rPr>
          <w:b/>
        </w:rPr>
        <w:t>Betalningssystem</w:t>
      </w:r>
      <w:r w:rsidRPr="00A538DD">
        <w:t xml:space="preserve"> System, rutiner och regelverk som behövs för att genomf</w:t>
      </w:r>
      <w:r w:rsidRPr="00A538DD">
        <w:t>ö</w:t>
      </w:r>
      <w:r w:rsidRPr="00A538DD">
        <w:t>ra betalningar.</w:t>
      </w:r>
    </w:p>
    <w:p w14:paraId="4D22F58D" w14:textId="77777777" w:rsidR="0048679D" w:rsidRPr="00A538DD" w:rsidRDefault="0048679D">
      <w:pPr>
        <w:rPr>
          <w:b/>
        </w:rPr>
      </w:pPr>
      <w:r w:rsidRPr="00A538DD">
        <w:rPr>
          <w:b/>
        </w:rPr>
        <w:t>BIS</w:t>
      </w:r>
      <w:r w:rsidRPr="00A538DD">
        <w:t xml:space="preserve"> Bank for International Settlements. </w:t>
      </w:r>
      <w:r w:rsidRPr="00A538DD">
        <w:t>Kallas ibland ”centralbankernas bank” och fungerar som bank för och ett samarbetsorgan mellan centralba</w:t>
      </w:r>
      <w:r w:rsidRPr="00A538DD">
        <w:t>n</w:t>
      </w:r>
      <w:r w:rsidRPr="00A538DD">
        <w:t xml:space="preserve">kerna i 55 länder. BIS huvudkontor finns i Basel. </w:t>
      </w:r>
    </w:p>
    <w:p w14:paraId="5132F82A" w14:textId="77777777" w:rsidR="0048679D" w:rsidRPr="00A538DD" w:rsidRDefault="0048679D">
      <w:r w:rsidRPr="00A538DD">
        <w:rPr>
          <w:b/>
        </w:rPr>
        <w:t xml:space="preserve">Bruttoavvecklingssystem i realtid </w:t>
      </w:r>
      <w:r w:rsidRPr="00A538DD">
        <w:t>Ett</w:t>
      </w:r>
      <w:r w:rsidRPr="00A538DD">
        <w:rPr>
          <w:b/>
        </w:rPr>
        <w:t xml:space="preserve"> </w:t>
      </w:r>
      <w:r w:rsidRPr="00A538DD">
        <w:t xml:space="preserve">avvecklingssystem där betalningar förmedlas och avvecklas i realtid (kontinuerligt) allteftersom uppdragen kommer in (utan nettning). </w:t>
      </w:r>
    </w:p>
    <w:p w14:paraId="2B674A36" w14:textId="77777777" w:rsidR="0048679D" w:rsidRPr="00A538DD" w:rsidRDefault="0048679D">
      <w:r w:rsidRPr="00A538DD">
        <w:rPr>
          <w:b/>
        </w:rPr>
        <w:t xml:space="preserve">Duration </w:t>
      </w:r>
      <w:r w:rsidRPr="00A538DD">
        <w:t>Mått på hur värdet av en värdepappersportfölj förändras vid ränt</w:t>
      </w:r>
      <w:r w:rsidRPr="00A538DD">
        <w:t>e</w:t>
      </w:r>
      <w:r w:rsidRPr="00A538DD">
        <w:t>förändringar.</w:t>
      </w:r>
    </w:p>
    <w:p w14:paraId="3496C31F" w14:textId="77777777" w:rsidR="0048679D" w:rsidRPr="00A538DD" w:rsidRDefault="0048679D">
      <w:r w:rsidRPr="00A538DD">
        <w:rPr>
          <w:b/>
        </w:rPr>
        <w:t>ECB</w:t>
      </w:r>
      <w:r w:rsidRPr="00A538DD">
        <w:t xml:space="preserve"> Europeiska centralbanken. ECB är gemensam centralbank för de tolv EU-länder som infört euron som valuta. ECB ligger i Frankfurt.</w:t>
      </w:r>
    </w:p>
    <w:p w14:paraId="16C85D5F" w14:textId="77777777" w:rsidR="0048679D" w:rsidRPr="00A538DD" w:rsidRDefault="0048679D">
      <w:r w:rsidRPr="00A538DD">
        <w:rPr>
          <w:b/>
        </w:rPr>
        <w:t>ECBS</w:t>
      </w:r>
      <w:r w:rsidRPr="00A538DD">
        <w:t xml:space="preserve"> Europeiska centralbankssystemet. Sammanfattande benämning på ECB och de 25 nationella centralbankerna i EU-länderna.</w:t>
      </w:r>
    </w:p>
    <w:p w14:paraId="1FB2C893" w14:textId="77777777" w:rsidR="0048679D" w:rsidRPr="00A538DD" w:rsidRDefault="0048679D">
      <w:r w:rsidRPr="00A538DD">
        <w:rPr>
          <w:b/>
        </w:rPr>
        <w:t>EFK</w:t>
      </w:r>
      <w:r w:rsidRPr="00A538DD">
        <w:t xml:space="preserve"> EU:s ekonomiska och finansiella kommitté. Ger råd till Ekofinrådet inom EU i ekonomisk-politiska och finansiella frågor.</w:t>
      </w:r>
    </w:p>
    <w:p w14:paraId="28C578AF" w14:textId="77777777" w:rsidR="0048679D" w:rsidRPr="00A538DD" w:rsidRDefault="0048679D">
      <w:r w:rsidRPr="00A538DD">
        <w:rPr>
          <w:b/>
        </w:rPr>
        <w:t>EMU</w:t>
      </w:r>
      <w:r w:rsidRPr="00A538DD">
        <w:t xml:space="preserve"> Ekonomiska och monetära unionen. Samarbete inom EU som syftar till att införa euron som gemensam valuta. Besluten om penningpolitiken övergår då från de nationella centralbankerna till ECB-rådet. Hittills har tolv av EU-länderna infört euron som valuta. </w:t>
      </w:r>
    </w:p>
    <w:p w14:paraId="3AB39DC7" w14:textId="77777777" w:rsidR="0048679D" w:rsidRPr="00A538DD" w:rsidRDefault="0048679D">
      <w:r w:rsidRPr="00A538DD">
        <w:rPr>
          <w:b/>
        </w:rPr>
        <w:t xml:space="preserve">Eurosystemet </w:t>
      </w:r>
      <w:r w:rsidRPr="00A538DD">
        <w:t>Beteckning för ECB och de nationella centralbankerna i de tolv EU-länder som infört euron som valuta.</w:t>
      </w:r>
    </w:p>
    <w:p w14:paraId="17B8AAB8" w14:textId="77777777" w:rsidR="0048679D" w:rsidRPr="00A538DD" w:rsidRDefault="0048679D">
      <w:r w:rsidRPr="00A538DD">
        <w:rPr>
          <w:b/>
        </w:rPr>
        <w:t>G10</w:t>
      </w:r>
      <w:r w:rsidRPr="00A538DD">
        <w:t xml:space="preserve"> Group of Ten (G10 eller Tiogruppen). Sammanslutning av industrilä</w:t>
      </w:r>
      <w:r w:rsidRPr="00A538DD">
        <w:t>n</w:t>
      </w:r>
      <w:r w:rsidRPr="00A538DD">
        <w:t>der, elva stycken, för samarbete kring internationella finansiella frågor och möjlighet att stödja IMF:s låneresurser. Sverige ingår i G10. Samarbetet involverar i olika former finansdepartement, tillsynsmyndigheter och centra</w:t>
      </w:r>
      <w:r w:rsidRPr="00A538DD">
        <w:t>l</w:t>
      </w:r>
      <w:r w:rsidRPr="00A538DD">
        <w:t>banker. Ett antal G10-kommittéer har sekretariat i BIS och arbetar med att utveckla standarder för finansiell verksamhet som kan stärka den internati</w:t>
      </w:r>
      <w:r w:rsidRPr="00A538DD">
        <w:t>o</w:t>
      </w:r>
      <w:r w:rsidRPr="00A538DD">
        <w:t xml:space="preserve">nella finansiella stabiliteten. </w:t>
      </w:r>
    </w:p>
    <w:p w14:paraId="227A1D00" w14:textId="77777777" w:rsidR="0048679D" w:rsidRPr="00A538DD" w:rsidRDefault="0048679D">
      <w:r w:rsidRPr="00A538DD">
        <w:rPr>
          <w:b/>
        </w:rPr>
        <w:t>IMF</w:t>
      </w:r>
      <w:r w:rsidRPr="00A538DD">
        <w:t xml:space="preserve"> International Monetary Fund (IMF). </w:t>
      </w:r>
      <w:r w:rsidRPr="00A538DD">
        <w:t>Internationella valutafonden bild</w:t>
      </w:r>
      <w:r w:rsidRPr="00A538DD">
        <w:t>a</w:t>
      </w:r>
      <w:r w:rsidRPr="00A538DD">
        <w:t>des 1944 för att främja handel och tillväxt genom att verka för ekonomisk, monetär och finansiell stabilitet. IMF har i dag 184 medlemsländer, och Rik</w:t>
      </w:r>
      <w:r w:rsidRPr="00A538DD">
        <w:t>s</w:t>
      </w:r>
      <w:r w:rsidRPr="00A538DD">
        <w:t xml:space="preserve">banken är kontaktorgan för IMF i Sverige. </w:t>
      </w:r>
    </w:p>
    <w:p w14:paraId="41B75FC4" w14:textId="77777777" w:rsidR="0048679D" w:rsidRPr="00A538DD" w:rsidRDefault="0048679D">
      <w:r w:rsidRPr="00A538DD">
        <w:rPr>
          <w:b/>
        </w:rPr>
        <w:t>Inflation</w:t>
      </w:r>
      <w:r w:rsidRPr="00A538DD">
        <w:t xml:space="preserve"> Allmänna prishöjningar som innebär att penningvärdet faller. Mo</w:t>
      </w:r>
      <w:r w:rsidRPr="00A538DD">
        <w:t>t</w:t>
      </w:r>
      <w:r w:rsidRPr="00A538DD">
        <w:t>satsen är deflation.</w:t>
      </w:r>
    </w:p>
    <w:p w14:paraId="32E1C915" w14:textId="77777777" w:rsidR="0048679D" w:rsidRPr="00A538DD" w:rsidRDefault="0048679D">
      <w:r w:rsidRPr="00A538DD">
        <w:rPr>
          <w:b/>
        </w:rPr>
        <w:t xml:space="preserve">Konsumentprisindex (KPI) </w:t>
      </w:r>
      <w:r w:rsidRPr="00A538DD">
        <w:t>Officiellt prisindex som fastställs månadsvis av Statistiska centralbyrån för prisutvecklingen av privat konsumtion. Utvec</w:t>
      </w:r>
      <w:r w:rsidRPr="00A538DD">
        <w:t>k</w:t>
      </w:r>
      <w:r w:rsidRPr="00A538DD">
        <w:t>lingen av KPI ligger till grund för Riksbankens definition av målet prisstab</w:t>
      </w:r>
      <w:r w:rsidRPr="00A538DD">
        <w:t>i</w:t>
      </w:r>
      <w:r w:rsidRPr="00A538DD">
        <w:t>litet.</w:t>
      </w:r>
    </w:p>
    <w:p w14:paraId="1AEBED2B" w14:textId="77777777" w:rsidR="0048679D" w:rsidRPr="00A538DD" w:rsidRDefault="0048679D">
      <w:pPr>
        <w:rPr>
          <w:b/>
        </w:rPr>
      </w:pPr>
      <w:r w:rsidRPr="00A538DD">
        <w:rPr>
          <w:b/>
        </w:rPr>
        <w:t>Kort ränta</w:t>
      </w:r>
      <w:r w:rsidRPr="00A538DD">
        <w:t xml:space="preserve"> Ränta på lån med kortare löptid än ett år.</w:t>
      </w:r>
    </w:p>
    <w:p w14:paraId="67F6497C" w14:textId="77777777" w:rsidR="0048679D" w:rsidRPr="00A538DD" w:rsidRDefault="0048679D">
      <w:pPr>
        <w:rPr>
          <w:b/>
        </w:rPr>
      </w:pPr>
      <w:r w:rsidRPr="00A538DD">
        <w:rPr>
          <w:b/>
        </w:rPr>
        <w:t>Lång ränta</w:t>
      </w:r>
      <w:r w:rsidRPr="00A538DD">
        <w:t xml:space="preserve"> Ränta på lån med längre löptid än ett år.</w:t>
      </w:r>
    </w:p>
    <w:p w14:paraId="6E6E0318" w14:textId="77777777" w:rsidR="0048679D" w:rsidRPr="00A538DD" w:rsidRDefault="0048679D">
      <w:r w:rsidRPr="00A538DD">
        <w:rPr>
          <w:b/>
        </w:rPr>
        <w:t>Penningmarknad</w:t>
      </w:r>
      <w:r w:rsidRPr="00A538DD">
        <w:t xml:space="preserve"> En marknad bestående av banker och andra finansinstitut som tar emot kortfristig inlåning och ger kortfristig utlåning, från en dag upp till ett år. </w:t>
      </w:r>
    </w:p>
    <w:p w14:paraId="0D79A2E3" w14:textId="77777777" w:rsidR="0048679D" w:rsidRPr="00A538DD" w:rsidRDefault="0048679D">
      <w:r w:rsidRPr="00A538DD">
        <w:rPr>
          <w:b/>
        </w:rPr>
        <w:t>Penningpolitik</w:t>
      </w:r>
      <w:r w:rsidRPr="00A538DD">
        <w:t xml:space="preserve"> Riksbankens agerande för att påverka räntenivån och indirekt penningvärdet.</w:t>
      </w:r>
    </w:p>
    <w:p w14:paraId="0E6A98FD" w14:textId="77777777" w:rsidR="0048679D" w:rsidRPr="00A538DD" w:rsidRDefault="0048679D">
      <w:r w:rsidRPr="00A538DD">
        <w:rPr>
          <w:b/>
        </w:rPr>
        <w:t>Prisstabilitet</w:t>
      </w:r>
      <w:r w:rsidRPr="00A538DD">
        <w:t xml:space="preserve"> Fast penningvärde. Enligt Riksbankens definition innebär pri</w:t>
      </w:r>
      <w:r w:rsidRPr="00A538DD">
        <w:t>s</w:t>
      </w:r>
      <w:r w:rsidRPr="00A538DD">
        <w:t xml:space="preserve">stabilitet att inflationen, mätt med konsumentprisindex, begränsas till 2 </w:t>
      </w:r>
      <w:r w:rsidRPr="00A538DD">
        <w:rPr>
          <w:sz w:val="16"/>
        </w:rPr>
        <w:t>%</w:t>
      </w:r>
      <w:r w:rsidRPr="00A538DD">
        <w:t xml:space="preserve"> </w:t>
      </w:r>
      <w:r w:rsidRPr="00A538DD">
        <w:sym w:font="Symbol" w:char="00B1"/>
      </w:r>
      <w:r w:rsidRPr="00A538DD">
        <w:t>1 procentenhet.</w:t>
      </w:r>
    </w:p>
    <w:p w14:paraId="2A7BD011" w14:textId="77777777" w:rsidR="0048679D" w:rsidRPr="00A538DD" w:rsidRDefault="0048679D">
      <w:r w:rsidRPr="00A538DD">
        <w:rPr>
          <w:b/>
        </w:rPr>
        <w:t>Repa</w:t>
      </w:r>
      <w:r w:rsidRPr="00A538DD">
        <w:t xml:space="preserve"> En transaktion där Riksbanken lånar ut pengar till bankerna genom s.k. penningpolitiska repor. En penningpolitisk repa innebär att Riksbanken tillför pengar till banksystemet genom att köpa värdepapper av bankerna och samt</w:t>
      </w:r>
      <w:r w:rsidRPr="00A538DD">
        <w:t>i</w:t>
      </w:r>
      <w:r w:rsidRPr="00A538DD">
        <w:t>digt avtala om att värdepapperet säljs tillbaka till bankerna efter en vecka (bland marknadsaktörer kallas detta för en omvänd repa). Riksbanken får då tillbaka pengarna och värdepapperet återgår till den ursprungliga ägaren. Riksbanken genomför vanligtvis repor varje vecka.</w:t>
      </w:r>
    </w:p>
    <w:p w14:paraId="6AE9F1D1" w14:textId="77777777" w:rsidR="0048679D" w:rsidRPr="00A538DD" w:rsidRDefault="0048679D">
      <w:r w:rsidRPr="00A538DD">
        <w:rPr>
          <w:b/>
        </w:rPr>
        <w:t>Reporäntan</w:t>
      </w:r>
      <w:r w:rsidRPr="00A538DD">
        <w:t xml:space="preserve"> Den ränta bankerna får betala när de lånar pengar i Riksbanken via Riksbankens repotransaktioner. </w:t>
      </w:r>
    </w:p>
    <w:p w14:paraId="2BEED05E" w14:textId="77777777" w:rsidR="0048679D" w:rsidRPr="00A538DD" w:rsidRDefault="0048679D">
      <w:r w:rsidRPr="00A538DD">
        <w:rPr>
          <w:b/>
        </w:rPr>
        <w:t xml:space="preserve">Riksbankens referensränta </w:t>
      </w:r>
      <w:r w:rsidRPr="00A538DD">
        <w:t>En ränta som fastställs halvårsvis av Riksbanken och som motsvaras av Riksbankens reporänta vid utgången av föregående halvår avrundat, om så behövs, till närmast högre halva procent.</w:t>
      </w:r>
    </w:p>
    <w:p w14:paraId="03BC804B" w14:textId="77777777" w:rsidR="0048679D" w:rsidRPr="00A538DD" w:rsidRDefault="0048679D">
      <w:r w:rsidRPr="00A538DD">
        <w:rPr>
          <w:b/>
        </w:rPr>
        <w:t>RIX</w:t>
      </w:r>
      <w:r w:rsidRPr="00A538DD">
        <w:t xml:space="preserve"> Riksbankens system för avveckling av stora inter-bank-betalningar. Avvecklar betalningar i kronor (K-RIX) och i euro (E-RIX) enligt principen bruttoavveckling i realtid. E-RIX är anslutet till Target (se nedan).</w:t>
      </w:r>
    </w:p>
    <w:p w14:paraId="71925E10" w14:textId="77777777" w:rsidR="0048679D" w:rsidRPr="00A538DD" w:rsidRDefault="0048679D">
      <w:pPr>
        <w:autoSpaceDE w:val="0"/>
        <w:autoSpaceDN w:val="0"/>
        <w:adjustRightInd w:val="0"/>
      </w:pPr>
      <w:r w:rsidRPr="00A538DD">
        <w:rPr>
          <w:b/>
        </w:rPr>
        <w:t xml:space="preserve">SDR </w:t>
      </w:r>
      <w:r w:rsidRPr="00A538DD">
        <w:t>Särskilda dragningsrätter (Special Drawing Rights) Internationell r</w:t>
      </w:r>
      <w:r w:rsidRPr="00A538DD">
        <w:t>e</w:t>
      </w:r>
      <w:r w:rsidRPr="00A538DD">
        <w:t>servtillgång som tillskapats av IMF för tilldelning till medlemsländerna. Se Riksbankens balansräkning.  Värdet på SDR beräknas som en korg av dollar, euro, yen och pund.</w:t>
      </w:r>
    </w:p>
    <w:p w14:paraId="172F7B15" w14:textId="77777777" w:rsidR="0048679D" w:rsidRPr="00A538DD" w:rsidRDefault="0048679D">
      <w:r w:rsidRPr="00A538DD">
        <w:rPr>
          <w:b/>
        </w:rPr>
        <w:t>Styrräntor</w:t>
      </w:r>
      <w:r w:rsidRPr="00A538DD">
        <w:t xml:space="preserve"> De räntor som Riksbanken bestämmer för in- och utlåning till banksystemet.</w:t>
      </w:r>
    </w:p>
    <w:p w14:paraId="1391A46E" w14:textId="77777777" w:rsidR="0048679D" w:rsidRPr="00A538DD" w:rsidRDefault="0048679D">
      <w:r w:rsidRPr="00A538DD">
        <w:rPr>
          <w:b/>
        </w:rPr>
        <w:t>Target</w:t>
      </w:r>
      <w:r w:rsidRPr="00A538DD">
        <w:t xml:space="preserve"> Gemensamt betalningssystem inom EU till vilket medlemsländernas nationella betalningssystem för eurobetalningar är kopplade. Det kopplar samman EU-centralbanker och cirka 5 000 kommersiella banker.</w:t>
      </w:r>
    </w:p>
    <w:p w14:paraId="555DD498" w14:textId="77777777" w:rsidR="0048679D" w:rsidRPr="00A538DD" w:rsidRDefault="0048679D">
      <w:r w:rsidRPr="00A538DD">
        <w:rPr>
          <w:b/>
        </w:rPr>
        <w:t>Underliggande inflation</w:t>
      </w:r>
      <w:r w:rsidRPr="00A538DD">
        <w:t xml:space="preserve"> Mått på den konjunkturrelaterade inflationen. Rik</w:t>
      </w:r>
      <w:r w:rsidRPr="00A538DD">
        <w:t>s</w:t>
      </w:r>
      <w:r w:rsidRPr="00A538DD">
        <w:t>banken använder vanligen UND1X som mått på den underliggande inflati</w:t>
      </w:r>
      <w:r w:rsidRPr="00A538DD">
        <w:t>o</w:t>
      </w:r>
      <w:r w:rsidRPr="00A538DD">
        <w:t>nen. UND1X beräknas som utvecklingen av KPI exklusive påverkan från hushållens räntekostnader för egnahem och direkta effekter av ändrade ind</w:t>
      </w:r>
      <w:r w:rsidRPr="00A538DD">
        <w:t>i</w:t>
      </w:r>
      <w:r w:rsidRPr="00A538DD">
        <w:t>rekta skatter och subventioner.</w:t>
      </w:r>
    </w:p>
    <w:p w14:paraId="0BB1B3BF" w14:textId="77777777" w:rsidR="0048679D" w:rsidRPr="00A538DD" w:rsidRDefault="0048679D">
      <w:r w:rsidRPr="00A538DD">
        <w:rPr>
          <w:b/>
        </w:rPr>
        <w:t>Valutaintervention</w:t>
      </w:r>
      <w:r w:rsidRPr="00A538DD">
        <w:t xml:space="preserve"> När en centralbank köper eller säljer valuta på valut</w:t>
      </w:r>
      <w:r w:rsidRPr="00A538DD">
        <w:t>a</w:t>
      </w:r>
      <w:r w:rsidRPr="00A538DD">
        <w:t>marknaden i syfte att påverka den egna växelkursen.</w:t>
      </w:r>
    </w:p>
    <w:p w14:paraId="3B4968C6" w14:textId="77777777" w:rsidR="0048679D" w:rsidRPr="00A538DD" w:rsidRDefault="0048679D">
      <w:r w:rsidRPr="00A538DD">
        <w:rPr>
          <w:b/>
        </w:rPr>
        <w:t>Valutakurs/växelkurs</w:t>
      </w:r>
      <w:r w:rsidRPr="00A538DD">
        <w:t xml:space="preserve"> En valutas pris uttryckt i enheter av en annan valuta.</w:t>
      </w:r>
    </w:p>
    <w:p w14:paraId="0A454B3A" w14:textId="77777777" w:rsidR="0048679D" w:rsidRPr="00A538DD" w:rsidRDefault="0048679D">
      <w:r w:rsidRPr="00A538DD">
        <w:rPr>
          <w:b/>
        </w:rPr>
        <w:t>Valutapolitik</w:t>
      </w:r>
      <w:r w:rsidRPr="00A538DD">
        <w:t xml:space="preserve"> En centralbanks agerande för att påverka den egna valutans växelkurs mot andra valutor.</w:t>
      </w:r>
    </w:p>
    <w:p w14:paraId="1F6394A3" w14:textId="77777777" w:rsidR="0048679D" w:rsidRPr="00A538DD" w:rsidRDefault="0048679D">
      <w:pPr>
        <w:rPr>
          <w:b/>
        </w:rPr>
      </w:pPr>
      <w:r w:rsidRPr="00A538DD">
        <w:rPr>
          <w:b/>
        </w:rPr>
        <w:t>Valutareserv</w:t>
      </w:r>
      <w:r w:rsidRPr="00A538DD">
        <w:t xml:space="preserve"> En centralbanks innehav av utländsk valuta för att vid behov intervenera och påverka den egna valutans värde i förhållande till andra v</w:t>
      </w:r>
      <w:r w:rsidRPr="00A538DD">
        <w:t>a</w:t>
      </w:r>
      <w:r w:rsidRPr="00A538DD">
        <w:t xml:space="preserve">lutor. </w:t>
      </w:r>
    </w:p>
    <w:p w14:paraId="4A49FD44" w14:textId="77777777" w:rsidR="0048679D" w:rsidRPr="00A538DD" w:rsidRDefault="0048679D">
      <w:r w:rsidRPr="00A538DD">
        <w:rPr>
          <w:b/>
        </w:rPr>
        <w:t>Valutering</w:t>
      </w:r>
      <w:r w:rsidRPr="00A538DD">
        <w:t xml:space="preserve"> En fysisk transaktion där kontanter tas emot eller lämnas ut från Riksbankens kontantlager till en bank eller Svensk Kassaservice. Insättning eller uttag görs därmed på bankens konto i Riksbanken och ränteberäkningen för den aktuella banken ändras.</w:t>
      </w:r>
    </w:p>
    <w:p w14:paraId="1386018F" w14:textId="77777777" w:rsidR="0048679D" w:rsidRPr="00A538DD" w:rsidRDefault="0048679D">
      <w:r w:rsidRPr="00A538DD">
        <w:rPr>
          <w:b/>
        </w:rPr>
        <w:t>VaR (Value at Risk)</w:t>
      </w:r>
      <w:r w:rsidRPr="00A538DD">
        <w:t xml:space="preserve"> Mått på den uppskattade marknadsrisken i en värd</w:t>
      </w:r>
      <w:r w:rsidRPr="00A538DD">
        <w:t>e</w:t>
      </w:r>
      <w:r w:rsidRPr="00A538DD">
        <w:t>pappersportfölj, baserat på historiska samband och variationer i marknadsvä</w:t>
      </w:r>
      <w:r w:rsidRPr="00A538DD">
        <w:t>r</w:t>
      </w:r>
      <w:r w:rsidRPr="00A538DD">
        <w:t>det för olika tillgångar i portföljen.</w:t>
      </w:r>
    </w:p>
    <w:p w14:paraId="16F674FD" w14:textId="77777777" w:rsidR="0048679D" w:rsidRPr="00A538DD" w:rsidRDefault="0048679D">
      <w:pPr>
        <w:pStyle w:val="Normaltindrag"/>
        <w:sectPr w:rsidR="00000000" w:rsidRPr="00A538DD">
          <w:pgSz w:w="11906" w:h="16838" w:code="9"/>
          <w:pgMar w:top="907" w:right="4649" w:bottom="4508" w:left="1304" w:header="340" w:footer="227" w:gutter="0"/>
          <w:cols w:space="720"/>
          <w:titlePg/>
        </w:sectPr>
      </w:pPr>
    </w:p>
    <w:p w14:paraId="07F2BD91" w14:textId="77777777" w:rsidR="0048679D" w:rsidRPr="00A538DD" w:rsidRDefault="0048679D">
      <w:pPr>
        <w:pStyle w:val="R1"/>
        <w:spacing w:after="120"/>
      </w:pPr>
      <w:r w:rsidRPr="00A538DD">
        <w:t>Publikationer</w:t>
      </w:r>
    </w:p>
    <w:p w14:paraId="065F2B3C" w14:textId="77777777" w:rsidR="0048679D" w:rsidRPr="00A538DD" w:rsidRDefault="0048679D">
      <w:r w:rsidRPr="00A538DD">
        <w:t>Riksbanken ger varje år ut ett flertal publikationer. De viktigaste är:</w:t>
      </w:r>
    </w:p>
    <w:p w14:paraId="0C0A622F" w14:textId="77777777" w:rsidR="0048679D" w:rsidRPr="00A538DD" w:rsidRDefault="0048679D">
      <w:pPr>
        <w:numPr>
          <w:ilvl w:val="0"/>
          <w:numId w:val="68"/>
        </w:numPr>
        <w:tabs>
          <w:tab w:val="clear" w:pos="720"/>
        </w:tabs>
        <w:ind w:left="426" w:hanging="426"/>
      </w:pPr>
      <w:r w:rsidRPr="00A538DD">
        <w:t>Inflationsrapporten utkommer fyra gånger per år. Rapporten utgör u</w:t>
      </w:r>
      <w:r w:rsidRPr="00A538DD">
        <w:t>n</w:t>
      </w:r>
      <w:r w:rsidRPr="00A538DD">
        <w:t>derlag för penningpolitiska beslut. Syftet är också att göra Riksbankens bedömningar allmänt tillgängliga för att stimulera intresset och unde</w:t>
      </w:r>
      <w:r w:rsidRPr="00A538DD">
        <w:t>r</w:t>
      </w:r>
      <w:r w:rsidRPr="00A538DD">
        <w:t xml:space="preserve">lätta förståelsen för penningpolitiken. </w:t>
      </w:r>
    </w:p>
    <w:p w14:paraId="05656032" w14:textId="77777777" w:rsidR="0048679D" w:rsidRPr="00A538DD" w:rsidRDefault="0048679D">
      <w:pPr>
        <w:numPr>
          <w:ilvl w:val="0"/>
          <w:numId w:val="68"/>
        </w:numPr>
        <w:tabs>
          <w:tab w:val="clear" w:pos="720"/>
        </w:tabs>
        <w:ind w:left="426" w:hanging="426"/>
      </w:pPr>
      <w:r w:rsidRPr="00A538DD">
        <w:t>Rapporten finansiell stabilitet utkommer två gånger per år. I rapporten redogör Riksbanken för sin syn på utvecklingen inom det finansiella s</w:t>
      </w:r>
      <w:r w:rsidRPr="00A538DD">
        <w:t>y</w:t>
      </w:r>
      <w:r w:rsidRPr="00A538DD">
        <w:t>stemet och vad den innebär för stabiliteten. Avsikten är att påverka u</w:t>
      </w:r>
      <w:r w:rsidRPr="00A538DD">
        <w:t>t</w:t>
      </w:r>
      <w:r w:rsidRPr="00A538DD">
        <w:t>vecklingen i det finansiella systemet i riktning mot bättre stabilitet samt att stimulera till diskussion kring frågor som rör betalningssystemets stabilitet.</w:t>
      </w:r>
    </w:p>
    <w:p w14:paraId="1D281DB5" w14:textId="77777777" w:rsidR="0048679D" w:rsidRPr="00A538DD" w:rsidRDefault="0048679D">
      <w:pPr>
        <w:numPr>
          <w:ilvl w:val="0"/>
          <w:numId w:val="68"/>
        </w:numPr>
        <w:tabs>
          <w:tab w:val="clear" w:pos="720"/>
        </w:tabs>
        <w:ind w:left="426" w:hanging="426"/>
      </w:pPr>
      <w:r w:rsidRPr="00A538DD">
        <w:t>Tidskriften Penning- och valutapolitik utkommer fyra gånger per år. Den innehåller fördjupande artiklar inom Riksbankens arbetsomr</w:t>
      </w:r>
      <w:r w:rsidRPr="00A538DD">
        <w:t>å</w:t>
      </w:r>
      <w:r w:rsidRPr="00A538DD">
        <w:t>de.</w:t>
      </w:r>
    </w:p>
    <w:p w14:paraId="27085D6E" w14:textId="77777777" w:rsidR="0048679D" w:rsidRPr="00A538DD" w:rsidRDefault="0048679D">
      <w:pPr>
        <w:numPr>
          <w:ilvl w:val="0"/>
          <w:numId w:val="68"/>
        </w:numPr>
        <w:tabs>
          <w:tab w:val="clear" w:pos="720"/>
        </w:tabs>
        <w:ind w:left="426" w:hanging="426"/>
      </w:pPr>
      <w:r w:rsidRPr="00A538DD">
        <w:t>Årsredovisningen redogör för penning- och valutapolitiken under det gångna året samt hur Riksbanken har arbetat för att främja ett säkert och effektivt betalningsväsende. I årsredovisningen finns Riksbankens bo</w:t>
      </w:r>
      <w:r w:rsidRPr="00A538DD">
        <w:t>k</w:t>
      </w:r>
      <w:r w:rsidRPr="00A538DD">
        <w:t>slut.</w:t>
      </w:r>
    </w:p>
    <w:p w14:paraId="06F5130A" w14:textId="77777777" w:rsidR="0048679D" w:rsidRPr="00A538DD" w:rsidRDefault="0048679D">
      <w:pPr>
        <w:numPr>
          <w:ilvl w:val="0"/>
          <w:numId w:val="68"/>
        </w:numPr>
        <w:tabs>
          <w:tab w:val="clear" w:pos="720"/>
        </w:tabs>
        <w:ind w:left="426" w:hanging="426"/>
      </w:pPr>
      <w:r w:rsidRPr="00A538DD">
        <w:t xml:space="preserve">Working Paper Series presenterar utredningar som har anknytning till Riksbankens verksamhetsområde och som bedöms vara av intresse även utanför Riksbanken. </w:t>
      </w:r>
    </w:p>
    <w:p w14:paraId="02E82474" w14:textId="77777777" w:rsidR="0048679D" w:rsidRPr="00A538DD" w:rsidRDefault="0048679D">
      <w:pPr>
        <w:numPr>
          <w:ilvl w:val="0"/>
          <w:numId w:val="68"/>
        </w:numPr>
        <w:tabs>
          <w:tab w:val="clear" w:pos="720"/>
        </w:tabs>
        <w:ind w:left="426" w:hanging="426"/>
      </w:pPr>
      <w:r w:rsidRPr="00A538DD">
        <w:t>Publikationer från Europeiska centralbanken, ECB.</w:t>
      </w:r>
    </w:p>
    <w:p w14:paraId="1ECB2400" w14:textId="77777777" w:rsidR="0048679D" w:rsidRPr="00A538DD" w:rsidRDefault="0048679D">
      <w:pPr>
        <w:numPr>
          <w:ilvl w:val="0"/>
          <w:numId w:val="68"/>
        </w:numPr>
        <w:tabs>
          <w:tab w:val="clear" w:pos="720"/>
        </w:tabs>
        <w:ind w:left="426" w:hanging="426"/>
      </w:pPr>
      <w:bookmarkStart w:id="40" w:name="_Toc30311300"/>
      <w:r w:rsidRPr="00A538DD">
        <w:t>Informationsmaterial om Riksbanken.</w:t>
      </w:r>
      <w:bookmarkEnd w:id="40"/>
      <w:r w:rsidRPr="00A538DD">
        <w:t xml:space="preserve"> </w:t>
      </w:r>
    </w:p>
    <w:p w14:paraId="7230CDC5" w14:textId="77777777" w:rsidR="0048679D" w:rsidRPr="00A538DD" w:rsidRDefault="0048679D">
      <w:r w:rsidRPr="00A538DD">
        <w:t>På Riksbankens webbplats (www.riksbank.se) presenteras samtliga publik</w:t>
      </w:r>
      <w:r w:rsidRPr="00A538DD">
        <w:t>a</w:t>
      </w:r>
      <w:r w:rsidRPr="00A538DD">
        <w:t>tioner.  Flertalet av dessa publiceras på både svenska och engelska. Bestäl</w:t>
      </w:r>
      <w:r w:rsidRPr="00A538DD">
        <w:t>l</w:t>
      </w:r>
      <w:r w:rsidRPr="00A538DD">
        <w:t>ning görs enklast genom beställningsfunktionen på webbplatsen. På web</w:t>
      </w:r>
      <w:r w:rsidRPr="00A538DD">
        <w:t>b</w:t>
      </w:r>
      <w:r w:rsidRPr="00A538DD">
        <w:t xml:space="preserve">platsen publicerar Riksbanken också pressmeddelanden, tal, artiklar och protokoll från direktionens och riksbanksfullmäktiges sammanträden. </w:t>
      </w:r>
    </w:p>
    <w:p w14:paraId="5552F121" w14:textId="77777777" w:rsidR="0048679D" w:rsidRPr="00A538DD" w:rsidRDefault="0048679D">
      <w:pPr>
        <w:rPr>
          <w:b/>
        </w:rPr>
      </w:pPr>
      <w:bookmarkStart w:id="41" w:name="_Toc30311301"/>
    </w:p>
    <w:p w14:paraId="69F974D9" w14:textId="77777777" w:rsidR="0048679D" w:rsidRPr="00A538DD" w:rsidRDefault="0048679D">
      <w:pPr>
        <w:rPr>
          <w:b/>
        </w:rPr>
      </w:pPr>
      <w:r w:rsidRPr="00A538DD">
        <w:rPr>
          <w:b/>
        </w:rPr>
        <w:t>Adress</w:t>
      </w:r>
      <w:bookmarkEnd w:id="41"/>
    </w:p>
    <w:p w14:paraId="22049E52" w14:textId="77777777" w:rsidR="0048679D" w:rsidRPr="00A538DD" w:rsidRDefault="0048679D">
      <w:bookmarkStart w:id="42" w:name="_Toc30311302"/>
      <w:r w:rsidRPr="00A538DD">
        <w:t>Sveriges riksbank</w:t>
      </w:r>
      <w:bookmarkEnd w:id="42"/>
    </w:p>
    <w:p w14:paraId="263A8270" w14:textId="77777777" w:rsidR="0048679D" w:rsidRPr="00A538DD" w:rsidRDefault="0048679D">
      <w:pPr>
        <w:pStyle w:val="Reservantfrslag"/>
      </w:pPr>
      <w:bookmarkStart w:id="43" w:name="_Toc30311303"/>
      <w:r w:rsidRPr="00A538DD">
        <w:t>103 37 Stockholm</w:t>
      </w:r>
      <w:bookmarkEnd w:id="43"/>
    </w:p>
    <w:p w14:paraId="2DAAC394" w14:textId="77777777" w:rsidR="0048679D" w:rsidRPr="00A538DD" w:rsidRDefault="0048679D">
      <w:pPr>
        <w:pStyle w:val="Reservantfrslag"/>
      </w:pPr>
      <w:r w:rsidRPr="00A538DD">
        <w:t>Telefon 08-787 00 00</w:t>
      </w:r>
    </w:p>
    <w:p w14:paraId="0B1DC3C9" w14:textId="77777777" w:rsidR="0048679D" w:rsidRPr="00A538DD" w:rsidRDefault="0048679D">
      <w:pPr>
        <w:pStyle w:val="Normaltindrag"/>
        <w:ind w:firstLine="0"/>
      </w:pPr>
      <w:r w:rsidRPr="00A538DD">
        <w:t>www.riksbanken.se</w:t>
      </w:r>
    </w:p>
    <w:p w14:paraId="0FECA048" w14:textId="77777777" w:rsidR="0048679D" w:rsidRPr="00A538DD" w:rsidRDefault="0048679D">
      <w:pPr>
        <w:rPr>
          <w:b/>
        </w:rPr>
        <w:sectPr w:rsidR="00000000" w:rsidRPr="00A538DD">
          <w:pgSz w:w="11906" w:h="16838" w:code="9"/>
          <w:pgMar w:top="907" w:right="4649" w:bottom="4508" w:left="1304" w:header="340" w:footer="227" w:gutter="0"/>
          <w:cols w:space="720"/>
          <w:titlePg/>
        </w:sectPr>
      </w:pPr>
    </w:p>
    <w:p w14:paraId="03CDAEB8" w14:textId="77777777" w:rsidR="0048679D" w:rsidRPr="00A538DD" w:rsidRDefault="0048679D">
      <w:pPr>
        <w:pStyle w:val="Rubrik1"/>
        <w:spacing w:after="120"/>
        <w:rPr>
          <w:noProof w:val="0"/>
        </w:rPr>
      </w:pPr>
      <w:bookmarkStart w:id="44" w:name="_Toc97613765"/>
      <w:r w:rsidRPr="00A538DD">
        <w:rPr>
          <w:noProof w:val="0"/>
        </w:rPr>
        <w:t>Riksbankens pris i ekonomisk vetenskap 2004</w:t>
      </w:r>
      <w:bookmarkEnd w:id="44"/>
    </w:p>
    <w:p w14:paraId="04B4840B" w14:textId="77777777" w:rsidR="0048679D" w:rsidRPr="00A538DD" w:rsidRDefault="0048679D">
      <w:pPr>
        <w:rPr>
          <w:i/>
        </w:rPr>
      </w:pPr>
      <w:r w:rsidRPr="00A538DD">
        <w:rPr>
          <w:i/>
        </w:rPr>
        <w:t>Sveriges riksbanks pris i ekonomisk vetenskap till Alfred Nobels minne gick 2004 till Finn E. Kydland vid Carnegie Mellon University, Pittsburgh och University of California, Santa Barbara, USA och Edward C. Prescott vid Arizona State University, Temple och Federal Reserve Bank of Minneapolis, USA. De fick priset för sitt bidrag till dynamisk makroekonomisk teori: den ekon</w:t>
      </w:r>
      <w:r w:rsidRPr="00A538DD">
        <w:rPr>
          <w:i/>
        </w:rPr>
        <w:t>o</w:t>
      </w:r>
      <w:r w:rsidRPr="00A538DD">
        <w:rPr>
          <w:i/>
        </w:rPr>
        <w:t>miska politikens tidskonsistens och konjunkturens drivkrafter.</w:t>
      </w:r>
    </w:p>
    <w:p w14:paraId="1C3A3A25" w14:textId="77777777" w:rsidR="0048679D" w:rsidRPr="00A538DD" w:rsidRDefault="0048679D">
      <w:pPr>
        <w:autoSpaceDE w:val="0"/>
        <w:autoSpaceDN w:val="0"/>
        <w:adjustRightInd w:val="0"/>
      </w:pPr>
      <w:bookmarkStart w:id="45" w:name="_Toc30311172"/>
      <w:r w:rsidRPr="00A538DD">
        <w:t>Sveriges riksbanks pris i ekonomisk vetenskap instiftades i samband med Riksbankens trehundraårsjubileum 1968. Genom donationen förband sig Riksbanken oåterkalleligen att för all framtid för möjliggörande av prisutde</w:t>
      </w:r>
      <w:r w:rsidRPr="00A538DD">
        <w:t>l</w:t>
      </w:r>
      <w:r w:rsidRPr="00A538DD">
        <w:t>ningen varje år ställa till Nobelstiftelsens förfogande dels ett prisbelopp, dels ett belopp för bestridande av stiftelsens kostnader för förvaltning och ekon</w:t>
      </w:r>
      <w:r w:rsidRPr="00A538DD">
        <w:t>o</w:t>
      </w:r>
      <w:r w:rsidRPr="00A538DD">
        <w:t>mi. Regeringen har fastställt stadgarna för Sveriges riksbanks pris i ekon</w:t>
      </w:r>
      <w:r w:rsidRPr="00A538DD">
        <w:t>o</w:t>
      </w:r>
      <w:r w:rsidRPr="00A538DD">
        <w:t>misk vetenskap till Alfred Nobels minne.</w:t>
      </w:r>
    </w:p>
    <w:p w14:paraId="00D54E00" w14:textId="77777777" w:rsidR="0048679D" w:rsidRPr="00A538DD" w:rsidRDefault="0048679D">
      <w:pPr>
        <w:pStyle w:val="Normaltindrag"/>
      </w:pPr>
      <w:r w:rsidRPr="00A538DD">
        <w:t>Priset delas ut varje år till den eller de personer som inom ekonomisk v</w:t>
      </w:r>
      <w:r w:rsidRPr="00A538DD">
        <w:t>e</w:t>
      </w:r>
      <w:r w:rsidRPr="00A538DD">
        <w:t>tenskap utfört ett arbete av framstående betydelse. Kungliga Vetenskapsak</w:t>
      </w:r>
      <w:r w:rsidRPr="00A538DD">
        <w:t>a</w:t>
      </w:r>
      <w:r w:rsidRPr="00A538DD">
        <w:t>demien utser ekonomipristagare enligt samma principer som gäller för N</w:t>
      </w:r>
      <w:r w:rsidRPr="00A538DD">
        <w:t>o</w:t>
      </w:r>
      <w:r w:rsidRPr="00A538DD">
        <w:t>belprisen. Prissumman är densamma som för Nobelprisen, 10 miljoner sven</w:t>
      </w:r>
      <w:r w:rsidRPr="00A538DD">
        <w:t>s</w:t>
      </w:r>
      <w:r w:rsidRPr="00A538DD">
        <w:t>ka kronor, och betalas ut av Riksbanken. Om det är flera pristagare delas prissumman lika mellan dem.</w:t>
      </w:r>
    </w:p>
    <w:p w14:paraId="121DFE17" w14:textId="77777777" w:rsidR="0048679D" w:rsidRPr="00A538DD" w:rsidRDefault="0048679D">
      <w:pPr>
        <w:pStyle w:val="Normaltindrag"/>
      </w:pPr>
      <w:r w:rsidRPr="00A538DD">
        <w:t>Riksbanken har under 2004 lämnat stöd till Nobelstiftelsen för att bidra till finansiering av vidareutveckling av den webbplats för ekonomipriset som stiftelsen upprätthåller. Riksbanken komme</w:t>
      </w:r>
      <w:r w:rsidRPr="00A538DD">
        <w:t>r också att tillsammans med N</w:t>
      </w:r>
      <w:r w:rsidRPr="00A538DD">
        <w:t>o</w:t>
      </w:r>
      <w:r w:rsidRPr="00A538DD">
        <w:t>belstiftelsen utveckla interaktiva pedagogiska spel som ger en illustration till tillämpningen av ekonomisk teori på samma sätt som gjorts för övriga pri</w:t>
      </w:r>
      <w:r w:rsidRPr="00A538DD">
        <w:t>s</w:t>
      </w:r>
      <w:r w:rsidRPr="00A538DD">
        <w:t>områden.</w:t>
      </w:r>
    </w:p>
    <w:p w14:paraId="23A972A7" w14:textId="77777777" w:rsidR="0048679D" w:rsidRPr="00A538DD" w:rsidRDefault="0048679D">
      <w:pPr>
        <w:rPr>
          <w:b/>
        </w:rPr>
      </w:pPr>
    </w:p>
    <w:p w14:paraId="36A03BC9" w14:textId="77777777" w:rsidR="0048679D" w:rsidRPr="00A538DD" w:rsidRDefault="0048679D">
      <w:r w:rsidRPr="00A538DD">
        <w:rPr>
          <w:b/>
        </w:rPr>
        <w:t xml:space="preserve">Finn E. Kydland </w:t>
      </w:r>
      <w:r w:rsidRPr="00A538DD">
        <w:t>är född 1943 i Norge (norsk medborgare). Doktorsgrad från Carnegie Mellon University, Pittsburgh, 1973. Professor vid Carnegie Mellon University och University of California, Santa Barbara, USA.</w:t>
      </w:r>
    </w:p>
    <w:p w14:paraId="3C225850" w14:textId="77777777" w:rsidR="0048679D" w:rsidRPr="00A538DD" w:rsidRDefault="0048679D">
      <w:r w:rsidRPr="00A538DD">
        <w:t> </w:t>
      </w:r>
    </w:p>
    <w:p w14:paraId="0CA2BF65" w14:textId="77777777" w:rsidR="0048679D" w:rsidRPr="00A538DD" w:rsidRDefault="0048679D">
      <w:r w:rsidRPr="00A538DD">
        <w:rPr>
          <w:b/>
        </w:rPr>
        <w:t xml:space="preserve">Edward C. Prescott </w:t>
      </w:r>
      <w:r w:rsidRPr="00A538DD">
        <w:t>är född 1940 i Glen Falls, NY, USA (amerikansk me</w:t>
      </w:r>
      <w:r w:rsidRPr="00A538DD">
        <w:t>d</w:t>
      </w:r>
      <w:r w:rsidRPr="00A538DD">
        <w:t>borgare). Doktorsgrad 1967 vid Carnegie Mellon University, Pittsburgh. Professor vid Arizona State University, Tempe, och forskare vid Federal Reserve Bank of Minneapolis, USA.</w:t>
      </w:r>
    </w:p>
    <w:p w14:paraId="5A95405C" w14:textId="77777777" w:rsidR="0048679D" w:rsidRPr="00A538DD" w:rsidRDefault="0048679D">
      <w:pPr>
        <w:rPr>
          <w:i/>
        </w:rPr>
      </w:pPr>
      <w:r w:rsidRPr="00A538DD">
        <w:rPr>
          <w:i/>
        </w:rPr>
        <w:t>Tidigare pristagare</w:t>
      </w:r>
      <w:bookmarkEnd w:id="45"/>
    </w:p>
    <w:p w14:paraId="2AD2EBE1" w14:textId="77777777" w:rsidR="0048679D" w:rsidRPr="00A538DD" w:rsidRDefault="0048679D">
      <w:r w:rsidRPr="00A538DD">
        <w:t>Priset har utdelats varje år fr.o.m. 1969 enligt följande: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3856"/>
      </w:tblGrid>
      <w:tr w:rsidR="00000000" w:rsidRPr="00A538DD" w14:paraId="5D590B3A" w14:textId="77777777">
        <w:tblPrEx>
          <w:tblCellMar>
            <w:top w:w="0" w:type="dxa"/>
            <w:bottom w:w="0" w:type="dxa"/>
          </w:tblCellMar>
        </w:tblPrEx>
        <w:tc>
          <w:tcPr>
            <w:tcW w:w="624" w:type="dxa"/>
          </w:tcPr>
          <w:p w14:paraId="78AFE423" w14:textId="77777777" w:rsidR="0048679D" w:rsidRPr="00A538DD" w:rsidRDefault="0048679D">
            <w:r w:rsidRPr="00A538DD">
              <w:t>1969</w:t>
            </w:r>
          </w:p>
        </w:tc>
        <w:tc>
          <w:tcPr>
            <w:tcW w:w="3856" w:type="dxa"/>
          </w:tcPr>
          <w:p w14:paraId="0ED004E9" w14:textId="77777777" w:rsidR="0048679D" w:rsidRPr="00A538DD" w:rsidRDefault="0048679D">
            <w:r w:rsidRPr="00A538DD">
              <w:t>R. Frisch och J. Tinbergen</w:t>
            </w:r>
          </w:p>
        </w:tc>
      </w:tr>
      <w:tr w:rsidR="00000000" w:rsidRPr="00A538DD" w14:paraId="7332FB8C" w14:textId="77777777">
        <w:tblPrEx>
          <w:tblCellMar>
            <w:top w:w="0" w:type="dxa"/>
            <w:bottom w:w="0" w:type="dxa"/>
          </w:tblCellMar>
        </w:tblPrEx>
        <w:tc>
          <w:tcPr>
            <w:tcW w:w="624" w:type="dxa"/>
          </w:tcPr>
          <w:p w14:paraId="3C108CD5" w14:textId="77777777" w:rsidR="0048679D" w:rsidRPr="00A538DD" w:rsidRDefault="0048679D">
            <w:r w:rsidRPr="00A538DD">
              <w:t>1970</w:t>
            </w:r>
          </w:p>
        </w:tc>
        <w:tc>
          <w:tcPr>
            <w:tcW w:w="3856" w:type="dxa"/>
          </w:tcPr>
          <w:p w14:paraId="61F79C45" w14:textId="77777777" w:rsidR="0048679D" w:rsidRPr="00A538DD" w:rsidRDefault="0048679D">
            <w:r w:rsidRPr="00A538DD">
              <w:t>P. A. Samuelson</w:t>
            </w:r>
          </w:p>
        </w:tc>
      </w:tr>
      <w:tr w:rsidR="00000000" w:rsidRPr="00A538DD" w14:paraId="0AE7CEF0" w14:textId="77777777">
        <w:tblPrEx>
          <w:tblCellMar>
            <w:top w:w="0" w:type="dxa"/>
            <w:bottom w:w="0" w:type="dxa"/>
          </w:tblCellMar>
        </w:tblPrEx>
        <w:tc>
          <w:tcPr>
            <w:tcW w:w="624" w:type="dxa"/>
          </w:tcPr>
          <w:p w14:paraId="05E92D10" w14:textId="77777777" w:rsidR="0048679D" w:rsidRPr="00A538DD" w:rsidRDefault="0048679D">
            <w:r w:rsidRPr="00A538DD">
              <w:t>1971</w:t>
            </w:r>
          </w:p>
        </w:tc>
        <w:tc>
          <w:tcPr>
            <w:tcW w:w="3856" w:type="dxa"/>
          </w:tcPr>
          <w:p w14:paraId="5D727462" w14:textId="77777777" w:rsidR="0048679D" w:rsidRPr="00A538DD" w:rsidRDefault="0048679D">
            <w:r w:rsidRPr="00A538DD">
              <w:t>S. Kuznets</w:t>
            </w:r>
          </w:p>
        </w:tc>
      </w:tr>
    </w:tbl>
    <w:p w14:paraId="79FA7FE9" w14:textId="77777777" w:rsidR="0048679D" w:rsidRPr="00A538DD" w:rsidRDefault="0048679D"/>
    <w:p w14:paraId="1A0A0CBA" w14:textId="77777777" w:rsidR="0048679D" w:rsidRPr="00A538DD" w:rsidRDefault="0048679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3856"/>
      </w:tblGrid>
      <w:tr w:rsidR="00000000" w:rsidRPr="00A538DD" w14:paraId="179355CD" w14:textId="77777777">
        <w:tblPrEx>
          <w:tblCellMar>
            <w:top w:w="0" w:type="dxa"/>
            <w:bottom w:w="0" w:type="dxa"/>
          </w:tblCellMar>
        </w:tblPrEx>
        <w:tc>
          <w:tcPr>
            <w:tcW w:w="624" w:type="dxa"/>
          </w:tcPr>
          <w:p w14:paraId="0E96F172" w14:textId="77777777" w:rsidR="0048679D" w:rsidRPr="00A538DD" w:rsidRDefault="0048679D">
            <w:pPr>
              <w:spacing w:before="125"/>
            </w:pPr>
            <w:r w:rsidRPr="00A538DD">
              <w:t>1972</w:t>
            </w:r>
          </w:p>
        </w:tc>
        <w:tc>
          <w:tcPr>
            <w:tcW w:w="3856" w:type="dxa"/>
          </w:tcPr>
          <w:p w14:paraId="4FB96CE4" w14:textId="77777777" w:rsidR="0048679D" w:rsidRPr="00A538DD" w:rsidRDefault="0048679D">
            <w:pPr>
              <w:spacing w:before="125"/>
            </w:pPr>
            <w:r w:rsidRPr="00A538DD">
              <w:t>J.R. Hicks och K.J. Arrow</w:t>
            </w:r>
          </w:p>
        </w:tc>
      </w:tr>
      <w:tr w:rsidR="00000000" w:rsidRPr="00A538DD" w14:paraId="4994701F" w14:textId="77777777">
        <w:tblPrEx>
          <w:tblCellMar>
            <w:top w:w="0" w:type="dxa"/>
            <w:bottom w:w="0" w:type="dxa"/>
          </w:tblCellMar>
        </w:tblPrEx>
        <w:tc>
          <w:tcPr>
            <w:tcW w:w="624" w:type="dxa"/>
          </w:tcPr>
          <w:p w14:paraId="0A4F4D54" w14:textId="77777777" w:rsidR="0048679D" w:rsidRPr="00A538DD" w:rsidRDefault="0048679D">
            <w:r w:rsidRPr="00A538DD">
              <w:t>1973</w:t>
            </w:r>
          </w:p>
        </w:tc>
        <w:tc>
          <w:tcPr>
            <w:tcW w:w="3856" w:type="dxa"/>
          </w:tcPr>
          <w:p w14:paraId="1F56374E" w14:textId="77777777" w:rsidR="0048679D" w:rsidRPr="00A538DD" w:rsidRDefault="0048679D">
            <w:r w:rsidRPr="00A538DD">
              <w:t>W. Leontief</w:t>
            </w:r>
          </w:p>
        </w:tc>
      </w:tr>
      <w:tr w:rsidR="00000000" w:rsidRPr="00A538DD" w14:paraId="0F71F481" w14:textId="77777777">
        <w:tblPrEx>
          <w:tblCellMar>
            <w:top w:w="0" w:type="dxa"/>
            <w:bottom w:w="0" w:type="dxa"/>
          </w:tblCellMar>
        </w:tblPrEx>
        <w:tc>
          <w:tcPr>
            <w:tcW w:w="624" w:type="dxa"/>
          </w:tcPr>
          <w:p w14:paraId="5E9E255C" w14:textId="77777777" w:rsidR="0048679D" w:rsidRPr="00A538DD" w:rsidRDefault="0048679D">
            <w:r w:rsidRPr="00A538DD">
              <w:t>1974</w:t>
            </w:r>
          </w:p>
        </w:tc>
        <w:tc>
          <w:tcPr>
            <w:tcW w:w="3856" w:type="dxa"/>
          </w:tcPr>
          <w:p w14:paraId="740C1AED" w14:textId="77777777" w:rsidR="0048679D" w:rsidRPr="00A538DD" w:rsidRDefault="0048679D">
            <w:r w:rsidRPr="00A538DD">
              <w:t>G. Myrdal och F.A. von Hayek</w:t>
            </w:r>
          </w:p>
        </w:tc>
      </w:tr>
      <w:tr w:rsidR="00000000" w:rsidRPr="00A538DD" w14:paraId="68691820" w14:textId="77777777">
        <w:tblPrEx>
          <w:tblCellMar>
            <w:top w:w="0" w:type="dxa"/>
            <w:bottom w:w="0" w:type="dxa"/>
          </w:tblCellMar>
        </w:tblPrEx>
        <w:tc>
          <w:tcPr>
            <w:tcW w:w="624" w:type="dxa"/>
          </w:tcPr>
          <w:p w14:paraId="21BDBCD3" w14:textId="77777777" w:rsidR="0048679D" w:rsidRPr="00A538DD" w:rsidRDefault="0048679D">
            <w:r w:rsidRPr="00A538DD">
              <w:t>1975</w:t>
            </w:r>
          </w:p>
        </w:tc>
        <w:tc>
          <w:tcPr>
            <w:tcW w:w="3856" w:type="dxa"/>
          </w:tcPr>
          <w:p w14:paraId="0701BAD4" w14:textId="77777777" w:rsidR="0048679D" w:rsidRPr="00A538DD" w:rsidRDefault="0048679D">
            <w:pPr>
              <w:jc w:val="left"/>
            </w:pPr>
            <w:r w:rsidRPr="00A538DD">
              <w:t>L.V. Kantorovich och T.C. Koo</w:t>
            </w:r>
            <w:r w:rsidRPr="00A538DD">
              <w:t>p</w:t>
            </w:r>
            <w:r w:rsidRPr="00A538DD">
              <w:t>mans</w:t>
            </w:r>
          </w:p>
        </w:tc>
      </w:tr>
      <w:tr w:rsidR="00000000" w:rsidRPr="00A538DD" w14:paraId="5687E4F7" w14:textId="77777777">
        <w:tblPrEx>
          <w:tblCellMar>
            <w:top w:w="0" w:type="dxa"/>
            <w:bottom w:w="0" w:type="dxa"/>
          </w:tblCellMar>
        </w:tblPrEx>
        <w:tc>
          <w:tcPr>
            <w:tcW w:w="624" w:type="dxa"/>
          </w:tcPr>
          <w:p w14:paraId="22CF7DE9" w14:textId="77777777" w:rsidR="0048679D" w:rsidRPr="00A538DD" w:rsidRDefault="0048679D">
            <w:r w:rsidRPr="00A538DD">
              <w:t>1976</w:t>
            </w:r>
          </w:p>
        </w:tc>
        <w:tc>
          <w:tcPr>
            <w:tcW w:w="3856" w:type="dxa"/>
          </w:tcPr>
          <w:p w14:paraId="0D1E17E8" w14:textId="77777777" w:rsidR="0048679D" w:rsidRPr="00A538DD" w:rsidRDefault="0048679D">
            <w:r w:rsidRPr="00A538DD">
              <w:t>M. Friedman</w:t>
            </w:r>
          </w:p>
        </w:tc>
      </w:tr>
      <w:tr w:rsidR="00000000" w:rsidRPr="00A538DD" w14:paraId="12D20AAA" w14:textId="77777777">
        <w:tblPrEx>
          <w:tblCellMar>
            <w:top w:w="0" w:type="dxa"/>
            <w:bottom w:w="0" w:type="dxa"/>
          </w:tblCellMar>
        </w:tblPrEx>
        <w:tc>
          <w:tcPr>
            <w:tcW w:w="624" w:type="dxa"/>
          </w:tcPr>
          <w:p w14:paraId="3667AEB9" w14:textId="77777777" w:rsidR="0048679D" w:rsidRPr="00A538DD" w:rsidRDefault="0048679D">
            <w:r w:rsidRPr="00A538DD">
              <w:t>1977</w:t>
            </w:r>
          </w:p>
        </w:tc>
        <w:tc>
          <w:tcPr>
            <w:tcW w:w="3856" w:type="dxa"/>
          </w:tcPr>
          <w:p w14:paraId="42A6C4A0" w14:textId="77777777" w:rsidR="0048679D" w:rsidRPr="00A538DD" w:rsidRDefault="0048679D">
            <w:r w:rsidRPr="00A538DD">
              <w:t>B. Ohlin och J.E. Meade</w:t>
            </w:r>
          </w:p>
        </w:tc>
      </w:tr>
      <w:tr w:rsidR="00000000" w:rsidRPr="00A538DD" w14:paraId="65D0A2B9" w14:textId="77777777">
        <w:tblPrEx>
          <w:tblCellMar>
            <w:top w:w="0" w:type="dxa"/>
            <w:bottom w:w="0" w:type="dxa"/>
          </w:tblCellMar>
        </w:tblPrEx>
        <w:tc>
          <w:tcPr>
            <w:tcW w:w="624" w:type="dxa"/>
          </w:tcPr>
          <w:p w14:paraId="1EEFDBC0" w14:textId="77777777" w:rsidR="0048679D" w:rsidRPr="00A538DD" w:rsidRDefault="0048679D">
            <w:r w:rsidRPr="00A538DD">
              <w:t>1978</w:t>
            </w:r>
          </w:p>
        </w:tc>
        <w:tc>
          <w:tcPr>
            <w:tcW w:w="3856" w:type="dxa"/>
          </w:tcPr>
          <w:p w14:paraId="72CE0CDE" w14:textId="77777777" w:rsidR="0048679D" w:rsidRPr="00A538DD" w:rsidRDefault="0048679D">
            <w:r w:rsidRPr="00A538DD">
              <w:t>H.A. Simon</w:t>
            </w:r>
          </w:p>
        </w:tc>
      </w:tr>
      <w:tr w:rsidR="00000000" w:rsidRPr="00A538DD" w14:paraId="6F0C84ED" w14:textId="77777777">
        <w:tblPrEx>
          <w:tblCellMar>
            <w:top w:w="0" w:type="dxa"/>
            <w:bottom w:w="0" w:type="dxa"/>
          </w:tblCellMar>
        </w:tblPrEx>
        <w:tc>
          <w:tcPr>
            <w:tcW w:w="624" w:type="dxa"/>
          </w:tcPr>
          <w:p w14:paraId="0FFF79A3" w14:textId="77777777" w:rsidR="0048679D" w:rsidRPr="00A538DD" w:rsidRDefault="0048679D">
            <w:r w:rsidRPr="00A538DD">
              <w:t>1979</w:t>
            </w:r>
          </w:p>
        </w:tc>
        <w:tc>
          <w:tcPr>
            <w:tcW w:w="3856" w:type="dxa"/>
          </w:tcPr>
          <w:p w14:paraId="56EA214E" w14:textId="77777777" w:rsidR="0048679D" w:rsidRPr="00A538DD" w:rsidRDefault="0048679D">
            <w:r w:rsidRPr="00A538DD">
              <w:t>T.W. Schultz och A. Lewis</w:t>
            </w:r>
          </w:p>
        </w:tc>
      </w:tr>
      <w:tr w:rsidR="00000000" w:rsidRPr="00A538DD" w14:paraId="6E2CA165" w14:textId="77777777">
        <w:tblPrEx>
          <w:tblCellMar>
            <w:top w:w="0" w:type="dxa"/>
            <w:bottom w:w="0" w:type="dxa"/>
          </w:tblCellMar>
        </w:tblPrEx>
        <w:tc>
          <w:tcPr>
            <w:tcW w:w="624" w:type="dxa"/>
          </w:tcPr>
          <w:p w14:paraId="4E545EE6" w14:textId="77777777" w:rsidR="0048679D" w:rsidRPr="00A538DD" w:rsidRDefault="0048679D">
            <w:r w:rsidRPr="00A538DD">
              <w:t>1980</w:t>
            </w:r>
          </w:p>
        </w:tc>
        <w:tc>
          <w:tcPr>
            <w:tcW w:w="3856" w:type="dxa"/>
          </w:tcPr>
          <w:p w14:paraId="15C97F7D" w14:textId="77777777" w:rsidR="0048679D" w:rsidRPr="00A538DD" w:rsidRDefault="0048679D">
            <w:r w:rsidRPr="00A538DD">
              <w:t>L.R. Klein</w:t>
            </w:r>
          </w:p>
        </w:tc>
      </w:tr>
      <w:tr w:rsidR="00000000" w:rsidRPr="00A538DD" w14:paraId="5BD626E0" w14:textId="77777777">
        <w:tblPrEx>
          <w:tblCellMar>
            <w:top w:w="0" w:type="dxa"/>
            <w:bottom w:w="0" w:type="dxa"/>
          </w:tblCellMar>
        </w:tblPrEx>
        <w:tc>
          <w:tcPr>
            <w:tcW w:w="624" w:type="dxa"/>
          </w:tcPr>
          <w:p w14:paraId="4138885E" w14:textId="77777777" w:rsidR="0048679D" w:rsidRPr="00A538DD" w:rsidRDefault="0048679D">
            <w:r w:rsidRPr="00A538DD">
              <w:t>1981</w:t>
            </w:r>
          </w:p>
        </w:tc>
        <w:tc>
          <w:tcPr>
            <w:tcW w:w="3856" w:type="dxa"/>
          </w:tcPr>
          <w:p w14:paraId="30D44E8C" w14:textId="77777777" w:rsidR="0048679D" w:rsidRPr="00A538DD" w:rsidRDefault="0048679D">
            <w:r w:rsidRPr="00A538DD">
              <w:t>J. Tobin</w:t>
            </w:r>
          </w:p>
        </w:tc>
      </w:tr>
      <w:tr w:rsidR="00000000" w:rsidRPr="00A538DD" w14:paraId="600CEEC1" w14:textId="77777777">
        <w:tblPrEx>
          <w:tblCellMar>
            <w:top w:w="0" w:type="dxa"/>
            <w:bottom w:w="0" w:type="dxa"/>
          </w:tblCellMar>
        </w:tblPrEx>
        <w:tc>
          <w:tcPr>
            <w:tcW w:w="624" w:type="dxa"/>
          </w:tcPr>
          <w:p w14:paraId="419E4D4C" w14:textId="77777777" w:rsidR="0048679D" w:rsidRPr="00A538DD" w:rsidRDefault="0048679D">
            <w:r w:rsidRPr="00A538DD">
              <w:t>1982</w:t>
            </w:r>
          </w:p>
        </w:tc>
        <w:tc>
          <w:tcPr>
            <w:tcW w:w="3856" w:type="dxa"/>
          </w:tcPr>
          <w:p w14:paraId="710821FE" w14:textId="77777777" w:rsidR="0048679D" w:rsidRPr="00A538DD" w:rsidRDefault="0048679D">
            <w:r w:rsidRPr="00A538DD">
              <w:t>G.J. Stigler</w:t>
            </w:r>
          </w:p>
        </w:tc>
      </w:tr>
      <w:tr w:rsidR="00000000" w:rsidRPr="00A538DD" w14:paraId="6291C5BD" w14:textId="77777777">
        <w:tblPrEx>
          <w:tblCellMar>
            <w:top w:w="0" w:type="dxa"/>
            <w:bottom w:w="0" w:type="dxa"/>
          </w:tblCellMar>
        </w:tblPrEx>
        <w:tc>
          <w:tcPr>
            <w:tcW w:w="624" w:type="dxa"/>
          </w:tcPr>
          <w:p w14:paraId="6B304817" w14:textId="77777777" w:rsidR="0048679D" w:rsidRPr="00A538DD" w:rsidRDefault="0048679D">
            <w:r w:rsidRPr="00A538DD">
              <w:t>1983</w:t>
            </w:r>
          </w:p>
        </w:tc>
        <w:tc>
          <w:tcPr>
            <w:tcW w:w="3856" w:type="dxa"/>
          </w:tcPr>
          <w:p w14:paraId="364A7C5D" w14:textId="77777777" w:rsidR="0048679D" w:rsidRPr="00A538DD" w:rsidRDefault="0048679D">
            <w:r w:rsidRPr="00A538DD">
              <w:t>G. Debreu</w:t>
            </w:r>
          </w:p>
        </w:tc>
      </w:tr>
      <w:tr w:rsidR="00000000" w:rsidRPr="00A538DD" w14:paraId="0998FCBE" w14:textId="77777777">
        <w:tblPrEx>
          <w:tblCellMar>
            <w:top w:w="0" w:type="dxa"/>
            <w:bottom w:w="0" w:type="dxa"/>
          </w:tblCellMar>
        </w:tblPrEx>
        <w:tc>
          <w:tcPr>
            <w:tcW w:w="624" w:type="dxa"/>
          </w:tcPr>
          <w:p w14:paraId="0D5BC838" w14:textId="77777777" w:rsidR="0048679D" w:rsidRPr="00A538DD" w:rsidRDefault="0048679D">
            <w:r w:rsidRPr="00A538DD">
              <w:t>1984</w:t>
            </w:r>
          </w:p>
        </w:tc>
        <w:tc>
          <w:tcPr>
            <w:tcW w:w="3856" w:type="dxa"/>
          </w:tcPr>
          <w:p w14:paraId="151CB6AE" w14:textId="77777777" w:rsidR="0048679D" w:rsidRPr="00A538DD" w:rsidRDefault="0048679D">
            <w:r w:rsidRPr="00A538DD">
              <w:t>R. Stone</w:t>
            </w:r>
          </w:p>
        </w:tc>
      </w:tr>
      <w:tr w:rsidR="00000000" w:rsidRPr="00A538DD" w14:paraId="5893C420" w14:textId="77777777">
        <w:tblPrEx>
          <w:tblCellMar>
            <w:top w:w="0" w:type="dxa"/>
            <w:bottom w:w="0" w:type="dxa"/>
          </w:tblCellMar>
        </w:tblPrEx>
        <w:tc>
          <w:tcPr>
            <w:tcW w:w="624" w:type="dxa"/>
          </w:tcPr>
          <w:p w14:paraId="4D24BC18" w14:textId="77777777" w:rsidR="0048679D" w:rsidRPr="00A538DD" w:rsidRDefault="0048679D">
            <w:r w:rsidRPr="00A538DD">
              <w:t>1985</w:t>
            </w:r>
          </w:p>
        </w:tc>
        <w:tc>
          <w:tcPr>
            <w:tcW w:w="3856" w:type="dxa"/>
          </w:tcPr>
          <w:p w14:paraId="1550D1F8" w14:textId="77777777" w:rsidR="0048679D" w:rsidRPr="00A538DD" w:rsidRDefault="0048679D">
            <w:r w:rsidRPr="00A538DD">
              <w:t>F. Modigliani</w:t>
            </w:r>
          </w:p>
        </w:tc>
      </w:tr>
      <w:tr w:rsidR="00000000" w:rsidRPr="00A538DD" w14:paraId="3A054F04" w14:textId="77777777">
        <w:tblPrEx>
          <w:tblCellMar>
            <w:top w:w="0" w:type="dxa"/>
            <w:bottom w:w="0" w:type="dxa"/>
          </w:tblCellMar>
        </w:tblPrEx>
        <w:tc>
          <w:tcPr>
            <w:tcW w:w="624" w:type="dxa"/>
          </w:tcPr>
          <w:p w14:paraId="37D7DFD5" w14:textId="77777777" w:rsidR="0048679D" w:rsidRPr="00A538DD" w:rsidRDefault="0048679D">
            <w:r w:rsidRPr="00A538DD">
              <w:t>1986</w:t>
            </w:r>
          </w:p>
        </w:tc>
        <w:tc>
          <w:tcPr>
            <w:tcW w:w="3856" w:type="dxa"/>
          </w:tcPr>
          <w:p w14:paraId="6FB2D0E8" w14:textId="77777777" w:rsidR="0048679D" w:rsidRPr="00A538DD" w:rsidRDefault="0048679D">
            <w:r w:rsidRPr="00A538DD">
              <w:t>J.M. Buchanan Jr.</w:t>
            </w:r>
          </w:p>
        </w:tc>
      </w:tr>
      <w:tr w:rsidR="00000000" w:rsidRPr="00A538DD" w14:paraId="0046B728" w14:textId="77777777">
        <w:tblPrEx>
          <w:tblCellMar>
            <w:top w:w="0" w:type="dxa"/>
            <w:bottom w:w="0" w:type="dxa"/>
          </w:tblCellMar>
        </w:tblPrEx>
        <w:tc>
          <w:tcPr>
            <w:tcW w:w="624" w:type="dxa"/>
          </w:tcPr>
          <w:p w14:paraId="78B5144E" w14:textId="77777777" w:rsidR="0048679D" w:rsidRPr="00A538DD" w:rsidRDefault="0048679D">
            <w:r w:rsidRPr="00A538DD">
              <w:t>1987</w:t>
            </w:r>
          </w:p>
        </w:tc>
        <w:tc>
          <w:tcPr>
            <w:tcW w:w="3856" w:type="dxa"/>
          </w:tcPr>
          <w:p w14:paraId="55D8FBF5" w14:textId="77777777" w:rsidR="0048679D" w:rsidRPr="00A538DD" w:rsidRDefault="0048679D">
            <w:r w:rsidRPr="00A538DD">
              <w:t>R.M. Solow</w:t>
            </w:r>
          </w:p>
        </w:tc>
      </w:tr>
      <w:tr w:rsidR="00000000" w:rsidRPr="00A538DD" w14:paraId="5DE371AF" w14:textId="77777777">
        <w:tblPrEx>
          <w:tblCellMar>
            <w:top w:w="0" w:type="dxa"/>
            <w:bottom w:w="0" w:type="dxa"/>
          </w:tblCellMar>
        </w:tblPrEx>
        <w:tc>
          <w:tcPr>
            <w:tcW w:w="624" w:type="dxa"/>
          </w:tcPr>
          <w:p w14:paraId="33ED2225" w14:textId="77777777" w:rsidR="0048679D" w:rsidRPr="00A538DD" w:rsidRDefault="0048679D">
            <w:r w:rsidRPr="00A538DD">
              <w:t>1988</w:t>
            </w:r>
          </w:p>
        </w:tc>
        <w:tc>
          <w:tcPr>
            <w:tcW w:w="3856" w:type="dxa"/>
          </w:tcPr>
          <w:p w14:paraId="2B43AA27" w14:textId="77777777" w:rsidR="0048679D" w:rsidRPr="00A538DD" w:rsidRDefault="0048679D">
            <w:r w:rsidRPr="00A538DD">
              <w:t>M. Allais</w:t>
            </w:r>
          </w:p>
        </w:tc>
      </w:tr>
      <w:tr w:rsidR="00000000" w:rsidRPr="00A538DD" w14:paraId="2DA85981" w14:textId="77777777">
        <w:tblPrEx>
          <w:tblCellMar>
            <w:top w:w="0" w:type="dxa"/>
            <w:bottom w:w="0" w:type="dxa"/>
          </w:tblCellMar>
        </w:tblPrEx>
        <w:tc>
          <w:tcPr>
            <w:tcW w:w="624" w:type="dxa"/>
          </w:tcPr>
          <w:p w14:paraId="798D2668" w14:textId="77777777" w:rsidR="0048679D" w:rsidRPr="00A538DD" w:rsidRDefault="0048679D">
            <w:r w:rsidRPr="00A538DD">
              <w:t>1989</w:t>
            </w:r>
          </w:p>
        </w:tc>
        <w:tc>
          <w:tcPr>
            <w:tcW w:w="3856" w:type="dxa"/>
          </w:tcPr>
          <w:p w14:paraId="370749D6" w14:textId="77777777" w:rsidR="0048679D" w:rsidRPr="00A538DD" w:rsidRDefault="0048679D">
            <w:r w:rsidRPr="00A538DD">
              <w:t>T. Haavelmo</w:t>
            </w:r>
          </w:p>
        </w:tc>
      </w:tr>
      <w:tr w:rsidR="00000000" w:rsidRPr="00A538DD" w14:paraId="216A580F" w14:textId="77777777">
        <w:tblPrEx>
          <w:tblCellMar>
            <w:top w:w="0" w:type="dxa"/>
            <w:bottom w:w="0" w:type="dxa"/>
          </w:tblCellMar>
        </w:tblPrEx>
        <w:tc>
          <w:tcPr>
            <w:tcW w:w="624" w:type="dxa"/>
          </w:tcPr>
          <w:p w14:paraId="2E7E7DA2" w14:textId="77777777" w:rsidR="0048679D" w:rsidRPr="00A538DD" w:rsidRDefault="0048679D">
            <w:r w:rsidRPr="00A538DD">
              <w:t>1990</w:t>
            </w:r>
          </w:p>
        </w:tc>
        <w:tc>
          <w:tcPr>
            <w:tcW w:w="3856" w:type="dxa"/>
          </w:tcPr>
          <w:p w14:paraId="45A68C8A" w14:textId="77777777" w:rsidR="0048679D" w:rsidRPr="00A538DD" w:rsidRDefault="0048679D">
            <w:r w:rsidRPr="00A538DD">
              <w:t>H.M. Markowitz, M.H. Miller och W.F. Sharpe</w:t>
            </w:r>
          </w:p>
        </w:tc>
      </w:tr>
      <w:tr w:rsidR="00000000" w:rsidRPr="00A538DD" w14:paraId="2130E73A" w14:textId="77777777">
        <w:tblPrEx>
          <w:tblCellMar>
            <w:top w:w="0" w:type="dxa"/>
            <w:bottom w:w="0" w:type="dxa"/>
          </w:tblCellMar>
        </w:tblPrEx>
        <w:tc>
          <w:tcPr>
            <w:tcW w:w="624" w:type="dxa"/>
          </w:tcPr>
          <w:p w14:paraId="07C10DB2" w14:textId="77777777" w:rsidR="0048679D" w:rsidRPr="00A538DD" w:rsidRDefault="0048679D">
            <w:r w:rsidRPr="00A538DD">
              <w:t>1991</w:t>
            </w:r>
          </w:p>
        </w:tc>
        <w:tc>
          <w:tcPr>
            <w:tcW w:w="3856" w:type="dxa"/>
          </w:tcPr>
          <w:p w14:paraId="14371BC4" w14:textId="77777777" w:rsidR="0048679D" w:rsidRPr="00A538DD" w:rsidRDefault="0048679D">
            <w:r w:rsidRPr="00A538DD">
              <w:t>R.H. Coase</w:t>
            </w:r>
          </w:p>
        </w:tc>
      </w:tr>
      <w:tr w:rsidR="00000000" w:rsidRPr="00A538DD" w14:paraId="4AEAC314" w14:textId="77777777">
        <w:tblPrEx>
          <w:tblCellMar>
            <w:top w:w="0" w:type="dxa"/>
            <w:bottom w:w="0" w:type="dxa"/>
          </w:tblCellMar>
        </w:tblPrEx>
        <w:tc>
          <w:tcPr>
            <w:tcW w:w="624" w:type="dxa"/>
          </w:tcPr>
          <w:p w14:paraId="6C23584F" w14:textId="77777777" w:rsidR="0048679D" w:rsidRPr="00A538DD" w:rsidRDefault="0048679D">
            <w:r w:rsidRPr="00A538DD">
              <w:t>1992</w:t>
            </w:r>
          </w:p>
        </w:tc>
        <w:tc>
          <w:tcPr>
            <w:tcW w:w="3856" w:type="dxa"/>
          </w:tcPr>
          <w:p w14:paraId="22FFD067" w14:textId="77777777" w:rsidR="0048679D" w:rsidRPr="00A538DD" w:rsidRDefault="0048679D">
            <w:r w:rsidRPr="00A538DD">
              <w:t>G.S. Becker</w:t>
            </w:r>
          </w:p>
        </w:tc>
      </w:tr>
      <w:tr w:rsidR="00000000" w:rsidRPr="00A538DD" w14:paraId="1FA84DDF" w14:textId="77777777">
        <w:tblPrEx>
          <w:tblCellMar>
            <w:top w:w="0" w:type="dxa"/>
            <w:bottom w:w="0" w:type="dxa"/>
          </w:tblCellMar>
        </w:tblPrEx>
        <w:tc>
          <w:tcPr>
            <w:tcW w:w="624" w:type="dxa"/>
          </w:tcPr>
          <w:p w14:paraId="2B4AB0EE" w14:textId="77777777" w:rsidR="0048679D" w:rsidRPr="00A538DD" w:rsidRDefault="0048679D">
            <w:r w:rsidRPr="00A538DD">
              <w:t>1993</w:t>
            </w:r>
          </w:p>
        </w:tc>
        <w:tc>
          <w:tcPr>
            <w:tcW w:w="3856" w:type="dxa"/>
          </w:tcPr>
          <w:p w14:paraId="6B726C0E" w14:textId="77777777" w:rsidR="0048679D" w:rsidRPr="00A538DD" w:rsidRDefault="0048679D">
            <w:r w:rsidRPr="00A538DD">
              <w:t>R.W. Fogel och D.C. North</w:t>
            </w:r>
          </w:p>
        </w:tc>
      </w:tr>
      <w:tr w:rsidR="00000000" w:rsidRPr="00A538DD" w14:paraId="7493B1F8" w14:textId="77777777">
        <w:tblPrEx>
          <w:tblCellMar>
            <w:top w:w="0" w:type="dxa"/>
            <w:bottom w:w="0" w:type="dxa"/>
          </w:tblCellMar>
        </w:tblPrEx>
        <w:tc>
          <w:tcPr>
            <w:tcW w:w="624" w:type="dxa"/>
          </w:tcPr>
          <w:p w14:paraId="16C0365C" w14:textId="77777777" w:rsidR="0048679D" w:rsidRPr="00A538DD" w:rsidRDefault="0048679D">
            <w:r w:rsidRPr="00A538DD">
              <w:t>1994</w:t>
            </w:r>
          </w:p>
        </w:tc>
        <w:tc>
          <w:tcPr>
            <w:tcW w:w="3856" w:type="dxa"/>
          </w:tcPr>
          <w:p w14:paraId="66F232CC" w14:textId="77777777" w:rsidR="0048679D" w:rsidRPr="00A538DD" w:rsidRDefault="0048679D">
            <w:r w:rsidRPr="00A538DD">
              <w:t>J.C. Harsanyi, J.F. Nash Jr och R. Selten</w:t>
            </w:r>
          </w:p>
        </w:tc>
      </w:tr>
      <w:tr w:rsidR="00000000" w:rsidRPr="00A538DD" w14:paraId="36FB2D2F" w14:textId="77777777">
        <w:tblPrEx>
          <w:tblCellMar>
            <w:top w:w="0" w:type="dxa"/>
            <w:bottom w:w="0" w:type="dxa"/>
          </w:tblCellMar>
        </w:tblPrEx>
        <w:tc>
          <w:tcPr>
            <w:tcW w:w="624" w:type="dxa"/>
          </w:tcPr>
          <w:p w14:paraId="611F6C94" w14:textId="77777777" w:rsidR="0048679D" w:rsidRPr="00A538DD" w:rsidRDefault="0048679D">
            <w:r w:rsidRPr="00A538DD">
              <w:t>1995</w:t>
            </w:r>
          </w:p>
        </w:tc>
        <w:tc>
          <w:tcPr>
            <w:tcW w:w="3856" w:type="dxa"/>
          </w:tcPr>
          <w:p w14:paraId="0D9562C7" w14:textId="77777777" w:rsidR="0048679D" w:rsidRPr="00A538DD" w:rsidRDefault="0048679D">
            <w:r w:rsidRPr="00A538DD">
              <w:t>R.E. Lucas, Jr.</w:t>
            </w:r>
          </w:p>
        </w:tc>
      </w:tr>
      <w:tr w:rsidR="00000000" w:rsidRPr="00A538DD" w14:paraId="53A1D6BE" w14:textId="77777777">
        <w:tblPrEx>
          <w:tblCellMar>
            <w:top w:w="0" w:type="dxa"/>
            <w:bottom w:w="0" w:type="dxa"/>
          </w:tblCellMar>
        </w:tblPrEx>
        <w:tc>
          <w:tcPr>
            <w:tcW w:w="624" w:type="dxa"/>
          </w:tcPr>
          <w:p w14:paraId="5D012316" w14:textId="77777777" w:rsidR="0048679D" w:rsidRPr="00A538DD" w:rsidRDefault="0048679D">
            <w:r w:rsidRPr="00A538DD">
              <w:t>1996</w:t>
            </w:r>
          </w:p>
        </w:tc>
        <w:tc>
          <w:tcPr>
            <w:tcW w:w="3856" w:type="dxa"/>
          </w:tcPr>
          <w:p w14:paraId="0FABF9FB" w14:textId="77777777" w:rsidR="0048679D" w:rsidRPr="00A538DD" w:rsidRDefault="0048679D">
            <w:r w:rsidRPr="00A538DD">
              <w:t>J.A. Mirrlees och W. Vickrey</w:t>
            </w:r>
          </w:p>
        </w:tc>
      </w:tr>
      <w:tr w:rsidR="00000000" w:rsidRPr="00A538DD" w14:paraId="21048E23" w14:textId="77777777">
        <w:tblPrEx>
          <w:tblCellMar>
            <w:top w:w="0" w:type="dxa"/>
            <w:bottom w:w="0" w:type="dxa"/>
          </w:tblCellMar>
        </w:tblPrEx>
        <w:tc>
          <w:tcPr>
            <w:tcW w:w="624" w:type="dxa"/>
          </w:tcPr>
          <w:p w14:paraId="02B81896" w14:textId="77777777" w:rsidR="0048679D" w:rsidRPr="00A538DD" w:rsidRDefault="0048679D">
            <w:r w:rsidRPr="00A538DD">
              <w:t>1997</w:t>
            </w:r>
          </w:p>
        </w:tc>
        <w:tc>
          <w:tcPr>
            <w:tcW w:w="3856" w:type="dxa"/>
          </w:tcPr>
          <w:p w14:paraId="6B93D2A2" w14:textId="77777777" w:rsidR="0048679D" w:rsidRPr="00A538DD" w:rsidRDefault="0048679D">
            <w:r w:rsidRPr="00A538DD">
              <w:t>R.C. Merton och M.S. Scholes</w:t>
            </w:r>
          </w:p>
        </w:tc>
      </w:tr>
      <w:tr w:rsidR="00000000" w:rsidRPr="00A538DD" w14:paraId="6F382F4A" w14:textId="77777777">
        <w:tblPrEx>
          <w:tblCellMar>
            <w:top w:w="0" w:type="dxa"/>
            <w:bottom w:w="0" w:type="dxa"/>
          </w:tblCellMar>
        </w:tblPrEx>
        <w:tc>
          <w:tcPr>
            <w:tcW w:w="624" w:type="dxa"/>
          </w:tcPr>
          <w:p w14:paraId="46CD93E1" w14:textId="77777777" w:rsidR="0048679D" w:rsidRPr="00A538DD" w:rsidRDefault="0048679D">
            <w:r w:rsidRPr="00A538DD">
              <w:t>1998</w:t>
            </w:r>
          </w:p>
        </w:tc>
        <w:tc>
          <w:tcPr>
            <w:tcW w:w="3856" w:type="dxa"/>
          </w:tcPr>
          <w:p w14:paraId="57AEFD4C" w14:textId="77777777" w:rsidR="0048679D" w:rsidRPr="00A538DD" w:rsidRDefault="0048679D">
            <w:r w:rsidRPr="00A538DD">
              <w:t>A. Sen</w:t>
            </w:r>
          </w:p>
        </w:tc>
      </w:tr>
      <w:tr w:rsidR="00000000" w:rsidRPr="00A538DD" w14:paraId="7A45CBC5" w14:textId="77777777">
        <w:tblPrEx>
          <w:tblCellMar>
            <w:top w:w="0" w:type="dxa"/>
            <w:bottom w:w="0" w:type="dxa"/>
          </w:tblCellMar>
        </w:tblPrEx>
        <w:tc>
          <w:tcPr>
            <w:tcW w:w="624" w:type="dxa"/>
          </w:tcPr>
          <w:p w14:paraId="597B0C30" w14:textId="77777777" w:rsidR="0048679D" w:rsidRPr="00A538DD" w:rsidRDefault="0048679D">
            <w:r w:rsidRPr="00A538DD">
              <w:t>1999</w:t>
            </w:r>
          </w:p>
        </w:tc>
        <w:tc>
          <w:tcPr>
            <w:tcW w:w="3856" w:type="dxa"/>
          </w:tcPr>
          <w:p w14:paraId="608F7343" w14:textId="77777777" w:rsidR="0048679D" w:rsidRPr="00A538DD" w:rsidRDefault="0048679D">
            <w:r w:rsidRPr="00A538DD">
              <w:t>R.A. Mundell</w:t>
            </w:r>
          </w:p>
        </w:tc>
      </w:tr>
      <w:tr w:rsidR="00000000" w:rsidRPr="00A538DD" w14:paraId="00DEAB94" w14:textId="77777777">
        <w:tblPrEx>
          <w:tblCellMar>
            <w:top w:w="0" w:type="dxa"/>
            <w:bottom w:w="0" w:type="dxa"/>
          </w:tblCellMar>
        </w:tblPrEx>
        <w:tc>
          <w:tcPr>
            <w:tcW w:w="624" w:type="dxa"/>
          </w:tcPr>
          <w:p w14:paraId="62A73D20" w14:textId="77777777" w:rsidR="0048679D" w:rsidRPr="00A538DD" w:rsidRDefault="0048679D">
            <w:r w:rsidRPr="00A538DD">
              <w:t>2000</w:t>
            </w:r>
          </w:p>
        </w:tc>
        <w:tc>
          <w:tcPr>
            <w:tcW w:w="3856" w:type="dxa"/>
          </w:tcPr>
          <w:p w14:paraId="44E0D881" w14:textId="77777777" w:rsidR="0048679D" w:rsidRPr="00A538DD" w:rsidRDefault="0048679D">
            <w:r w:rsidRPr="00A538DD">
              <w:t>J.J. Heckman och D.L. McFadden</w:t>
            </w:r>
          </w:p>
        </w:tc>
      </w:tr>
      <w:tr w:rsidR="00000000" w:rsidRPr="00A538DD" w14:paraId="797F85D5" w14:textId="77777777">
        <w:tblPrEx>
          <w:tblCellMar>
            <w:top w:w="0" w:type="dxa"/>
            <w:bottom w:w="0" w:type="dxa"/>
          </w:tblCellMar>
        </w:tblPrEx>
        <w:tc>
          <w:tcPr>
            <w:tcW w:w="624" w:type="dxa"/>
          </w:tcPr>
          <w:p w14:paraId="7968F0A7" w14:textId="77777777" w:rsidR="0048679D" w:rsidRPr="00A538DD" w:rsidRDefault="0048679D">
            <w:r w:rsidRPr="00A538DD">
              <w:t>2001</w:t>
            </w:r>
          </w:p>
        </w:tc>
        <w:tc>
          <w:tcPr>
            <w:tcW w:w="3856" w:type="dxa"/>
          </w:tcPr>
          <w:p w14:paraId="49E53719" w14:textId="77777777" w:rsidR="0048679D" w:rsidRPr="00A538DD" w:rsidRDefault="0048679D">
            <w:r w:rsidRPr="00A538DD">
              <w:t>G.A. Akerlof, A.M. Spence och J.E. Stiglitz</w:t>
            </w:r>
          </w:p>
        </w:tc>
      </w:tr>
      <w:tr w:rsidR="00000000" w:rsidRPr="00A538DD" w14:paraId="70BA58D4" w14:textId="77777777">
        <w:tblPrEx>
          <w:tblCellMar>
            <w:top w:w="0" w:type="dxa"/>
            <w:bottom w:w="0" w:type="dxa"/>
          </w:tblCellMar>
        </w:tblPrEx>
        <w:tc>
          <w:tcPr>
            <w:tcW w:w="624" w:type="dxa"/>
          </w:tcPr>
          <w:p w14:paraId="2C3E2EB9" w14:textId="77777777" w:rsidR="0048679D" w:rsidRPr="00A538DD" w:rsidRDefault="0048679D">
            <w:r w:rsidRPr="00A538DD">
              <w:t>2002</w:t>
            </w:r>
          </w:p>
        </w:tc>
        <w:tc>
          <w:tcPr>
            <w:tcW w:w="3856" w:type="dxa"/>
          </w:tcPr>
          <w:p w14:paraId="689329E0" w14:textId="77777777" w:rsidR="0048679D" w:rsidRPr="00A538DD" w:rsidRDefault="0048679D">
            <w:r w:rsidRPr="00A538DD">
              <w:t>D. Kahneman och V. L. Smith</w:t>
            </w:r>
          </w:p>
        </w:tc>
      </w:tr>
      <w:tr w:rsidR="00000000" w:rsidRPr="00A538DD" w14:paraId="451BABDD" w14:textId="77777777">
        <w:tblPrEx>
          <w:tblCellMar>
            <w:top w:w="0" w:type="dxa"/>
            <w:bottom w:w="0" w:type="dxa"/>
          </w:tblCellMar>
        </w:tblPrEx>
        <w:tc>
          <w:tcPr>
            <w:tcW w:w="624" w:type="dxa"/>
          </w:tcPr>
          <w:p w14:paraId="37EEB0C8" w14:textId="77777777" w:rsidR="0048679D" w:rsidRPr="00A538DD" w:rsidRDefault="0048679D">
            <w:r w:rsidRPr="00A538DD">
              <w:t>2003</w:t>
            </w:r>
          </w:p>
        </w:tc>
        <w:tc>
          <w:tcPr>
            <w:tcW w:w="3856" w:type="dxa"/>
          </w:tcPr>
          <w:p w14:paraId="5B00B48F" w14:textId="77777777" w:rsidR="0048679D" w:rsidRPr="00A538DD" w:rsidRDefault="0048679D">
            <w:r w:rsidRPr="00A538DD">
              <w:t>R.F. Engle och C.W.J. Granger</w:t>
            </w:r>
          </w:p>
        </w:tc>
      </w:tr>
      <w:tr w:rsidR="00000000" w:rsidRPr="00A538DD" w14:paraId="60B7B6BF" w14:textId="77777777">
        <w:tblPrEx>
          <w:tblCellMar>
            <w:top w:w="0" w:type="dxa"/>
            <w:bottom w:w="0" w:type="dxa"/>
          </w:tblCellMar>
        </w:tblPrEx>
        <w:tc>
          <w:tcPr>
            <w:tcW w:w="624" w:type="dxa"/>
          </w:tcPr>
          <w:p w14:paraId="519D15ED" w14:textId="77777777" w:rsidR="0048679D" w:rsidRPr="00A538DD" w:rsidRDefault="0048679D">
            <w:r w:rsidRPr="00A538DD">
              <w:t>2004</w:t>
            </w:r>
          </w:p>
        </w:tc>
        <w:tc>
          <w:tcPr>
            <w:tcW w:w="3856" w:type="dxa"/>
          </w:tcPr>
          <w:p w14:paraId="125EFA5F" w14:textId="77777777" w:rsidR="0048679D" w:rsidRPr="00A538DD" w:rsidRDefault="0048679D">
            <w:r w:rsidRPr="00A538DD">
              <w:t>F.E. Kydland och E.C. Prescott</w:t>
            </w:r>
          </w:p>
        </w:tc>
      </w:tr>
    </w:tbl>
    <w:p w14:paraId="02EAABFC" w14:textId="77777777" w:rsidR="0048679D" w:rsidRPr="00A538DD" w:rsidRDefault="0048679D"/>
    <w:p w14:paraId="7FD499EA" w14:textId="77777777" w:rsidR="0048679D" w:rsidRPr="00A538DD" w:rsidRDefault="0048679D">
      <w:pPr>
        <w:sectPr w:rsidR="00000000" w:rsidRPr="00A538DD">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2031"/>
        <w:gridCol w:w="2031"/>
        <w:gridCol w:w="2031"/>
      </w:tblGrid>
      <w:tr w:rsidR="00000000" w:rsidRPr="00A538DD" w14:paraId="19485EFB" w14:textId="77777777">
        <w:tblPrEx>
          <w:tblCellMar>
            <w:top w:w="0" w:type="dxa"/>
            <w:bottom w:w="0" w:type="dxa"/>
          </w:tblCellMar>
        </w:tblPrEx>
        <w:trPr>
          <w:cantSplit/>
        </w:trPr>
        <w:tc>
          <w:tcPr>
            <w:tcW w:w="6093" w:type="dxa"/>
            <w:gridSpan w:val="3"/>
          </w:tcPr>
          <w:p w14:paraId="1A21AF22" w14:textId="77777777" w:rsidR="0048679D" w:rsidRPr="00A538DD" w:rsidRDefault="0048679D">
            <w:r w:rsidRPr="00A538DD">
              <w:t>Stockholm den 10 februari 2005</w:t>
            </w:r>
          </w:p>
        </w:tc>
      </w:tr>
      <w:tr w:rsidR="00000000" w:rsidRPr="00A538DD" w14:paraId="5E62591B" w14:textId="77777777">
        <w:tblPrEx>
          <w:tblCellMar>
            <w:top w:w="0" w:type="dxa"/>
            <w:bottom w:w="0" w:type="dxa"/>
          </w:tblCellMar>
        </w:tblPrEx>
        <w:trPr>
          <w:cantSplit/>
        </w:trPr>
        <w:tc>
          <w:tcPr>
            <w:tcW w:w="6093" w:type="dxa"/>
            <w:gridSpan w:val="3"/>
          </w:tcPr>
          <w:p w14:paraId="08707C6F" w14:textId="77777777" w:rsidR="0048679D" w:rsidRPr="00A538DD" w:rsidRDefault="0048679D"/>
        </w:tc>
      </w:tr>
      <w:tr w:rsidR="00000000" w:rsidRPr="00A538DD" w14:paraId="1B40EB21" w14:textId="77777777">
        <w:tblPrEx>
          <w:tblCellMar>
            <w:top w:w="0" w:type="dxa"/>
            <w:bottom w:w="0" w:type="dxa"/>
          </w:tblCellMar>
        </w:tblPrEx>
        <w:tc>
          <w:tcPr>
            <w:tcW w:w="2031" w:type="dxa"/>
          </w:tcPr>
          <w:p w14:paraId="7E015625" w14:textId="77777777" w:rsidR="0048679D" w:rsidRPr="00A538DD" w:rsidRDefault="0048679D"/>
        </w:tc>
        <w:tc>
          <w:tcPr>
            <w:tcW w:w="2031" w:type="dxa"/>
          </w:tcPr>
          <w:p w14:paraId="1452B484" w14:textId="77777777" w:rsidR="0048679D" w:rsidRPr="00A538DD" w:rsidRDefault="0048679D"/>
        </w:tc>
        <w:tc>
          <w:tcPr>
            <w:tcW w:w="2031" w:type="dxa"/>
          </w:tcPr>
          <w:p w14:paraId="43E3F528" w14:textId="77777777" w:rsidR="0048679D" w:rsidRPr="00A538DD" w:rsidRDefault="0048679D"/>
        </w:tc>
      </w:tr>
      <w:tr w:rsidR="00000000" w:rsidRPr="00A538DD" w14:paraId="5E0260B5" w14:textId="77777777">
        <w:tblPrEx>
          <w:tblCellMar>
            <w:top w:w="0" w:type="dxa"/>
            <w:bottom w:w="0" w:type="dxa"/>
          </w:tblCellMar>
        </w:tblPrEx>
        <w:tc>
          <w:tcPr>
            <w:tcW w:w="2031" w:type="dxa"/>
          </w:tcPr>
          <w:p w14:paraId="24892489" w14:textId="77777777" w:rsidR="0048679D" w:rsidRPr="00A538DD" w:rsidRDefault="0048679D"/>
        </w:tc>
        <w:tc>
          <w:tcPr>
            <w:tcW w:w="2031" w:type="dxa"/>
          </w:tcPr>
          <w:p w14:paraId="3C4B638D" w14:textId="77777777" w:rsidR="0048679D" w:rsidRPr="00A538DD" w:rsidRDefault="0048679D"/>
        </w:tc>
        <w:tc>
          <w:tcPr>
            <w:tcW w:w="2031" w:type="dxa"/>
          </w:tcPr>
          <w:p w14:paraId="3336F283" w14:textId="77777777" w:rsidR="0048679D" w:rsidRPr="00A538DD" w:rsidRDefault="0048679D"/>
        </w:tc>
      </w:tr>
      <w:tr w:rsidR="00000000" w:rsidRPr="00A538DD" w14:paraId="6A435F41" w14:textId="77777777">
        <w:tblPrEx>
          <w:tblCellMar>
            <w:top w:w="0" w:type="dxa"/>
            <w:bottom w:w="0" w:type="dxa"/>
          </w:tblCellMar>
        </w:tblPrEx>
        <w:tc>
          <w:tcPr>
            <w:tcW w:w="2031" w:type="dxa"/>
          </w:tcPr>
          <w:p w14:paraId="1C44E6C8" w14:textId="77777777" w:rsidR="0048679D" w:rsidRPr="00A538DD" w:rsidRDefault="0048679D"/>
        </w:tc>
        <w:tc>
          <w:tcPr>
            <w:tcW w:w="2031" w:type="dxa"/>
          </w:tcPr>
          <w:p w14:paraId="1A565722" w14:textId="77777777" w:rsidR="0048679D" w:rsidRPr="00A538DD" w:rsidRDefault="0048679D"/>
        </w:tc>
        <w:tc>
          <w:tcPr>
            <w:tcW w:w="2031" w:type="dxa"/>
          </w:tcPr>
          <w:p w14:paraId="7D5969F9" w14:textId="77777777" w:rsidR="0048679D" w:rsidRPr="00A538DD" w:rsidRDefault="0048679D"/>
        </w:tc>
      </w:tr>
      <w:tr w:rsidR="00000000" w:rsidRPr="00A538DD" w14:paraId="1CF90344" w14:textId="77777777">
        <w:tblPrEx>
          <w:tblCellMar>
            <w:top w:w="0" w:type="dxa"/>
            <w:bottom w:w="0" w:type="dxa"/>
          </w:tblCellMar>
        </w:tblPrEx>
        <w:tc>
          <w:tcPr>
            <w:tcW w:w="2031" w:type="dxa"/>
          </w:tcPr>
          <w:p w14:paraId="35AA2CBC" w14:textId="77777777" w:rsidR="0048679D" w:rsidRPr="00A538DD" w:rsidRDefault="0048679D">
            <w:r w:rsidRPr="00A538DD">
              <w:t>Lars Heikensten</w:t>
            </w:r>
          </w:p>
          <w:p w14:paraId="5C830641" w14:textId="77777777" w:rsidR="0048679D" w:rsidRPr="00A538DD" w:rsidRDefault="0048679D">
            <w:pPr>
              <w:pStyle w:val="LagtextRubrik"/>
              <w:spacing w:after="0" w:line="250" w:lineRule="atLeast"/>
            </w:pPr>
            <w:r w:rsidRPr="00A538DD">
              <w:t>Riksbankschef</w:t>
            </w:r>
          </w:p>
        </w:tc>
        <w:tc>
          <w:tcPr>
            <w:tcW w:w="2031" w:type="dxa"/>
          </w:tcPr>
          <w:p w14:paraId="2993E347" w14:textId="77777777" w:rsidR="0048679D" w:rsidRPr="00A538DD" w:rsidRDefault="0048679D">
            <w:r w:rsidRPr="00A538DD">
              <w:t xml:space="preserve">Eva Srejber </w:t>
            </w:r>
          </w:p>
          <w:p w14:paraId="2982D158" w14:textId="77777777" w:rsidR="0048679D" w:rsidRPr="00A538DD" w:rsidRDefault="0048679D">
            <w:pPr>
              <w:pStyle w:val="Motioner"/>
              <w:spacing w:before="0"/>
            </w:pPr>
            <w:r w:rsidRPr="00A538DD">
              <w:t>Förste vice riksbank</w:t>
            </w:r>
            <w:r w:rsidRPr="00A538DD">
              <w:t>s</w:t>
            </w:r>
            <w:r w:rsidRPr="00A538DD">
              <w:t>chef</w:t>
            </w:r>
          </w:p>
        </w:tc>
        <w:tc>
          <w:tcPr>
            <w:tcW w:w="2031" w:type="dxa"/>
          </w:tcPr>
          <w:p w14:paraId="1AA5D970" w14:textId="77777777" w:rsidR="0048679D" w:rsidRPr="00A538DD" w:rsidRDefault="0048679D">
            <w:pPr>
              <w:rPr>
                <w:i/>
              </w:rPr>
            </w:pPr>
            <w:r w:rsidRPr="00A538DD">
              <w:t>Villy Bergström</w:t>
            </w:r>
            <w:r w:rsidRPr="00A538DD">
              <w:rPr>
                <w:i/>
              </w:rPr>
              <w:t xml:space="preserve"> </w:t>
            </w:r>
          </w:p>
          <w:p w14:paraId="67936791" w14:textId="77777777" w:rsidR="0048679D" w:rsidRPr="00A538DD" w:rsidRDefault="0048679D">
            <w:pPr>
              <w:pStyle w:val="LagtextRubrik"/>
              <w:spacing w:after="0" w:line="250" w:lineRule="atLeast"/>
            </w:pPr>
            <w:r w:rsidRPr="00A538DD">
              <w:t>Vice riksbankschef</w:t>
            </w:r>
          </w:p>
        </w:tc>
      </w:tr>
      <w:tr w:rsidR="00000000" w:rsidRPr="00A538DD" w14:paraId="545515EA" w14:textId="77777777">
        <w:tblPrEx>
          <w:tblCellMar>
            <w:top w:w="0" w:type="dxa"/>
            <w:bottom w:w="0" w:type="dxa"/>
          </w:tblCellMar>
        </w:tblPrEx>
        <w:tc>
          <w:tcPr>
            <w:tcW w:w="2031" w:type="dxa"/>
          </w:tcPr>
          <w:p w14:paraId="17FEF629" w14:textId="77777777" w:rsidR="0048679D" w:rsidRPr="00A538DD" w:rsidRDefault="0048679D"/>
        </w:tc>
        <w:tc>
          <w:tcPr>
            <w:tcW w:w="2031" w:type="dxa"/>
          </w:tcPr>
          <w:p w14:paraId="2B364E0D" w14:textId="77777777" w:rsidR="0048679D" w:rsidRPr="00A538DD" w:rsidRDefault="0048679D"/>
        </w:tc>
        <w:tc>
          <w:tcPr>
            <w:tcW w:w="2031" w:type="dxa"/>
          </w:tcPr>
          <w:p w14:paraId="5D5D0351" w14:textId="77777777" w:rsidR="0048679D" w:rsidRPr="00A538DD" w:rsidRDefault="0048679D"/>
        </w:tc>
      </w:tr>
      <w:tr w:rsidR="00000000" w:rsidRPr="00A538DD" w14:paraId="5143B855" w14:textId="77777777">
        <w:tblPrEx>
          <w:tblCellMar>
            <w:top w:w="0" w:type="dxa"/>
            <w:bottom w:w="0" w:type="dxa"/>
          </w:tblCellMar>
        </w:tblPrEx>
        <w:tc>
          <w:tcPr>
            <w:tcW w:w="2031" w:type="dxa"/>
          </w:tcPr>
          <w:p w14:paraId="5F368387" w14:textId="77777777" w:rsidR="0048679D" w:rsidRPr="00A538DD" w:rsidRDefault="0048679D"/>
        </w:tc>
        <w:tc>
          <w:tcPr>
            <w:tcW w:w="2031" w:type="dxa"/>
          </w:tcPr>
          <w:p w14:paraId="4960C3DC" w14:textId="77777777" w:rsidR="0048679D" w:rsidRPr="00A538DD" w:rsidRDefault="0048679D"/>
        </w:tc>
        <w:tc>
          <w:tcPr>
            <w:tcW w:w="2031" w:type="dxa"/>
          </w:tcPr>
          <w:p w14:paraId="2046A564" w14:textId="77777777" w:rsidR="0048679D" w:rsidRPr="00A538DD" w:rsidRDefault="0048679D"/>
        </w:tc>
      </w:tr>
      <w:tr w:rsidR="00000000" w:rsidRPr="00A538DD" w14:paraId="2045A2BF" w14:textId="77777777">
        <w:tblPrEx>
          <w:tblCellMar>
            <w:top w:w="0" w:type="dxa"/>
            <w:bottom w:w="0" w:type="dxa"/>
          </w:tblCellMar>
        </w:tblPrEx>
        <w:tc>
          <w:tcPr>
            <w:tcW w:w="2031" w:type="dxa"/>
          </w:tcPr>
          <w:p w14:paraId="2E0367E7" w14:textId="77777777" w:rsidR="0048679D" w:rsidRPr="00A538DD" w:rsidRDefault="0048679D"/>
        </w:tc>
        <w:tc>
          <w:tcPr>
            <w:tcW w:w="2031" w:type="dxa"/>
          </w:tcPr>
          <w:p w14:paraId="53B5C649" w14:textId="77777777" w:rsidR="0048679D" w:rsidRPr="00A538DD" w:rsidRDefault="0048679D"/>
        </w:tc>
        <w:tc>
          <w:tcPr>
            <w:tcW w:w="2031" w:type="dxa"/>
          </w:tcPr>
          <w:p w14:paraId="7F84AF4A" w14:textId="77777777" w:rsidR="0048679D" w:rsidRPr="00A538DD" w:rsidRDefault="0048679D"/>
        </w:tc>
      </w:tr>
      <w:tr w:rsidR="00000000" w:rsidRPr="00A538DD" w14:paraId="4F3878E6" w14:textId="77777777">
        <w:tblPrEx>
          <w:tblCellMar>
            <w:top w:w="0" w:type="dxa"/>
            <w:bottom w:w="0" w:type="dxa"/>
          </w:tblCellMar>
        </w:tblPrEx>
        <w:tc>
          <w:tcPr>
            <w:tcW w:w="2031" w:type="dxa"/>
          </w:tcPr>
          <w:p w14:paraId="2A812C6A" w14:textId="77777777" w:rsidR="0048679D" w:rsidRPr="00A538DD" w:rsidRDefault="0048679D">
            <w:r w:rsidRPr="00A538DD">
              <w:t>Lars Nyberg</w:t>
            </w:r>
          </w:p>
          <w:p w14:paraId="3891ACBC" w14:textId="77777777" w:rsidR="0048679D" w:rsidRPr="00A538DD" w:rsidRDefault="0048679D">
            <w:pPr>
              <w:pStyle w:val="Normaltindrag"/>
              <w:ind w:firstLine="0"/>
            </w:pPr>
            <w:r w:rsidRPr="00A538DD">
              <w:rPr>
                <w:i/>
              </w:rPr>
              <w:t>Vice riksbankschef</w:t>
            </w:r>
          </w:p>
        </w:tc>
        <w:tc>
          <w:tcPr>
            <w:tcW w:w="2031" w:type="dxa"/>
          </w:tcPr>
          <w:p w14:paraId="479C740D" w14:textId="77777777" w:rsidR="0048679D" w:rsidRPr="00A538DD" w:rsidRDefault="0048679D">
            <w:pPr>
              <w:rPr>
                <w:i/>
              </w:rPr>
            </w:pPr>
            <w:r w:rsidRPr="00A538DD">
              <w:t>Kristina Persson</w:t>
            </w:r>
            <w:r w:rsidRPr="00A538DD">
              <w:rPr>
                <w:i/>
              </w:rPr>
              <w:t xml:space="preserve"> </w:t>
            </w:r>
          </w:p>
          <w:p w14:paraId="581CE2B3" w14:textId="77777777" w:rsidR="0048679D" w:rsidRPr="00A538DD" w:rsidRDefault="0048679D">
            <w:pPr>
              <w:pStyle w:val="LagtextRubrik"/>
              <w:spacing w:after="0" w:line="250" w:lineRule="atLeast"/>
            </w:pPr>
            <w:r w:rsidRPr="00A538DD">
              <w:t>Vice riksbankschef</w:t>
            </w:r>
          </w:p>
        </w:tc>
        <w:tc>
          <w:tcPr>
            <w:tcW w:w="2031" w:type="dxa"/>
          </w:tcPr>
          <w:p w14:paraId="6731CDE8" w14:textId="77777777" w:rsidR="0048679D" w:rsidRPr="00A538DD" w:rsidRDefault="0048679D">
            <w:r w:rsidRPr="00A538DD">
              <w:t>Irma Rosenberg</w:t>
            </w:r>
          </w:p>
          <w:p w14:paraId="7CB53829" w14:textId="77777777" w:rsidR="0048679D" w:rsidRPr="00A538DD" w:rsidRDefault="0048679D">
            <w:pPr>
              <w:pStyle w:val="Normaltindrag"/>
              <w:ind w:firstLine="0"/>
            </w:pPr>
            <w:r w:rsidRPr="00A538DD">
              <w:rPr>
                <w:i/>
              </w:rPr>
              <w:t>Vice riksbankschef</w:t>
            </w:r>
          </w:p>
        </w:tc>
      </w:tr>
      <w:tr w:rsidR="00000000" w:rsidRPr="00A538DD" w14:paraId="1F84B2B9" w14:textId="77777777">
        <w:tblPrEx>
          <w:tblCellMar>
            <w:top w:w="0" w:type="dxa"/>
            <w:bottom w:w="0" w:type="dxa"/>
          </w:tblCellMar>
        </w:tblPrEx>
        <w:tc>
          <w:tcPr>
            <w:tcW w:w="2031" w:type="dxa"/>
          </w:tcPr>
          <w:p w14:paraId="44830112" w14:textId="77777777" w:rsidR="0048679D" w:rsidRPr="00A538DD" w:rsidRDefault="0048679D"/>
        </w:tc>
        <w:tc>
          <w:tcPr>
            <w:tcW w:w="2031" w:type="dxa"/>
          </w:tcPr>
          <w:p w14:paraId="70CCF07E" w14:textId="77777777" w:rsidR="0048679D" w:rsidRPr="00A538DD" w:rsidRDefault="0048679D"/>
        </w:tc>
        <w:tc>
          <w:tcPr>
            <w:tcW w:w="2031" w:type="dxa"/>
          </w:tcPr>
          <w:p w14:paraId="013313A1" w14:textId="77777777" w:rsidR="0048679D" w:rsidRPr="00A538DD" w:rsidRDefault="0048679D"/>
        </w:tc>
      </w:tr>
      <w:tr w:rsidR="00000000" w:rsidRPr="00A538DD" w14:paraId="0B67B6EB" w14:textId="77777777">
        <w:tblPrEx>
          <w:tblCellMar>
            <w:top w:w="0" w:type="dxa"/>
            <w:bottom w:w="0" w:type="dxa"/>
          </w:tblCellMar>
        </w:tblPrEx>
        <w:tc>
          <w:tcPr>
            <w:tcW w:w="2031" w:type="dxa"/>
          </w:tcPr>
          <w:p w14:paraId="40C935A1" w14:textId="77777777" w:rsidR="0048679D" w:rsidRPr="00A538DD" w:rsidRDefault="0048679D"/>
        </w:tc>
        <w:tc>
          <w:tcPr>
            <w:tcW w:w="2031" w:type="dxa"/>
          </w:tcPr>
          <w:p w14:paraId="021B3F57" w14:textId="77777777" w:rsidR="0048679D" w:rsidRPr="00A538DD" w:rsidRDefault="0048679D"/>
        </w:tc>
        <w:tc>
          <w:tcPr>
            <w:tcW w:w="2031" w:type="dxa"/>
          </w:tcPr>
          <w:p w14:paraId="6A59A04E" w14:textId="77777777" w:rsidR="0048679D" w:rsidRPr="00A538DD" w:rsidRDefault="0048679D"/>
        </w:tc>
      </w:tr>
    </w:tbl>
    <w:p w14:paraId="24E1130A" w14:textId="77777777" w:rsidR="0048679D" w:rsidRPr="00A538DD" w:rsidRDefault="0048679D"/>
    <w:p w14:paraId="69A42CEA" w14:textId="77777777" w:rsidR="0048679D" w:rsidRPr="00A538DD" w:rsidRDefault="0048679D">
      <w:pPr>
        <w:pStyle w:val="Tryckort"/>
        <w:framePr w:wrap="around"/>
      </w:pPr>
      <w:r w:rsidRPr="00A538DD">
        <w:t>Elanders Gotab, Stockholm  2005</w:t>
      </w:r>
    </w:p>
    <w:p w14:paraId="5A5BF562" w14:textId="77777777" w:rsidR="0048679D" w:rsidRPr="00A538DD" w:rsidRDefault="0048679D">
      <w:pPr>
        <w:pStyle w:val="Normaltindrag"/>
      </w:pPr>
    </w:p>
    <w:sectPr w:rsidR="0048679D" w:rsidRPr="00A538DD">
      <w:pgSz w:w="11906" w:h="16838" w:code="9"/>
      <w:pgMar w:top="907" w:right="4649" w:bottom="4508" w:left="1304" w:header="340" w:footer="22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Björn Andersson" w:initials="BA">
    <w:p w14:paraId="0837994B" w14:textId="77777777" w:rsidR="0048679D" w:rsidRPr="00A538DD" w:rsidRDefault="0048679D">
      <w:pPr>
        <w:pStyle w:val="Kommentarer"/>
      </w:pPr>
      <w:r w:rsidRPr="00A538DD">
        <w:rPr>
          <w:rStyle w:val="Kommentarsreferens"/>
        </w:rPr>
        <w:annotationRef/>
      </w:r>
      <w:r w:rsidRPr="00A538DD">
        <w:t>Fördjupningsruta "Penningpolitik och inflationsmål", Inflationsrapport september 1997:3, s. 26, samt PM, "Riksbankens inflationsmål – förtydliganden och utvärdering", 1999-02-04, ärendebeteckning 1999-00351 DIR.</w:t>
      </w:r>
    </w:p>
  </w:comment>
  <w:comment w:id="12" w:author="Mikael Apel" w:initials="MA">
    <w:p w14:paraId="5800911C" w14:textId="77777777" w:rsidR="0048679D" w:rsidRPr="00A538DD" w:rsidRDefault="0048679D">
      <w:pPr>
        <w:pStyle w:val="Kommentarer"/>
      </w:pPr>
      <w:r w:rsidRPr="00A538DD">
        <w:rPr>
          <w:rStyle w:val="Kommentarsreferens"/>
        </w:rPr>
        <w:annotationRef/>
      </w:r>
      <w:r w:rsidRPr="00A538DD">
        <w:t xml:space="preserve">PM, ”Riksbankens inflationsmål – förtydliganden och utvärdering”, 1999-02-04, ärendebeteckning 1999-00351 DIR, s. 4-5. Se även Heikensten, L., "Riksbankens inflationsmål – förtydliganden och utvärdering, </w:t>
      </w:r>
      <w:r w:rsidRPr="00A538DD">
        <w:rPr>
          <w:i/>
        </w:rPr>
        <w:t>Penning- och valutapolitik</w:t>
      </w:r>
      <w:r w:rsidRPr="00A538DD">
        <w:t xml:space="preserve"> Nr 1, 1999, s. 8-14.</w:t>
      </w:r>
    </w:p>
  </w:comment>
  <w:comment w:id="13" w:author="Kerstin Mitlid" w:initials="KM">
    <w:p w14:paraId="28CBC839" w14:textId="77777777" w:rsidR="0048679D" w:rsidRPr="00A538DD" w:rsidRDefault="0048679D">
      <w:pPr>
        <w:pStyle w:val="Kommentarer"/>
      </w:pPr>
      <w:r w:rsidRPr="00A538DD">
        <w:rPr>
          <w:rStyle w:val="Kommentarsreferens"/>
        </w:rPr>
        <w:annotationRef/>
      </w:r>
      <w:r w:rsidRPr="00A538DD">
        <w:t>Finansiell stabilitet 2004: 1 och  2004:2</w:t>
      </w:r>
    </w:p>
  </w:comment>
  <w:comment w:id="14" w:author="Kerstin Mitlid" w:initials="KM">
    <w:p w14:paraId="2CCCFF83" w14:textId="77777777" w:rsidR="0048679D" w:rsidRPr="00A538DD" w:rsidRDefault="0048679D">
      <w:pPr>
        <w:pStyle w:val="Kommentarer"/>
      </w:pPr>
      <w:r w:rsidRPr="00A538DD">
        <w:rPr>
          <w:rStyle w:val="Kommentarsreferens"/>
        </w:rPr>
        <w:annotationRef/>
      </w:r>
      <w:r w:rsidRPr="00A538DD">
        <w:t>Se stabilitetsrapporterna 2004 och Riksbankens hemsida</w:t>
      </w:r>
    </w:p>
  </w:comment>
  <w:comment w:id="15" w:author="Kerstin Mitlid" w:initials="KM">
    <w:p w14:paraId="4F72FF09" w14:textId="77777777" w:rsidR="0048679D" w:rsidRPr="00A538DD" w:rsidRDefault="0048679D">
      <w:pPr>
        <w:pStyle w:val="Kommentarer"/>
      </w:pPr>
      <w:r w:rsidRPr="00A538DD">
        <w:rPr>
          <w:rStyle w:val="Kommentarsreferens"/>
        </w:rPr>
        <w:annotationRef/>
      </w:r>
      <w:r w:rsidRPr="00A538DD">
        <w:t>Se artikel i P&amp;V  2004 : 3 ”Assesment of the Riksbank´s work on financial stability issues”</w:t>
      </w:r>
    </w:p>
  </w:comment>
  <w:comment w:id="16" w:author="Mats Wallinder" w:initials="MW">
    <w:p w14:paraId="09AEC9D3" w14:textId="77777777" w:rsidR="0048679D" w:rsidRPr="00A538DD" w:rsidRDefault="0048679D">
      <w:pPr>
        <w:pStyle w:val="Kommentarer"/>
      </w:pPr>
      <w:r w:rsidRPr="00A538DD">
        <w:rPr>
          <w:rStyle w:val="Kommentarsreferens"/>
        </w:rPr>
        <w:annotationRef/>
      </w:r>
      <w:r w:rsidRPr="00A538DD">
        <w:t>Se Regelverk för RIX och Penningpolitiska instrument</w:t>
      </w:r>
    </w:p>
  </w:comment>
  <w:comment w:id="17" w:author="Mats Wallinder" w:initials="MW">
    <w:p w14:paraId="1181570E" w14:textId="77777777" w:rsidR="0048679D" w:rsidRPr="00A538DD" w:rsidRDefault="0048679D">
      <w:pPr>
        <w:pStyle w:val="Kommentarer"/>
      </w:pPr>
      <w:r w:rsidRPr="00A538DD">
        <w:rPr>
          <w:rStyle w:val="Kommentarsreferens"/>
        </w:rPr>
        <w:annotationRef/>
      </w:r>
      <w:r w:rsidRPr="00A538DD">
        <w:t>Se direktionsbeslut; Det framtida avvecklingssystemet för stora betalningar 28 april 2004</w:t>
      </w:r>
    </w:p>
  </w:comment>
  <w:comment w:id="18" w:author="Mithra Ericson" w:initials="ME">
    <w:p w14:paraId="29F57ECB" w14:textId="77777777" w:rsidR="0048679D" w:rsidRPr="00A538DD" w:rsidRDefault="0048679D">
      <w:pPr>
        <w:pStyle w:val="Kommentarer"/>
      </w:pPr>
      <w:r w:rsidRPr="00A538DD">
        <w:rPr>
          <w:rStyle w:val="Kommentarsreferens"/>
        </w:rPr>
        <w:annotationRef/>
      </w:r>
      <w:r w:rsidRPr="00A538DD">
        <w:t>Riksbankens deltagande i TARGET2, 2004-09-24</w:t>
      </w:r>
    </w:p>
  </w:comment>
  <w:comment w:id="19" w:author="Ulrika Johansson" w:initials="UJ">
    <w:p w14:paraId="4A0DE8E5" w14:textId="77777777" w:rsidR="0048679D" w:rsidRPr="00A538DD" w:rsidRDefault="0048679D">
      <w:pPr>
        <w:pStyle w:val="Kommentarer"/>
      </w:pPr>
      <w:r w:rsidRPr="00A538DD">
        <w:rPr>
          <w:rStyle w:val="Kommentarsreferens"/>
        </w:rPr>
        <w:annotationRef/>
      </w:r>
      <w:r w:rsidRPr="00A538DD">
        <w:t>Direktionsbeslut  2004-03-31, Riksdagsbeslut 2004-10-27</w:t>
      </w:r>
    </w:p>
  </w:comment>
  <w:comment w:id="21" w:author="Madelene Sandgren" w:initials="MS">
    <w:p w14:paraId="12AC670C" w14:textId="77777777" w:rsidR="0048679D" w:rsidRPr="00A538DD" w:rsidRDefault="0048679D">
      <w:pPr>
        <w:pStyle w:val="Kommentarer"/>
      </w:pPr>
      <w:r w:rsidRPr="00A538DD">
        <w:rPr>
          <w:rStyle w:val="Kommentarsreferens"/>
        </w:rPr>
        <w:annotationRef/>
      </w:r>
      <w:r w:rsidRPr="00A538DD">
        <w:t>Lagen om Sveriges riksbank, kap. 7, 2 §</w:t>
      </w:r>
    </w:p>
  </w:comment>
  <w:comment w:id="30" w:author="Madelene Sandgren" w:initials="MS">
    <w:p w14:paraId="7AF9E044" w14:textId="77777777" w:rsidR="0048679D" w:rsidRPr="00A538DD" w:rsidRDefault="0048679D">
      <w:pPr>
        <w:pStyle w:val="Kommentarer"/>
      </w:pPr>
      <w:r w:rsidRPr="00A538DD">
        <w:rPr>
          <w:rStyle w:val="Kommentarsreferens"/>
        </w:rPr>
        <w:annotationRef/>
      </w:r>
      <w:r w:rsidRPr="00A538DD">
        <w:t>Dnr 2003-1023-DIR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7994B" w15:done="0"/>
  <w15:commentEx w15:paraId="5800911C" w15:done="0"/>
  <w15:commentEx w15:paraId="28CBC839" w15:done="0"/>
  <w15:commentEx w15:paraId="2CCCFF83" w15:done="0"/>
  <w15:commentEx w15:paraId="4F72FF09" w15:done="0"/>
  <w15:commentEx w15:paraId="09AEC9D3" w15:done="0"/>
  <w15:commentEx w15:paraId="1181570E" w15:done="0"/>
  <w15:commentEx w15:paraId="29F57ECB" w15:done="0"/>
  <w15:commentEx w15:paraId="4A0DE8E5" w15:done="0"/>
  <w15:commentEx w15:paraId="12AC670C" w15:done="0"/>
  <w15:commentEx w15:paraId="7AF9E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7994B" w16cid:durableId="41ECD21E"/>
  <w16cid:commentId w16cid:paraId="5800911C" w16cid:durableId="22786D01"/>
  <w16cid:commentId w16cid:paraId="28CBC839" w16cid:durableId="503570EF"/>
  <w16cid:commentId w16cid:paraId="2CCCFF83" w16cid:durableId="7EF8026F"/>
  <w16cid:commentId w16cid:paraId="4F72FF09" w16cid:durableId="221602F2"/>
  <w16cid:commentId w16cid:paraId="09AEC9D3" w16cid:durableId="7889F67F"/>
  <w16cid:commentId w16cid:paraId="1181570E" w16cid:durableId="1331557C"/>
  <w16cid:commentId w16cid:paraId="29F57ECB" w16cid:durableId="38091BF9"/>
  <w16cid:commentId w16cid:paraId="4A0DE8E5" w16cid:durableId="4FF37AE0"/>
  <w16cid:commentId w16cid:paraId="12AC670C" w16cid:durableId="3B08C214"/>
  <w16cid:commentId w16cid:paraId="7AF9E044" w16cid:durableId="2348A7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F0D0" w14:textId="77777777" w:rsidR="0048679D" w:rsidRPr="00A538DD" w:rsidRDefault="0048679D">
      <w:r w:rsidRPr="00A538DD">
        <w:separator/>
      </w:r>
    </w:p>
  </w:endnote>
  <w:endnote w:type="continuationSeparator" w:id="0">
    <w:p w14:paraId="1BBA3EEB" w14:textId="77777777" w:rsidR="0048679D" w:rsidRPr="00A538DD" w:rsidRDefault="0048679D">
      <w:r w:rsidRPr="00A538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ntax">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New Baskervill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16"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2</w:t>
    </w:r>
    <w:r w:rsidRPr="00A538DD">
      <w:fldChar w:fldCharType="end"/>
    </w:r>
  </w:p>
  <w:p w14:paraId="76ABBD00" w14:textId="77777777" w:rsidR="0048679D" w:rsidRPr="00A538DD" w:rsidRDefault="0048679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B565"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12</w:t>
    </w:r>
    <w:r w:rsidRPr="00A538DD">
      <w:fldChar w:fldCharType="end"/>
    </w:r>
  </w:p>
  <w:p w14:paraId="6CA8A95F" w14:textId="77777777" w:rsidR="0048679D" w:rsidRPr="00A538DD" w:rsidRDefault="0048679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8024" w14:textId="77777777" w:rsidR="0048679D" w:rsidRPr="00A538DD" w:rsidRDefault="0048679D">
    <w:pPr>
      <w:pStyle w:val="SidfotH"/>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11</w:t>
    </w:r>
    <w:r w:rsidRPr="00A538DD">
      <w:fldChar w:fldCharType="end"/>
    </w:r>
  </w:p>
  <w:p w14:paraId="6975C895" w14:textId="77777777" w:rsidR="0048679D" w:rsidRPr="00A538DD" w:rsidRDefault="0048679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3BCD"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if </w:instrText>
    </w:r>
    <w:r w:rsidRPr="00A538DD">
      <w:fldChar w:fldCharType="begin" w:fldLock="1"/>
    </w:r>
    <w:r w:rsidRPr="00A538DD">
      <w:instrText xml:space="preserve"> = </w:instrText>
    </w:r>
    <w:r w:rsidRPr="00A538DD">
      <w:fldChar w:fldCharType="begin" w:fldLock="1"/>
    </w:r>
    <w:r w:rsidRPr="00A538DD">
      <w:instrText xml:space="preserve"> = </w:instrText>
    </w:r>
    <w:r w:rsidRPr="00A538DD">
      <w:fldChar w:fldCharType="begin" w:fldLock="1"/>
    </w:r>
    <w:r w:rsidRPr="00A538DD">
      <w:instrText xml:space="preserve"> page</w:instrText>
    </w:r>
    <w:r w:rsidRPr="00A538DD">
      <w:fldChar w:fldCharType="separate"/>
    </w:r>
    <w:r w:rsidRPr="00A538DD">
      <w:instrText>10</w:instrText>
    </w:r>
    <w:r w:rsidRPr="00A538DD">
      <w:fldChar w:fldCharType="end"/>
    </w:r>
    <w:r w:rsidRPr="00A538DD">
      <w:instrText xml:space="preserve">/2 </w:instrText>
    </w:r>
    <w:r w:rsidRPr="00A538DD">
      <w:fldChar w:fldCharType="separate"/>
    </w:r>
    <w:r w:rsidRPr="00A538DD">
      <w:instrText>5</w:instrText>
    </w:r>
    <w:r w:rsidRPr="00A538DD">
      <w:fldChar w:fldCharType="end"/>
    </w:r>
    <w:r w:rsidRPr="00A538DD">
      <w:instrText xml:space="preserve"> - </w:instrText>
    </w:r>
    <w:r w:rsidRPr="00A538DD">
      <w:fldChar w:fldCharType="begin" w:fldLock="1"/>
    </w:r>
    <w:r w:rsidRPr="00A538DD">
      <w:instrText xml:space="preserve"> = int(</w:instrText>
    </w:r>
    <w:r w:rsidRPr="00A538DD">
      <w:fldChar w:fldCharType="begin" w:fldLock="1"/>
    </w:r>
    <w:r w:rsidRPr="00A538DD">
      <w:instrText xml:space="preserve"> page</w:instrText>
    </w:r>
    <w:r w:rsidRPr="00A538DD">
      <w:fldChar w:fldCharType="separate"/>
    </w:r>
    <w:r w:rsidRPr="00A538DD">
      <w:instrText>10</w:instrText>
    </w:r>
    <w:r w:rsidRPr="00A538DD">
      <w:fldChar w:fldCharType="end"/>
    </w:r>
    <w:r w:rsidRPr="00A538DD">
      <w:instrText xml:space="preserve">/2) </w:instrText>
    </w:r>
    <w:r w:rsidRPr="00A538DD">
      <w:fldChar w:fldCharType="separate"/>
    </w:r>
    <w:r w:rsidRPr="00A538DD">
      <w:instrText>5</w:instrText>
    </w:r>
    <w:r w:rsidRPr="00A538DD">
      <w:fldChar w:fldCharType="end"/>
    </w:r>
    <w:r w:rsidRPr="00A538DD">
      <w:fldChar w:fldCharType="separate"/>
    </w:r>
    <w:r w:rsidRPr="00A538DD">
      <w:instrText>0</w:instrText>
    </w:r>
    <w:r w:rsidRPr="00A538DD">
      <w:fldChar w:fldCharType="end"/>
    </w:r>
    <w:r w:rsidRPr="00A538DD">
      <w:instrText xml:space="preserve"> = 0 "</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10</w:instrText>
    </w:r>
    <w:r w:rsidRPr="00A538DD">
      <w:fldChar w:fldCharType="end"/>
    </w:r>
  </w:p>
  <w:p w14:paraId="4A8E1B29" w14:textId="77777777" w:rsidR="0048679D" w:rsidRPr="00A538DD" w:rsidRDefault="0048679D">
    <w:pPr>
      <w:pStyle w:val="SidfotV"/>
      <w:framePr w:w="8732" w:h="284" w:hRule="exact" w:hSpace="0" w:vSpace="0" w:wrap="around" w:xAlign="inside" w:y="13042" w:anchorLock="0"/>
    </w:pPr>
    <w:r w:rsidRPr="00A538DD">
      <w:instrText>""</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5</w:instrText>
    </w:r>
    <w:r w:rsidRPr="00A538DD">
      <w:fldChar w:fldCharType="end"/>
    </w:r>
    <w:r w:rsidRPr="00A538DD">
      <w:instrText>"</w:instrText>
    </w:r>
    <w:r w:rsidRPr="00A538DD">
      <w:fldChar w:fldCharType="separate"/>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10</w:t>
    </w:r>
    <w:r w:rsidRPr="00A538DD">
      <w:fldChar w:fldCharType="end"/>
    </w:r>
  </w:p>
  <w:p w14:paraId="48B4DF1E" w14:textId="77777777" w:rsidR="0048679D" w:rsidRPr="00A538DD" w:rsidRDefault="0048679D">
    <w:pPr>
      <w:pStyle w:val="SidfotH"/>
      <w:framePr w:w="8732" w:h="284" w:hRule="exact" w:hSpace="0" w:vSpace="0" w:wrap="around" w:xAlign="inside" w:y="13042" w:anchorLock="0"/>
    </w:pPr>
    <w:r w:rsidRPr="00A538DD">
      <w:fldChar w:fldCharType="end"/>
    </w:r>
  </w:p>
  <w:p w14:paraId="5DE058F7" w14:textId="77777777" w:rsidR="0048679D" w:rsidRPr="00A538DD" w:rsidRDefault="004867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9082" w14:textId="77777777" w:rsidR="0048679D" w:rsidRPr="00A538DD" w:rsidRDefault="0048679D">
    <w:pPr>
      <w:pStyle w:val="SidfotH"/>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3</w:t>
    </w:r>
    <w:r w:rsidRPr="00A538DD">
      <w:fldChar w:fldCharType="end"/>
    </w:r>
  </w:p>
  <w:p w14:paraId="3D26A464" w14:textId="77777777" w:rsidR="0048679D" w:rsidRPr="00A538DD" w:rsidRDefault="004867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C788"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if </w:instrText>
    </w:r>
    <w:r w:rsidRPr="00A538DD">
      <w:fldChar w:fldCharType="begin" w:fldLock="1"/>
    </w:r>
    <w:r w:rsidRPr="00A538DD">
      <w:instrText xml:space="preserve"> = </w:instrText>
    </w:r>
    <w:r w:rsidRPr="00A538DD">
      <w:fldChar w:fldCharType="begin" w:fldLock="1"/>
    </w:r>
    <w:r w:rsidRPr="00A538DD">
      <w:instrText xml:space="preserve"> = </w:instrText>
    </w:r>
    <w:r w:rsidRPr="00A538DD">
      <w:fldChar w:fldCharType="begin" w:fldLock="1"/>
    </w:r>
    <w:r w:rsidRPr="00A538DD">
      <w:instrText xml:space="preserve"> page</w:instrText>
    </w:r>
    <w:r w:rsidRPr="00A538DD">
      <w:fldChar w:fldCharType="separate"/>
    </w:r>
    <w:r w:rsidR="00A538DD">
      <w:rPr>
        <w:noProof/>
      </w:rPr>
      <w:instrText>1</w:instrText>
    </w:r>
    <w:r w:rsidRPr="00A538DD">
      <w:fldChar w:fldCharType="end"/>
    </w:r>
    <w:r w:rsidRPr="00A538DD">
      <w:instrText xml:space="preserve">/2 </w:instrText>
    </w:r>
    <w:r w:rsidRPr="00A538DD">
      <w:fldChar w:fldCharType="separate"/>
    </w:r>
    <w:r w:rsidR="00A538DD">
      <w:rPr>
        <w:noProof/>
      </w:rPr>
      <w:instrText>0,5</w:instrText>
    </w:r>
    <w:r w:rsidRPr="00A538DD">
      <w:fldChar w:fldCharType="end"/>
    </w:r>
    <w:r w:rsidRPr="00A538DD">
      <w:instrText xml:space="preserve"> - </w:instrText>
    </w:r>
    <w:r w:rsidRPr="00A538DD">
      <w:fldChar w:fldCharType="begin" w:fldLock="1"/>
    </w:r>
    <w:r w:rsidRPr="00A538DD">
      <w:instrText xml:space="preserve"> = int(</w:instrText>
    </w:r>
    <w:r w:rsidRPr="00A538DD">
      <w:fldChar w:fldCharType="begin" w:fldLock="1"/>
    </w:r>
    <w:r w:rsidRPr="00A538DD">
      <w:instrText xml:space="preserve"> page</w:instrText>
    </w:r>
    <w:r w:rsidRPr="00A538DD">
      <w:fldChar w:fldCharType="separate"/>
    </w:r>
    <w:r w:rsidR="00A538DD">
      <w:rPr>
        <w:noProof/>
      </w:rPr>
      <w:instrText>1</w:instrText>
    </w:r>
    <w:r w:rsidRPr="00A538DD">
      <w:fldChar w:fldCharType="end"/>
    </w:r>
    <w:r w:rsidRPr="00A538DD">
      <w:instrText xml:space="preserve">/2) </w:instrText>
    </w:r>
    <w:r w:rsidRPr="00A538DD">
      <w:fldChar w:fldCharType="separate"/>
    </w:r>
    <w:r w:rsidR="00A538DD">
      <w:rPr>
        <w:noProof/>
      </w:rPr>
      <w:instrText>0</w:instrText>
    </w:r>
    <w:r w:rsidRPr="00A538DD">
      <w:fldChar w:fldCharType="end"/>
    </w:r>
    <w:r w:rsidRPr="00A538DD">
      <w:fldChar w:fldCharType="separate"/>
    </w:r>
    <w:r w:rsidR="00A538DD">
      <w:rPr>
        <w:noProof/>
      </w:rPr>
      <w:instrText>0,5</w:instrText>
    </w:r>
    <w:r w:rsidRPr="00A538DD">
      <w:fldChar w:fldCharType="end"/>
    </w:r>
    <w:r w:rsidRPr="00A538DD">
      <w:instrText xml:space="preserve"> = 0 "</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14</w:instrText>
    </w:r>
    <w:r w:rsidRPr="00A538DD">
      <w:fldChar w:fldCharType="end"/>
    </w:r>
  </w:p>
  <w:p w14:paraId="731A7F46" w14:textId="77777777" w:rsidR="0048679D" w:rsidRPr="00A538DD" w:rsidRDefault="0048679D">
    <w:pPr>
      <w:pStyle w:val="SidfotH"/>
      <w:framePr w:w="8732" w:h="284" w:hRule="exact" w:hSpace="0" w:vSpace="0" w:wrap="around" w:xAlign="inside" w:y="13042" w:anchorLock="0"/>
    </w:pPr>
    <w:r w:rsidRPr="00A538DD">
      <w:instrText>""</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00A538DD">
      <w:rPr>
        <w:noProof/>
      </w:rPr>
      <w:instrText>1</w:instrText>
    </w:r>
    <w:r w:rsidRPr="00A538DD">
      <w:fldChar w:fldCharType="end"/>
    </w:r>
    <w:r w:rsidRPr="00A538DD">
      <w:instrText>"</w:instrText>
    </w:r>
    <w:r w:rsidRPr="00A538DD">
      <w:fldChar w:fldCharType="separate"/>
    </w:r>
    <w:r w:rsidR="00A538DD">
      <w:rPr>
        <w:noProof/>
      </w:rPr>
      <w:t>1</w:t>
    </w:r>
    <w:r w:rsidRPr="00A538DD">
      <w:fldChar w:fldCharType="end"/>
    </w:r>
  </w:p>
  <w:p w14:paraId="5A919C96" w14:textId="77777777" w:rsidR="0048679D" w:rsidRPr="00A538DD" w:rsidRDefault="0048679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F96D"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4</w:t>
    </w:r>
    <w:r w:rsidRPr="00A538DD">
      <w:fldChar w:fldCharType="end"/>
    </w:r>
  </w:p>
  <w:p w14:paraId="1883A2A4" w14:textId="77777777" w:rsidR="0048679D" w:rsidRPr="00A538DD" w:rsidRDefault="0048679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6B6F" w14:textId="77777777" w:rsidR="0048679D" w:rsidRPr="00A538DD" w:rsidRDefault="0048679D">
    <w:pPr>
      <w:pStyle w:val="SidfotH"/>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3</w:t>
    </w:r>
    <w:r w:rsidRPr="00A538DD">
      <w:fldChar w:fldCharType="end"/>
    </w:r>
  </w:p>
  <w:p w14:paraId="225F6CEC" w14:textId="77777777" w:rsidR="0048679D" w:rsidRPr="00A538DD" w:rsidRDefault="0048679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B4A0"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if </w:instrText>
    </w:r>
    <w:r w:rsidRPr="00A538DD">
      <w:fldChar w:fldCharType="begin" w:fldLock="1"/>
    </w:r>
    <w:r w:rsidRPr="00A538DD">
      <w:instrText xml:space="preserve"> = </w:instrText>
    </w:r>
    <w:r w:rsidRPr="00A538DD">
      <w:fldChar w:fldCharType="begin" w:fldLock="1"/>
    </w:r>
    <w:r w:rsidRPr="00A538DD">
      <w:instrText xml:space="preserve"> = </w:instrText>
    </w:r>
    <w:r w:rsidRPr="00A538DD">
      <w:fldChar w:fldCharType="begin" w:fldLock="1"/>
    </w:r>
    <w:r w:rsidRPr="00A538DD">
      <w:instrText xml:space="preserve"> page</w:instrText>
    </w:r>
    <w:r w:rsidRPr="00A538DD">
      <w:fldChar w:fldCharType="separate"/>
    </w:r>
    <w:r w:rsidRPr="00A538DD">
      <w:instrText>2</w:instrText>
    </w:r>
    <w:r w:rsidRPr="00A538DD">
      <w:fldChar w:fldCharType="end"/>
    </w:r>
    <w:r w:rsidRPr="00A538DD">
      <w:instrText xml:space="preserve">/2 </w:instrText>
    </w:r>
    <w:r w:rsidRPr="00A538DD">
      <w:fldChar w:fldCharType="separate"/>
    </w:r>
    <w:r w:rsidRPr="00A538DD">
      <w:instrText>1</w:instrText>
    </w:r>
    <w:r w:rsidRPr="00A538DD">
      <w:fldChar w:fldCharType="end"/>
    </w:r>
    <w:r w:rsidRPr="00A538DD">
      <w:instrText xml:space="preserve"> - </w:instrText>
    </w:r>
    <w:r w:rsidRPr="00A538DD">
      <w:fldChar w:fldCharType="begin" w:fldLock="1"/>
    </w:r>
    <w:r w:rsidRPr="00A538DD">
      <w:instrText xml:space="preserve"> = int(</w:instrText>
    </w:r>
    <w:r w:rsidRPr="00A538DD">
      <w:fldChar w:fldCharType="begin" w:fldLock="1"/>
    </w:r>
    <w:r w:rsidRPr="00A538DD">
      <w:instrText xml:space="preserve"> page</w:instrText>
    </w:r>
    <w:r w:rsidRPr="00A538DD">
      <w:fldChar w:fldCharType="separate"/>
    </w:r>
    <w:r w:rsidRPr="00A538DD">
      <w:instrText>2</w:instrText>
    </w:r>
    <w:r w:rsidRPr="00A538DD">
      <w:fldChar w:fldCharType="end"/>
    </w:r>
    <w:r w:rsidRPr="00A538DD">
      <w:instrText xml:space="preserve">/2) </w:instrText>
    </w:r>
    <w:r w:rsidRPr="00A538DD">
      <w:fldChar w:fldCharType="separate"/>
    </w:r>
    <w:r w:rsidRPr="00A538DD">
      <w:instrText>1</w:instrText>
    </w:r>
    <w:r w:rsidRPr="00A538DD">
      <w:fldChar w:fldCharType="end"/>
    </w:r>
    <w:r w:rsidRPr="00A538DD">
      <w:fldChar w:fldCharType="separate"/>
    </w:r>
    <w:r w:rsidRPr="00A538DD">
      <w:instrText>0</w:instrText>
    </w:r>
    <w:r w:rsidRPr="00A538DD">
      <w:fldChar w:fldCharType="end"/>
    </w:r>
    <w:r w:rsidRPr="00A538DD">
      <w:instrText xml:space="preserve"> = 0 "</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2</w:instrText>
    </w:r>
    <w:r w:rsidRPr="00A538DD">
      <w:fldChar w:fldCharType="end"/>
    </w:r>
  </w:p>
  <w:p w14:paraId="568947EC" w14:textId="77777777" w:rsidR="0048679D" w:rsidRPr="00A538DD" w:rsidRDefault="0048679D">
    <w:pPr>
      <w:pStyle w:val="SidfotV"/>
      <w:framePr w:w="8732" w:h="284" w:hRule="exact" w:hSpace="0" w:vSpace="0" w:wrap="around" w:xAlign="inside" w:y="13042" w:anchorLock="0"/>
    </w:pPr>
    <w:r w:rsidRPr="00A538DD">
      <w:instrText>""</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3</w:instrText>
    </w:r>
    <w:r w:rsidRPr="00A538DD">
      <w:fldChar w:fldCharType="end"/>
    </w:r>
    <w:r w:rsidRPr="00A538DD">
      <w:instrText>"</w:instrText>
    </w:r>
    <w:r w:rsidRPr="00A538DD">
      <w:fldChar w:fldCharType="separate"/>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2</w:t>
    </w:r>
    <w:r w:rsidRPr="00A538DD">
      <w:fldChar w:fldCharType="end"/>
    </w:r>
  </w:p>
  <w:p w14:paraId="6B9914DB" w14:textId="77777777" w:rsidR="0048679D" w:rsidRPr="00A538DD" w:rsidRDefault="0048679D">
    <w:pPr>
      <w:pStyle w:val="SidfotH"/>
      <w:framePr w:w="8732" w:h="284" w:hRule="exact" w:hSpace="0" w:vSpace="0" w:wrap="around" w:xAlign="inside" w:y="13042" w:anchorLock="0"/>
    </w:pPr>
    <w:r w:rsidRPr="00A538DD">
      <w:fldChar w:fldCharType="end"/>
    </w:r>
  </w:p>
  <w:p w14:paraId="6AC1F384" w14:textId="77777777" w:rsidR="0048679D" w:rsidRPr="00A538DD" w:rsidRDefault="0048679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DD56"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4</w:t>
    </w:r>
    <w:r w:rsidRPr="00A538DD">
      <w:fldChar w:fldCharType="end"/>
    </w:r>
  </w:p>
  <w:p w14:paraId="56A3CC76" w14:textId="77777777" w:rsidR="0048679D" w:rsidRPr="00A538DD" w:rsidRDefault="0048679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BE72" w14:textId="77777777" w:rsidR="0048679D" w:rsidRPr="00A538DD" w:rsidRDefault="0048679D">
    <w:pPr>
      <w:pStyle w:val="SidfotH"/>
      <w:framePr w:w="8732" w:h="284" w:hRule="exact" w:hSpace="0" w:vSpace="0" w:wrap="around" w:xAlign="inside" w:y="13042" w:anchorLock="0"/>
    </w:pP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3</w:t>
    </w:r>
    <w:r w:rsidRPr="00A538DD">
      <w:fldChar w:fldCharType="end"/>
    </w:r>
  </w:p>
  <w:p w14:paraId="4333D615" w14:textId="77777777" w:rsidR="0048679D" w:rsidRPr="00A538DD" w:rsidRDefault="0048679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8B58" w14:textId="77777777" w:rsidR="0048679D" w:rsidRPr="00A538DD" w:rsidRDefault="0048679D">
    <w:pPr>
      <w:pStyle w:val="SidfotV"/>
      <w:framePr w:w="8732" w:h="284" w:hRule="exact" w:hSpace="0" w:vSpace="0" w:wrap="around" w:xAlign="inside" w:y="13042" w:anchorLock="0"/>
    </w:pPr>
    <w:r w:rsidRPr="00A538DD">
      <w:fldChar w:fldCharType="begin" w:fldLock="1"/>
    </w:r>
    <w:r w:rsidRPr="00A538DD">
      <w:instrText xml:space="preserve"> if </w:instrText>
    </w:r>
    <w:r w:rsidRPr="00A538DD">
      <w:fldChar w:fldCharType="begin" w:fldLock="1"/>
    </w:r>
    <w:r w:rsidRPr="00A538DD">
      <w:instrText xml:space="preserve"> = </w:instrText>
    </w:r>
    <w:r w:rsidRPr="00A538DD">
      <w:fldChar w:fldCharType="begin" w:fldLock="1"/>
    </w:r>
    <w:r w:rsidRPr="00A538DD">
      <w:instrText xml:space="preserve"> = </w:instrText>
    </w:r>
    <w:r w:rsidRPr="00A538DD">
      <w:fldChar w:fldCharType="begin" w:fldLock="1"/>
    </w:r>
    <w:r w:rsidRPr="00A538DD">
      <w:instrText xml:space="preserve"> page</w:instrText>
    </w:r>
    <w:r w:rsidRPr="00A538DD">
      <w:fldChar w:fldCharType="separate"/>
    </w:r>
    <w:r w:rsidRPr="00A538DD">
      <w:instrText>4</w:instrText>
    </w:r>
    <w:r w:rsidRPr="00A538DD">
      <w:fldChar w:fldCharType="end"/>
    </w:r>
    <w:r w:rsidRPr="00A538DD">
      <w:instrText xml:space="preserve">/2 </w:instrText>
    </w:r>
    <w:r w:rsidRPr="00A538DD">
      <w:fldChar w:fldCharType="separate"/>
    </w:r>
    <w:r w:rsidRPr="00A538DD">
      <w:instrText>2</w:instrText>
    </w:r>
    <w:r w:rsidRPr="00A538DD">
      <w:fldChar w:fldCharType="end"/>
    </w:r>
    <w:r w:rsidRPr="00A538DD">
      <w:instrText xml:space="preserve"> - </w:instrText>
    </w:r>
    <w:r w:rsidRPr="00A538DD">
      <w:fldChar w:fldCharType="begin" w:fldLock="1"/>
    </w:r>
    <w:r w:rsidRPr="00A538DD">
      <w:instrText xml:space="preserve"> = int(</w:instrText>
    </w:r>
    <w:r w:rsidRPr="00A538DD">
      <w:fldChar w:fldCharType="begin" w:fldLock="1"/>
    </w:r>
    <w:r w:rsidRPr="00A538DD">
      <w:instrText xml:space="preserve"> page</w:instrText>
    </w:r>
    <w:r w:rsidRPr="00A538DD">
      <w:fldChar w:fldCharType="separate"/>
    </w:r>
    <w:r w:rsidRPr="00A538DD">
      <w:instrText>4</w:instrText>
    </w:r>
    <w:r w:rsidRPr="00A538DD">
      <w:fldChar w:fldCharType="end"/>
    </w:r>
    <w:r w:rsidRPr="00A538DD">
      <w:instrText xml:space="preserve">/2) </w:instrText>
    </w:r>
    <w:r w:rsidRPr="00A538DD">
      <w:fldChar w:fldCharType="separate"/>
    </w:r>
    <w:r w:rsidRPr="00A538DD">
      <w:instrText>2</w:instrText>
    </w:r>
    <w:r w:rsidRPr="00A538DD">
      <w:fldChar w:fldCharType="end"/>
    </w:r>
    <w:r w:rsidRPr="00A538DD">
      <w:fldChar w:fldCharType="separate"/>
    </w:r>
    <w:r w:rsidRPr="00A538DD">
      <w:instrText>0</w:instrText>
    </w:r>
    <w:r w:rsidRPr="00A538DD">
      <w:fldChar w:fldCharType="end"/>
    </w:r>
    <w:r w:rsidRPr="00A538DD">
      <w:instrText xml:space="preserve"> = 0 "</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4</w:instrText>
    </w:r>
    <w:r w:rsidRPr="00A538DD">
      <w:fldChar w:fldCharType="end"/>
    </w:r>
  </w:p>
  <w:p w14:paraId="75E96630" w14:textId="77777777" w:rsidR="0048679D" w:rsidRPr="00A538DD" w:rsidRDefault="0048679D">
    <w:pPr>
      <w:pStyle w:val="SidfotV"/>
      <w:framePr w:w="8732" w:h="284" w:hRule="exact" w:hSpace="0" w:vSpace="0" w:wrap="around" w:xAlign="inside" w:y="13042" w:anchorLock="0"/>
    </w:pPr>
    <w:r w:rsidRPr="00A538DD">
      <w:instrText>""</w:instrText>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instrText>3</w:instrText>
    </w:r>
    <w:r w:rsidRPr="00A538DD">
      <w:fldChar w:fldCharType="end"/>
    </w:r>
    <w:r w:rsidRPr="00A538DD">
      <w:instrText>"</w:instrText>
    </w:r>
    <w:r w:rsidRPr="00A538DD">
      <w:fldChar w:fldCharType="separate"/>
    </w:r>
    <w:r w:rsidRPr="00A538DD">
      <w:fldChar w:fldCharType="begin" w:fldLock="1"/>
    </w:r>
    <w:r w:rsidRPr="00A538DD">
      <w:instrText xml:space="preserve"> P</w:instrText>
    </w:r>
    <w:r w:rsidRPr="00A538DD">
      <w:instrText>A</w:instrText>
    </w:r>
    <w:r w:rsidRPr="00A538DD">
      <w:instrText xml:space="preserve">GE </w:instrText>
    </w:r>
    <w:r w:rsidRPr="00A538DD">
      <w:fldChar w:fldCharType="separate"/>
    </w:r>
    <w:r w:rsidRPr="00A538DD">
      <w:t>4</w:t>
    </w:r>
    <w:r w:rsidRPr="00A538DD">
      <w:fldChar w:fldCharType="end"/>
    </w:r>
  </w:p>
  <w:p w14:paraId="16023A9F" w14:textId="77777777" w:rsidR="0048679D" w:rsidRPr="00A538DD" w:rsidRDefault="0048679D">
    <w:pPr>
      <w:pStyle w:val="SidfotH"/>
      <w:framePr w:w="8732" w:h="284" w:hRule="exact" w:hSpace="0" w:vSpace="0" w:wrap="around" w:xAlign="inside" w:y="13042" w:anchorLock="0"/>
    </w:pPr>
    <w:r w:rsidRPr="00A538DD">
      <w:fldChar w:fldCharType="end"/>
    </w:r>
  </w:p>
  <w:p w14:paraId="6E8FB0EA" w14:textId="77777777" w:rsidR="0048679D" w:rsidRPr="00A538DD" w:rsidRDefault="00486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45D9" w14:textId="77777777" w:rsidR="0048679D" w:rsidRPr="00A538DD" w:rsidRDefault="0048679D">
      <w:r w:rsidRPr="00A538DD">
        <w:separator/>
      </w:r>
    </w:p>
  </w:footnote>
  <w:footnote w:type="continuationSeparator" w:id="0">
    <w:p w14:paraId="35E97B32" w14:textId="77777777" w:rsidR="0048679D" w:rsidRPr="00A538DD" w:rsidRDefault="0048679D">
      <w:r w:rsidRPr="00A538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16D6"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 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t>1</w:t>
    </w:r>
    <w:r w:rsidRPr="00A538DD">
      <w:rPr>
        <w:rStyle w:val="SidhuvudUtskott"/>
      </w:rPr>
      <w:fldChar w:fldCharType="end"/>
    </w:r>
    <w:r w:rsidRPr="00A538DD">
      <w:t xml:space="preserve">     </w:t>
    </w:r>
    <w:r w:rsidRPr="00A538DD">
      <w:rPr>
        <w:rStyle w:val="SidhuvudBilaga"/>
      </w:rPr>
      <w:t xml:space="preserve"> </w:t>
    </w: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Innehållsförteckning</w:t>
    </w:r>
    <w:r w:rsidRPr="00A538DD">
      <w:rPr>
        <w:rStyle w:val="SidhuvudRubrikReferens"/>
      </w:rPr>
      <w:fldChar w:fldCharType="end"/>
    </w:r>
  </w:p>
  <w:p w14:paraId="7C6A0574"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0A601AC5" w14:textId="77777777" w:rsidR="0048679D" w:rsidRPr="00A538DD" w:rsidRDefault="0048679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9C5E"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 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t>1</w:t>
    </w:r>
    <w:r w:rsidRPr="00A538DD">
      <w:rPr>
        <w:rStyle w:val="SidhuvudUtskott"/>
      </w:rPr>
      <w:fldChar w:fldCharType="end"/>
    </w:r>
    <w:r w:rsidRPr="00A538DD">
      <w:t xml:space="preserve">     </w:t>
    </w:r>
    <w:r w:rsidRPr="00A538DD">
      <w:rPr>
        <w:rStyle w:val="SidhuvudBilaga"/>
      </w:rPr>
      <w:t xml:space="preserve"> </w:t>
    </w: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Ett fast penningvärde – prisstabilitet</w:t>
    </w:r>
    <w:r w:rsidRPr="00A538DD">
      <w:rPr>
        <w:rStyle w:val="SidhuvudRubrikReferens"/>
      </w:rPr>
      <w:fldChar w:fldCharType="end"/>
    </w:r>
  </w:p>
  <w:p w14:paraId="6A32A19B"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336EA0E2" w14:textId="77777777" w:rsidR="0048679D" w:rsidRPr="00A538DD" w:rsidRDefault="0048679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6EBF" w14:textId="77777777" w:rsidR="0048679D" w:rsidRPr="00A538DD" w:rsidRDefault="0048679D">
    <w:pPr>
      <w:pStyle w:val="SidhuvudKantUdda"/>
      <w:framePr w:w="8732" w:h="567" w:hRule="exact" w:vSpace="0" w:wrap="around" w:vAnchor="page" w:y="341" w:anchorLock="0"/>
    </w:pP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Ett fast penningvärde – prisstabilitet</w:t>
    </w:r>
    <w:r w:rsidRPr="00A538DD">
      <w:rPr>
        <w:rStyle w:val="SidhuvudRubrikReferens"/>
      </w:rPr>
      <w:fldChar w:fldCharType="end"/>
    </w:r>
    <w:r w:rsidRPr="00A538DD">
      <w:rPr>
        <w:rStyle w:val="SidhuvudBilaga"/>
      </w:rPr>
      <w:t xml:space="preserve"> </w:t>
    </w:r>
    <w:r w:rsidRPr="00A538DD">
      <w:t xml:space="preserve">     </w:t>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w:instrText>
    </w:r>
    <w:r w:rsidRPr="00A538DD">
      <w:instrText xml:space="preserve"> </w:instrText>
    </w:r>
    <w:r w:rsidRPr="00A538DD">
      <w:rPr>
        <w:rStyle w:val="SidhuvudUtskott"/>
      </w:rPr>
      <w:instrText>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w:instrText>
    </w:r>
    <w:r w:rsidRPr="00A538DD">
      <w:rPr>
        <w:rStyle w:val="SidhuvudUtskott"/>
      </w:rPr>
      <w:instrText>n</w:instrText>
    </w:r>
    <w:r w:rsidRPr="00A538DD">
      <w:rPr>
        <w:rStyle w:val="SidhuvudUtskott"/>
      </w:rPr>
      <w:instrText>kandeNr</w:instrText>
    </w:r>
    <w:r w:rsidRPr="00A538DD">
      <w:rPr>
        <w:rStyle w:val="SidhuvudUtskott"/>
      </w:rPr>
      <w:fldChar w:fldCharType="separate"/>
    </w:r>
    <w:r w:rsidRPr="00A538DD">
      <w:rPr>
        <w:rStyle w:val="SidhuvudUtskott"/>
      </w:rPr>
      <w:t>1</w:t>
    </w:r>
    <w:r w:rsidRPr="00A538DD">
      <w:rPr>
        <w:rStyle w:val="SidhuvudUtskott"/>
      </w:rPr>
      <w:fldChar w:fldCharType="end"/>
    </w:r>
  </w:p>
  <w:p w14:paraId="57A78BEC" w14:textId="77777777" w:rsidR="0048679D" w:rsidRPr="00A538DD" w:rsidRDefault="0048679D">
    <w:pPr>
      <w:pStyle w:val="SidhuvudKantUdda"/>
      <w:framePr w:w="8732" w:h="567" w:hRule="exact" w:vSpace="0" w:wrap="around" w:vAnchor="page" w:y="341" w:anchorLock="0"/>
    </w:pP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w:instrText>
    </w:r>
    <w:r w:rsidRPr="00A538DD">
      <w:rPr>
        <w:rStyle w:val="SidhuvudUtskott"/>
      </w:rPr>
      <w:fldChar w:fldCharType="begin" w:fldLock="1"/>
    </w:r>
    <w:r w:rsidRPr="00A538DD">
      <w:rPr>
        <w:rStyle w:val="SidhuvudUtskott"/>
      </w:rPr>
      <w:instrText xml:space="preserve"> PRINTDATE \@ "yyyy-MM-dd HH.mm    "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PERTY Status</w:instrText>
    </w:r>
    <w:r w:rsidRPr="00A538DD">
      <w:rPr>
        <w:rStyle w:val="SidhuvudUtskott"/>
      </w:rPr>
      <w:fldChar w:fldCharType="end"/>
    </w:r>
  </w:p>
  <w:p w14:paraId="51AFC436" w14:textId="77777777" w:rsidR="0048679D" w:rsidRPr="00A538DD" w:rsidRDefault="0048679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4E48" w14:textId="77777777" w:rsidR="0048679D" w:rsidRPr="00A538DD" w:rsidRDefault="0048679D">
    <w:pPr>
      <w:pStyle w:val="SidhuvudKantJmn"/>
      <w:framePr w:w="8732" w:h="567" w:hRule="exact" w:vSpace="0" w:wrap="around" w:vAnchor="page" w:y="341" w:anchorLock="0"/>
    </w:pPr>
    <w:r w:rsidRPr="00A538DD">
      <w:fldChar w:fldCharType="begin" w:fldLock="1"/>
    </w:r>
    <w:r w:rsidRPr="00A538DD">
      <w:instrText xml:space="preserve"> if </w:instrText>
    </w:r>
    <w:r w:rsidRPr="00A538DD">
      <w:fldChar w:fldCharType="begin" w:fldLock="1"/>
    </w:r>
    <w:r w:rsidRPr="00A538DD">
      <w:instrText xml:space="preserve"> page</w:instrText>
    </w:r>
    <w:r w:rsidRPr="00A538DD">
      <w:fldChar w:fldCharType="separate"/>
    </w:r>
    <w:r w:rsidRPr="00A538DD">
      <w:instrText>10</w:instrText>
    </w:r>
    <w:r w:rsidRPr="00A538DD">
      <w:fldChar w:fldCharType="end"/>
    </w:r>
    <w:r w:rsidRPr="00A538DD">
      <w:instrText xml:space="preserve"> &gt; 1 "</w:instrText>
    </w:r>
    <w:r w:rsidRPr="00A538DD">
      <w:fldChar w:fldCharType="begin" w:fldLock="1"/>
    </w:r>
    <w:r w:rsidRPr="00A538DD">
      <w:instrText xml:space="preserve"> if </w:instrText>
    </w:r>
    <w:r w:rsidRPr="00A538DD">
      <w:fldChar w:fldCharType="begin" w:fldLock="1"/>
    </w:r>
    <w:r w:rsidRPr="00A538DD">
      <w:instrText xml:space="preserve"> = </w:instrText>
    </w:r>
    <w:r w:rsidRPr="00A538DD">
      <w:fldChar w:fldCharType="begin" w:fldLock="1"/>
    </w:r>
    <w:r w:rsidRPr="00A538DD">
      <w:instrText xml:space="preserve"> = </w:instrText>
    </w:r>
    <w:r w:rsidRPr="00A538DD">
      <w:fldChar w:fldCharType="begin" w:fldLock="1"/>
    </w:r>
    <w:r w:rsidRPr="00A538DD">
      <w:instrText xml:space="preserve"> page</w:instrText>
    </w:r>
    <w:r w:rsidRPr="00A538DD">
      <w:fldChar w:fldCharType="separate"/>
    </w:r>
    <w:r w:rsidRPr="00A538DD">
      <w:instrText>10</w:instrText>
    </w:r>
    <w:r w:rsidRPr="00A538DD">
      <w:fldChar w:fldCharType="end"/>
    </w:r>
    <w:r w:rsidRPr="00A538DD">
      <w:instrText xml:space="preserve">/2 </w:instrText>
    </w:r>
    <w:r w:rsidRPr="00A538DD">
      <w:fldChar w:fldCharType="separate"/>
    </w:r>
    <w:r w:rsidRPr="00A538DD">
      <w:instrText>5</w:instrText>
    </w:r>
    <w:r w:rsidRPr="00A538DD">
      <w:fldChar w:fldCharType="end"/>
    </w:r>
    <w:r w:rsidRPr="00A538DD">
      <w:instrText xml:space="preserve"> - </w:instrText>
    </w:r>
    <w:r w:rsidRPr="00A538DD">
      <w:fldChar w:fldCharType="begin" w:fldLock="1"/>
    </w:r>
    <w:r w:rsidRPr="00A538DD">
      <w:instrText xml:space="preserve"> = int(</w:instrText>
    </w:r>
    <w:r w:rsidRPr="00A538DD">
      <w:fldChar w:fldCharType="begin" w:fldLock="1"/>
    </w:r>
    <w:r w:rsidRPr="00A538DD">
      <w:instrText xml:space="preserve"> page</w:instrText>
    </w:r>
    <w:r w:rsidRPr="00A538DD">
      <w:fldChar w:fldCharType="separate"/>
    </w:r>
    <w:r w:rsidRPr="00A538DD">
      <w:instrText>10</w:instrText>
    </w:r>
    <w:r w:rsidRPr="00A538DD">
      <w:fldChar w:fldCharType="end"/>
    </w:r>
    <w:r w:rsidRPr="00A538DD">
      <w:instrText xml:space="preserve">/2) </w:instrText>
    </w:r>
    <w:r w:rsidRPr="00A538DD">
      <w:fldChar w:fldCharType="separate"/>
    </w:r>
    <w:r w:rsidRPr="00A538DD">
      <w:instrText>5</w:instrText>
    </w:r>
    <w:r w:rsidRPr="00A538DD">
      <w:fldChar w:fldCharType="end"/>
    </w:r>
    <w:r w:rsidRPr="00A538DD">
      <w:fldChar w:fldCharType="separate"/>
    </w:r>
    <w:r w:rsidRPr="00A538DD">
      <w:instrText>0</w:instrText>
    </w:r>
    <w:r w:rsidRPr="00A538DD">
      <w:fldChar w:fldCharType="end"/>
    </w:r>
    <w:r w:rsidRPr="00A538DD">
      <w:instrText xml:space="preserve"> = 0 "</w:instrText>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instrText>2004/05</w:instrText>
    </w:r>
    <w:r w:rsidRPr="00A538DD">
      <w:rPr>
        <w:rStyle w:val="SidhuvudUtskott"/>
      </w:rPr>
      <w:fldChar w:fldCharType="end"/>
    </w:r>
    <w:r w:rsidRPr="00A538DD">
      <w:rPr>
        <w:rStyle w:val="SidhuvudUtskott"/>
      </w:rPr>
      <w:instrText>:</w:instrText>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w:instrText>
    </w:r>
    <w:r w:rsidRPr="00A538DD">
      <w:rPr>
        <w:rStyle w:val="SidhuvudUtskott"/>
      </w:rPr>
      <w:instrText>R</w:instrText>
    </w:r>
    <w:r w:rsidRPr="00A538DD">
      <w:rPr>
        <w:rStyle w:val="SidhuvudUtskott"/>
      </w:rPr>
      <w:instrText>TY Utskott</w:instrText>
    </w:r>
    <w:r w:rsidRPr="00A538DD">
      <w:rPr>
        <w:rStyle w:val="SidhuvudUtskott"/>
      </w:rPr>
      <w:fldChar w:fldCharType="separate"/>
    </w:r>
    <w:r w:rsidRPr="00A538DD">
      <w:rPr>
        <w:rStyle w:val="SidhuvudUtskott"/>
      </w:rPr>
      <w:instrText>RB</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instrText>1</w:instrText>
    </w:r>
    <w:r w:rsidRPr="00A538DD">
      <w:rPr>
        <w:rStyle w:val="SidhuvudUtskott"/>
      </w:rPr>
      <w:fldChar w:fldCharType="end"/>
    </w:r>
    <w:r w:rsidRPr="00A538DD">
      <w:instrText xml:space="preserve">    </w:instrText>
    </w:r>
  </w:p>
  <w:p w14:paraId="6BC6F858"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4B324027" w14:textId="77777777" w:rsidR="0048679D" w:rsidRPr="00A538DD" w:rsidRDefault="0048679D">
    <w:pPr>
      <w:pStyle w:val="SidhuvudKantUdda"/>
      <w:framePr w:w="8732" w:h="567" w:hRule="exact" w:vSpace="0" w:wrap="around" w:vAnchor="page" w:y="341" w:anchorLock="0"/>
    </w:pPr>
    <w:r w:rsidRPr="00A538DD">
      <w:rPr>
        <w:rStyle w:val="SidhuvudRubrikReferens"/>
        <w:smallCaps w:val="0"/>
      </w:rPr>
      <w:instrText xml:space="preserve"> </w:instrText>
    </w:r>
    <w:r w:rsidRPr="00A538DD">
      <w:instrText xml:space="preserve">"  "  </w:instrText>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instrText>2004/05</w:instrText>
    </w:r>
    <w:r w:rsidRPr="00A538DD">
      <w:rPr>
        <w:rStyle w:val="SidhuvudUtskott"/>
      </w:rPr>
      <w:fldChar w:fldCharType="end"/>
    </w:r>
    <w:r w:rsidRPr="00A538DD">
      <w:rPr>
        <w:rStyle w:val="SidhuvudUtskott"/>
      </w:rPr>
      <w:instrText>:</w:instrText>
    </w:r>
    <w:r w:rsidRPr="00A538DD">
      <w:rPr>
        <w:rStyle w:val="SidhuvudUtskott"/>
      </w:rPr>
      <w:fldChar w:fldCharType="begin" w:fldLock="1"/>
    </w:r>
    <w:r w:rsidRPr="00A538DD">
      <w:rPr>
        <w:rStyle w:val="SidhuvudUtskott"/>
      </w:rPr>
      <w:instrText xml:space="preserve"> DOCPROPERTY Utskott</w:instrText>
    </w:r>
    <w:r w:rsidRPr="00A538DD">
      <w:rPr>
        <w:rStyle w:val="SidhuvudUtskott"/>
      </w:rPr>
      <w:fldChar w:fldCharType="separate"/>
    </w:r>
    <w:r w:rsidRPr="00A538DD">
      <w:rPr>
        <w:rStyle w:val="SidhuvudUtskott"/>
      </w:rPr>
      <w:instrText>RB</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instrText>1</w:instrText>
    </w:r>
    <w:r w:rsidRPr="00A538DD">
      <w:rPr>
        <w:rStyle w:val="SidhuvudUtskott"/>
      </w:rPr>
      <w:fldChar w:fldCharType="end"/>
    </w:r>
  </w:p>
  <w:p w14:paraId="61D3FF7E"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w:instrText>
    </w:r>
    <w:r w:rsidRPr="00A538DD">
      <w:rPr>
        <w:rStyle w:val="SidhuvudUtskott"/>
      </w:rPr>
      <w:fldChar w:fldCharType="begin" w:fldLock="1"/>
    </w:r>
    <w:r w:rsidRPr="00A538DD">
      <w:rPr>
        <w:rStyle w:val="SidhuvudUtskott"/>
      </w:rPr>
      <w:instrText xml:space="preserve"> PRINTDATE \@ "yyyy-MM-dd HH.mm    "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PERTY Status</w:instrText>
    </w:r>
    <w:r w:rsidRPr="00A538DD">
      <w:rPr>
        <w:rStyle w:val="SidhuvudUtskott"/>
      </w:rPr>
      <w:fldChar w:fldCharType="end"/>
    </w:r>
    <w:r w:rsidRPr="00A538DD">
      <w:instrText>"</w:instrText>
    </w:r>
    <w:r w:rsidRPr="00A538DD">
      <w:fldChar w:fldCharType="separate"/>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instrText>2004/05</w:instrText>
    </w:r>
    <w:r w:rsidRPr="00A538DD">
      <w:rPr>
        <w:rStyle w:val="SidhuvudUtskott"/>
      </w:rPr>
      <w:fldChar w:fldCharType="end"/>
    </w:r>
    <w:r w:rsidRPr="00A538DD">
      <w:rPr>
        <w:rStyle w:val="SidhuvudUtskott"/>
      </w:rPr>
      <w:instrText>:</w:instrText>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w:instrText>
    </w:r>
    <w:r w:rsidRPr="00A538DD">
      <w:rPr>
        <w:rStyle w:val="SidhuvudUtskott"/>
      </w:rPr>
      <w:instrText>R</w:instrText>
    </w:r>
    <w:r w:rsidRPr="00A538DD">
      <w:rPr>
        <w:rStyle w:val="SidhuvudUtskott"/>
      </w:rPr>
      <w:instrText>TY Utskott</w:instrText>
    </w:r>
    <w:r w:rsidRPr="00A538DD">
      <w:rPr>
        <w:rStyle w:val="SidhuvudUtskott"/>
      </w:rPr>
      <w:fldChar w:fldCharType="separate"/>
    </w:r>
    <w:r w:rsidRPr="00A538DD">
      <w:rPr>
        <w:rStyle w:val="SidhuvudUtskott"/>
      </w:rPr>
      <w:instrText>RB</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instrText>1</w:instrText>
    </w:r>
    <w:r w:rsidRPr="00A538DD">
      <w:rPr>
        <w:rStyle w:val="SidhuvudUtskott"/>
      </w:rPr>
      <w:fldChar w:fldCharType="end"/>
    </w:r>
    <w:r w:rsidRPr="00A538DD">
      <w:instrText xml:space="preserve">    </w:instrText>
    </w:r>
  </w:p>
  <w:p w14:paraId="1CFD711F"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41E97EC4" w14:textId="77777777" w:rsidR="0048679D" w:rsidRPr="00A538DD" w:rsidRDefault="0048679D">
    <w:pPr>
      <w:pStyle w:val="SidhuvudKantJmn"/>
      <w:framePr w:w="8732" w:h="567" w:hRule="exact" w:vSpace="0" w:wrap="around" w:vAnchor="page" w:y="341" w:anchorLock="0"/>
    </w:pPr>
    <w:r w:rsidRPr="00A538DD">
      <w:rPr>
        <w:rStyle w:val="SidhuvudRubrikReferens"/>
        <w:smallCaps w:val="0"/>
      </w:rPr>
      <w:instrText xml:space="preserve"> </w:instrText>
    </w:r>
    <w:r w:rsidRPr="00A538DD">
      <w:fldChar w:fldCharType="end"/>
    </w:r>
    <w:r w:rsidRPr="00A538DD">
      <w:instrText>" " "</w:instrText>
    </w:r>
    <w:r w:rsidRPr="00A538DD">
      <w:fldChar w:fldCharType="separate"/>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w:instrText>
    </w:r>
    <w:r w:rsidRPr="00A538DD">
      <w:rPr>
        <w:rStyle w:val="SidhuvudUtskott"/>
      </w:rPr>
      <w:instrText>R</w:instrText>
    </w:r>
    <w:r w:rsidRPr="00A538DD">
      <w:rPr>
        <w:rStyle w:val="SidhuvudUtskott"/>
      </w:rPr>
      <w:instrText>TY 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t>1</w:t>
    </w:r>
    <w:r w:rsidRPr="00A538DD">
      <w:rPr>
        <w:rStyle w:val="SidhuvudUtskott"/>
      </w:rPr>
      <w:fldChar w:fldCharType="end"/>
    </w:r>
    <w:r w:rsidRPr="00A538DD">
      <w:t xml:space="preserve">    </w:t>
    </w:r>
  </w:p>
  <w:p w14:paraId="35B0EA23"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5F131EC0" w14:textId="77777777" w:rsidR="0048679D" w:rsidRPr="00A538DD" w:rsidRDefault="0048679D">
    <w:pPr>
      <w:pStyle w:val="SidhuvudKantUdda"/>
      <w:framePr w:w="8732" w:h="567" w:hRule="exact" w:vSpace="0" w:wrap="around" w:vAnchor="page" w:y="341" w:anchorLock="0"/>
    </w:pPr>
    <w:r w:rsidRPr="00A538DD">
      <w:rPr>
        <w:rStyle w:val="SidhuvudRubrikReferens"/>
        <w:smallCaps w:val="0"/>
      </w:rPr>
      <w:t xml:space="preserve"> </w:t>
    </w:r>
    <w:r w:rsidRPr="00A538DD">
      <w:fldChar w:fldCharType="end"/>
    </w:r>
  </w:p>
  <w:p w14:paraId="7B8F8403" w14:textId="77777777" w:rsidR="0048679D" w:rsidRPr="00A538DD" w:rsidRDefault="0048679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08B4" w14:textId="77777777" w:rsidR="0048679D" w:rsidRPr="00A538DD" w:rsidRDefault="0048679D">
    <w:pPr>
      <w:pStyle w:val="SidhuvudKantUdda"/>
      <w:framePr w:w="8732" w:h="567" w:hRule="exact" w:vSpace="0" w:wrap="around" w:vAnchor="page" w:y="341" w:anchorLock="0"/>
    </w:pP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Innehållsförteckning</w:t>
    </w:r>
    <w:r w:rsidRPr="00A538DD">
      <w:rPr>
        <w:rStyle w:val="SidhuvudRubrikReferens"/>
      </w:rPr>
      <w:fldChar w:fldCharType="end"/>
    </w:r>
    <w:r w:rsidRPr="00A538DD">
      <w:rPr>
        <w:rStyle w:val="SidhuvudBilaga"/>
      </w:rPr>
      <w:t xml:space="preserve"> </w:t>
    </w:r>
    <w:r w:rsidRPr="00A538DD">
      <w:t xml:space="preserve">     </w:t>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w:instrText>
    </w:r>
    <w:r w:rsidRPr="00A538DD">
      <w:instrText xml:space="preserve"> </w:instrText>
    </w:r>
    <w:r w:rsidRPr="00A538DD">
      <w:rPr>
        <w:rStyle w:val="SidhuvudUtskott"/>
      </w:rPr>
      <w:instrText>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w:instrText>
    </w:r>
    <w:r w:rsidRPr="00A538DD">
      <w:rPr>
        <w:rStyle w:val="SidhuvudUtskott"/>
      </w:rPr>
      <w:instrText>n</w:instrText>
    </w:r>
    <w:r w:rsidRPr="00A538DD">
      <w:rPr>
        <w:rStyle w:val="SidhuvudUtskott"/>
      </w:rPr>
      <w:instrText>kandeNr</w:instrText>
    </w:r>
    <w:r w:rsidRPr="00A538DD">
      <w:rPr>
        <w:rStyle w:val="SidhuvudUtskott"/>
      </w:rPr>
      <w:fldChar w:fldCharType="separate"/>
    </w:r>
    <w:r w:rsidRPr="00A538DD">
      <w:rPr>
        <w:rStyle w:val="SidhuvudUtskott"/>
      </w:rPr>
      <w:t>1</w:t>
    </w:r>
    <w:r w:rsidRPr="00A538DD">
      <w:rPr>
        <w:rStyle w:val="SidhuvudUtskott"/>
      </w:rPr>
      <w:fldChar w:fldCharType="end"/>
    </w:r>
  </w:p>
  <w:p w14:paraId="5832A3B3" w14:textId="77777777" w:rsidR="0048679D" w:rsidRPr="00A538DD" w:rsidRDefault="0048679D">
    <w:pPr>
      <w:pStyle w:val="SidhuvudKantUdda"/>
      <w:framePr w:w="8732" w:h="567" w:hRule="exact" w:vSpace="0" w:wrap="around" w:vAnchor="page" w:y="341" w:anchorLock="0"/>
    </w:pP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w:instrText>
    </w:r>
    <w:r w:rsidRPr="00A538DD">
      <w:rPr>
        <w:rStyle w:val="SidhuvudUtskott"/>
      </w:rPr>
      <w:fldChar w:fldCharType="begin" w:fldLock="1"/>
    </w:r>
    <w:r w:rsidRPr="00A538DD">
      <w:rPr>
        <w:rStyle w:val="SidhuvudUtskott"/>
      </w:rPr>
      <w:instrText xml:space="preserve"> PRINTDATE \@ "yyyy-MM-dd HH.mm    "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PERTY Status</w:instrText>
    </w:r>
    <w:r w:rsidRPr="00A538DD">
      <w:rPr>
        <w:rStyle w:val="SidhuvudUtskott"/>
      </w:rPr>
      <w:fldChar w:fldCharType="end"/>
    </w:r>
  </w:p>
  <w:p w14:paraId="29BF00B7" w14:textId="77777777" w:rsidR="0048679D" w:rsidRPr="00A538DD" w:rsidRDefault="0048679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FB34" w14:textId="77777777" w:rsidR="0048679D" w:rsidRPr="00A538DD" w:rsidRDefault="0048679D">
    <w:pPr>
      <w:pStyle w:val="SidhuvudKantUdda"/>
      <w:framePr w:w="8732" w:h="567" w:hRule="exact" w:vSpace="0" w:wrap="around" w:vAnchor="page" w:y="341" w:anchorLock="0"/>
    </w:pPr>
    <w:r w:rsidRPr="00A538DD">
      <w:t xml:space="preserve"> </w:t>
    </w:r>
  </w:p>
  <w:p w14:paraId="7437EB1B" w14:textId="77777777" w:rsidR="0048679D" w:rsidRPr="00A538DD" w:rsidRDefault="0048679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CFD8"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 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t>1</w:t>
    </w:r>
    <w:r w:rsidRPr="00A538DD">
      <w:rPr>
        <w:rStyle w:val="SidhuvudUtskott"/>
      </w:rPr>
      <w:fldChar w:fldCharType="end"/>
    </w:r>
    <w:r w:rsidRPr="00A538DD">
      <w:t xml:space="preserve">     </w:t>
    </w:r>
    <w:r w:rsidRPr="00A538DD">
      <w:rPr>
        <w:rStyle w:val="SidhuvudBilaga"/>
      </w:rPr>
      <w:t xml:space="preserve"> </w:t>
    </w: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Innehållsförteckning</w:t>
    </w:r>
    <w:r w:rsidRPr="00A538DD">
      <w:rPr>
        <w:rStyle w:val="SidhuvudRubrikReferens"/>
      </w:rPr>
      <w:fldChar w:fldCharType="end"/>
    </w:r>
  </w:p>
  <w:p w14:paraId="1A376DB5"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5B78833B" w14:textId="77777777" w:rsidR="0048679D" w:rsidRPr="00A538DD" w:rsidRDefault="0048679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12A2" w14:textId="77777777" w:rsidR="0048679D" w:rsidRPr="00A538DD" w:rsidRDefault="0048679D">
    <w:pPr>
      <w:pStyle w:val="SidhuvudKantUdda"/>
      <w:framePr w:w="8732" w:h="567" w:hRule="exact" w:vSpace="0" w:wrap="around" w:vAnchor="page" w:y="341" w:anchorLock="0"/>
    </w:pP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Innehållsförteckning</w:t>
    </w:r>
    <w:r w:rsidRPr="00A538DD">
      <w:rPr>
        <w:rStyle w:val="SidhuvudRubrikReferens"/>
      </w:rPr>
      <w:fldChar w:fldCharType="end"/>
    </w:r>
    <w:r w:rsidRPr="00A538DD">
      <w:rPr>
        <w:rStyle w:val="SidhuvudBilaga"/>
      </w:rPr>
      <w:t xml:space="preserve"> </w:t>
    </w:r>
    <w:r w:rsidRPr="00A538DD">
      <w:t xml:space="preserve">     </w:t>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w:instrText>
    </w:r>
    <w:r w:rsidRPr="00A538DD">
      <w:instrText xml:space="preserve"> </w:instrText>
    </w:r>
    <w:r w:rsidRPr="00A538DD">
      <w:rPr>
        <w:rStyle w:val="SidhuvudUtskott"/>
      </w:rPr>
      <w:instrText>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w:instrText>
    </w:r>
    <w:r w:rsidRPr="00A538DD">
      <w:rPr>
        <w:rStyle w:val="SidhuvudUtskott"/>
      </w:rPr>
      <w:instrText>n</w:instrText>
    </w:r>
    <w:r w:rsidRPr="00A538DD">
      <w:rPr>
        <w:rStyle w:val="SidhuvudUtskott"/>
      </w:rPr>
      <w:instrText>kandeNr</w:instrText>
    </w:r>
    <w:r w:rsidRPr="00A538DD">
      <w:rPr>
        <w:rStyle w:val="SidhuvudUtskott"/>
      </w:rPr>
      <w:fldChar w:fldCharType="separate"/>
    </w:r>
    <w:r w:rsidRPr="00A538DD">
      <w:rPr>
        <w:rStyle w:val="SidhuvudUtskott"/>
      </w:rPr>
      <w:t>1</w:t>
    </w:r>
    <w:r w:rsidRPr="00A538DD">
      <w:rPr>
        <w:rStyle w:val="SidhuvudUtskott"/>
      </w:rPr>
      <w:fldChar w:fldCharType="end"/>
    </w:r>
  </w:p>
  <w:p w14:paraId="213A9F01" w14:textId="77777777" w:rsidR="0048679D" w:rsidRPr="00A538DD" w:rsidRDefault="0048679D">
    <w:pPr>
      <w:pStyle w:val="SidhuvudKantUdda"/>
      <w:framePr w:w="8732" w:h="567" w:hRule="exact" w:vSpace="0" w:wrap="around" w:vAnchor="page" w:y="341" w:anchorLock="0"/>
    </w:pP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w:instrText>
    </w:r>
    <w:r w:rsidRPr="00A538DD">
      <w:rPr>
        <w:rStyle w:val="SidhuvudUtskott"/>
      </w:rPr>
      <w:fldChar w:fldCharType="begin" w:fldLock="1"/>
    </w:r>
    <w:r w:rsidRPr="00A538DD">
      <w:rPr>
        <w:rStyle w:val="SidhuvudUtskott"/>
      </w:rPr>
      <w:instrText xml:space="preserve"> PRINTDATE \@ "yyyy-MM-dd HH.mm    "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PERTY Status</w:instrText>
    </w:r>
    <w:r w:rsidRPr="00A538DD">
      <w:rPr>
        <w:rStyle w:val="SidhuvudUtskott"/>
      </w:rPr>
      <w:fldChar w:fldCharType="end"/>
    </w:r>
  </w:p>
  <w:p w14:paraId="60F2AE25" w14:textId="77777777" w:rsidR="0048679D" w:rsidRPr="00A538DD" w:rsidRDefault="0048679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2AF0" w14:textId="77777777" w:rsidR="0048679D" w:rsidRPr="00A538DD" w:rsidRDefault="0048679D">
    <w:pPr>
      <w:pStyle w:val="SidhuvudKantJmn"/>
      <w:framePr w:w="8732" w:h="567" w:hRule="exact" w:vSpace="0" w:wrap="around" w:vAnchor="page" w:y="341" w:anchorLock="0"/>
    </w:pPr>
    <w:r w:rsidRPr="00A538DD">
      <w:rPr>
        <w:rStyle w:val="SidhuvudUtskott"/>
      </w:rPr>
      <w:t>2004/05:RB1</w:t>
    </w:r>
    <w:r w:rsidRPr="00A538DD">
      <w:t xml:space="preserve">    </w:t>
    </w:r>
  </w:p>
  <w:p w14:paraId="2A87137A" w14:textId="77777777" w:rsidR="0048679D" w:rsidRPr="00A538DD" w:rsidRDefault="0048679D">
    <w:pPr>
      <w:pStyle w:val="SidhuvudKantJmn"/>
      <w:framePr w:w="8732" w:h="567" w:hRule="exact" w:vSpace="0" w:wrap="around" w:vAnchor="page" w:y="341" w:anchorLock="0"/>
    </w:pPr>
  </w:p>
  <w:p w14:paraId="1B030471" w14:textId="77777777" w:rsidR="0048679D" w:rsidRPr="00A538DD" w:rsidRDefault="0048679D">
    <w:pPr>
      <w:pStyle w:val="SidhuvudKantUdda"/>
      <w:framePr w:w="8732" w:h="567" w:hRule="exact" w:vSpace="0" w:wrap="around" w:vAnchor="page" w:y="341" w:anchorLock="0"/>
    </w:pPr>
    <w:r w:rsidRPr="00A538DD">
      <w:rPr>
        <w:rStyle w:val="SidhuvudRubrikReferens"/>
        <w:smallCaps w:val="0"/>
      </w:rPr>
      <w:t xml:space="preserve"> </w:t>
    </w:r>
  </w:p>
  <w:p w14:paraId="5DCE23B6" w14:textId="77777777" w:rsidR="0048679D" w:rsidRPr="00A538DD" w:rsidRDefault="0048679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51B1"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 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BetänkandeNr</w:instrText>
    </w:r>
    <w:r w:rsidRPr="00A538DD">
      <w:rPr>
        <w:rStyle w:val="SidhuvudUtskott"/>
      </w:rPr>
      <w:fldChar w:fldCharType="separate"/>
    </w:r>
    <w:r w:rsidRPr="00A538DD">
      <w:rPr>
        <w:rStyle w:val="SidhuvudUtskott"/>
      </w:rPr>
      <w:t>1</w:t>
    </w:r>
    <w:r w:rsidRPr="00A538DD">
      <w:rPr>
        <w:rStyle w:val="SidhuvudUtskott"/>
      </w:rPr>
      <w:fldChar w:fldCharType="end"/>
    </w:r>
    <w:r w:rsidRPr="00A538DD">
      <w:t xml:space="preserve">     </w:t>
    </w:r>
    <w:r w:rsidRPr="00A538DD">
      <w:rPr>
        <w:rStyle w:val="SidhuvudBilaga"/>
      </w:rPr>
      <w:t xml:space="preserve"> </w:t>
    </w: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Innehållsförteckning</w:t>
    </w:r>
    <w:r w:rsidRPr="00A538DD">
      <w:rPr>
        <w:rStyle w:val="SidhuvudRubrikReferens"/>
      </w:rPr>
      <w:fldChar w:fldCharType="end"/>
    </w:r>
  </w:p>
  <w:p w14:paraId="1A02A787" w14:textId="77777777" w:rsidR="0048679D" w:rsidRPr="00A538DD" w:rsidRDefault="0048679D">
    <w:pPr>
      <w:pStyle w:val="SidhuvudKantJmn"/>
      <w:framePr w:w="8732" w:h="567" w:hRule="exact" w:vSpace="0" w:wrap="around" w:vAnchor="page" w:y="341" w:anchorLock="0"/>
    </w:pPr>
    <w:r w:rsidRPr="00A538DD">
      <w:rPr>
        <w:rStyle w:val="SidhuvudUtskott"/>
      </w:rPr>
      <w:fldChar w:fldCharType="begin" w:fldLock="1"/>
    </w:r>
    <w:r w:rsidRPr="00A538DD">
      <w:rPr>
        <w:rStyle w:val="SidhuvudUtskott"/>
      </w:rPr>
      <w:instrText xml:space="preserve"> DOCPROPERTY Status</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    </w:instrText>
    </w:r>
    <w:r w:rsidRPr="00A538DD">
      <w:rPr>
        <w:rStyle w:val="SidhuvudUtskott"/>
      </w:rPr>
      <w:fldChar w:fldCharType="begin" w:fldLock="1"/>
    </w:r>
    <w:r w:rsidRPr="00A538DD">
      <w:rPr>
        <w:rStyle w:val="SidhuvudUtskott"/>
      </w:rPr>
      <w:instrText xml:space="preserve"> PRINTDATE \@ "yyyy-MM-dd HH.mm"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p>
  <w:p w14:paraId="72E1B0AB" w14:textId="77777777" w:rsidR="0048679D" w:rsidRPr="00A538DD" w:rsidRDefault="0048679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1797" w14:textId="77777777" w:rsidR="0048679D" w:rsidRPr="00A538DD" w:rsidRDefault="0048679D">
    <w:pPr>
      <w:pStyle w:val="SidhuvudKantUdda"/>
      <w:framePr w:w="8732" w:h="567" w:hRule="exact" w:vSpace="0" w:wrap="around" w:vAnchor="page" w:y="341" w:anchorLock="0"/>
    </w:pPr>
    <w:r w:rsidRPr="00A538DD">
      <w:rPr>
        <w:rStyle w:val="SidhuvudRubrikReferens"/>
      </w:rPr>
      <w:fldChar w:fldCharType="begin" w:fldLock="1"/>
    </w:r>
    <w:r w:rsidRPr="00A538DD">
      <w:rPr>
        <w:rStyle w:val="SidhuvudRubrikReferens"/>
      </w:rPr>
      <w:instrText xml:space="preserve"> StyleREF "Rubrik 1" </w:instrText>
    </w:r>
    <w:r w:rsidRPr="00A538DD">
      <w:rPr>
        <w:rStyle w:val="SidhuvudRubrikReferens"/>
      </w:rPr>
      <w:fldChar w:fldCharType="separate"/>
    </w:r>
    <w:r w:rsidRPr="00A538DD">
      <w:rPr>
        <w:rStyle w:val="SidhuvudRubrikReferens"/>
      </w:rPr>
      <w:t>Innehållsförteckning</w:t>
    </w:r>
    <w:r w:rsidRPr="00A538DD">
      <w:rPr>
        <w:rStyle w:val="SidhuvudRubrikReferens"/>
      </w:rPr>
      <w:fldChar w:fldCharType="end"/>
    </w:r>
    <w:r w:rsidRPr="00A538DD">
      <w:rPr>
        <w:rStyle w:val="SidhuvudBilaga"/>
      </w:rPr>
      <w:t xml:space="preserve"> </w:t>
    </w:r>
    <w:r w:rsidRPr="00A538DD">
      <w:t xml:space="preserve">     </w:t>
    </w:r>
    <w:r w:rsidRPr="00A538DD">
      <w:rPr>
        <w:rStyle w:val="SidhuvudUtskott"/>
      </w:rPr>
      <w:fldChar w:fldCharType="begin" w:fldLock="1"/>
    </w:r>
    <w:r w:rsidRPr="00A538DD">
      <w:rPr>
        <w:rStyle w:val="SidhuvudUtskott"/>
      </w:rPr>
      <w:instrText xml:space="preserve"> DOCPROPERTY BetänkandeÅr</w:instrText>
    </w:r>
    <w:r w:rsidRPr="00A538DD">
      <w:rPr>
        <w:rStyle w:val="SidhuvudUtskott"/>
      </w:rPr>
      <w:fldChar w:fldCharType="separate"/>
    </w:r>
    <w:r w:rsidRPr="00A538DD">
      <w:rPr>
        <w:rStyle w:val="SidhuvudUtskott"/>
      </w:rPr>
      <w:t>2004/05</w:t>
    </w:r>
    <w:r w:rsidRPr="00A538DD">
      <w:rPr>
        <w:rStyle w:val="SidhuvudUtskott"/>
      </w:rPr>
      <w:fldChar w:fldCharType="end"/>
    </w:r>
    <w:r w:rsidRPr="00A538DD">
      <w:rPr>
        <w:rStyle w:val="SidhuvudUtskott"/>
      </w:rPr>
      <w:t>:</w:t>
    </w:r>
    <w:r w:rsidRPr="00A538DD">
      <w:rPr>
        <w:rStyle w:val="SidhuvudUtskott"/>
      </w:rPr>
      <w:fldChar w:fldCharType="begin" w:fldLock="1"/>
    </w:r>
    <w:r w:rsidRPr="00A538DD">
      <w:rPr>
        <w:rStyle w:val="SidhuvudUtskott"/>
      </w:rPr>
      <w:instrText xml:space="preserve"> DOCPROPERTY</w:instrText>
    </w:r>
    <w:r w:rsidRPr="00A538DD">
      <w:instrText xml:space="preserve"> </w:instrText>
    </w:r>
    <w:r w:rsidRPr="00A538DD">
      <w:rPr>
        <w:rStyle w:val="SidhuvudUtskott"/>
      </w:rPr>
      <w:instrText>Utskott</w:instrText>
    </w:r>
    <w:r w:rsidRPr="00A538DD">
      <w:rPr>
        <w:rStyle w:val="SidhuvudUtskott"/>
      </w:rPr>
      <w:fldChar w:fldCharType="separate"/>
    </w:r>
    <w:r w:rsidRPr="00A538DD">
      <w:rPr>
        <w:rStyle w:val="SidhuvudUtskott"/>
      </w:rPr>
      <w:t>RB</w: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DOCPROPERTY Betä</w:instrText>
    </w:r>
    <w:r w:rsidRPr="00A538DD">
      <w:rPr>
        <w:rStyle w:val="SidhuvudUtskott"/>
      </w:rPr>
      <w:instrText>n</w:instrText>
    </w:r>
    <w:r w:rsidRPr="00A538DD">
      <w:rPr>
        <w:rStyle w:val="SidhuvudUtskott"/>
      </w:rPr>
      <w:instrText>kandeNr</w:instrText>
    </w:r>
    <w:r w:rsidRPr="00A538DD">
      <w:rPr>
        <w:rStyle w:val="SidhuvudUtskott"/>
      </w:rPr>
      <w:fldChar w:fldCharType="separate"/>
    </w:r>
    <w:r w:rsidRPr="00A538DD">
      <w:rPr>
        <w:rStyle w:val="SidhuvudUtskott"/>
      </w:rPr>
      <w:t>1</w:t>
    </w:r>
    <w:r w:rsidRPr="00A538DD">
      <w:rPr>
        <w:rStyle w:val="SidhuvudUtskott"/>
      </w:rPr>
      <w:fldChar w:fldCharType="end"/>
    </w:r>
  </w:p>
  <w:p w14:paraId="1443D1BA" w14:textId="77777777" w:rsidR="0048679D" w:rsidRPr="00A538DD" w:rsidRDefault="0048679D">
    <w:pPr>
      <w:pStyle w:val="SidhuvudKantUdda"/>
      <w:framePr w:w="8732" w:h="567" w:hRule="exact" w:vSpace="0" w:wrap="around" w:vAnchor="page" w:y="341" w:anchorLock="0"/>
    </w:pPr>
    <w:r w:rsidRPr="00A538DD">
      <w:rPr>
        <w:rStyle w:val="SidhuvudUtskott"/>
      </w:rPr>
      <w:fldChar w:fldCharType="begin" w:fldLock="1"/>
    </w:r>
    <w:r w:rsidRPr="00A538DD">
      <w:rPr>
        <w:rStyle w:val="SidhuvudUtskott"/>
      </w:rPr>
      <w:instrText xml:space="preserve"> if </w:instrText>
    </w:r>
    <w:r w:rsidRPr="00A538DD">
      <w:rPr>
        <w:rStyle w:val="SidhuvudUtskott"/>
      </w:rPr>
      <w:fldChar w:fldCharType="begin" w:fldLock="1"/>
    </w:r>
    <w:r w:rsidRPr="00A538DD">
      <w:rPr>
        <w:rStyle w:val="SidhuvudUtskott"/>
      </w:rPr>
      <w:instrText xml:space="preserve"> DOCPROPERTY "UtkastDatum"</w:instrText>
    </w:r>
    <w:r w:rsidRPr="00A538DD">
      <w:rPr>
        <w:rStyle w:val="SidhuvudUtskott"/>
      </w:rPr>
      <w:fldChar w:fldCharType="separate"/>
    </w:r>
    <w:r w:rsidRPr="00A538DD">
      <w:rPr>
        <w:rStyle w:val="SidhuvudUtskott"/>
      </w:rPr>
      <w:instrText>Nej</w:instrText>
    </w:r>
    <w:r w:rsidRPr="00A538DD">
      <w:rPr>
        <w:rStyle w:val="SidhuvudUtskott"/>
      </w:rPr>
      <w:fldChar w:fldCharType="end"/>
    </w:r>
    <w:r w:rsidRPr="00A538DD">
      <w:rPr>
        <w:rStyle w:val="SidhuvudUtskott"/>
      </w:rPr>
      <w:instrText xml:space="preserve"> = "Ja" "</w:instrText>
    </w:r>
    <w:r w:rsidRPr="00A538DD">
      <w:rPr>
        <w:rStyle w:val="SidhuvudUtskott"/>
      </w:rPr>
      <w:fldChar w:fldCharType="begin" w:fldLock="1"/>
    </w:r>
    <w:r w:rsidRPr="00A538DD">
      <w:rPr>
        <w:rStyle w:val="SidhuvudUtskott"/>
      </w:rPr>
      <w:instrText xml:space="preserve"> PRINTDATE \@ "yyyy-MM-dd HH.mm    " </w:instrText>
    </w:r>
    <w:r w:rsidRPr="00A538DD">
      <w:rPr>
        <w:rStyle w:val="SidhuvudUtskott"/>
      </w:rPr>
      <w:fldChar w:fldCharType="separate"/>
    </w:r>
    <w:r w:rsidRPr="00A538DD">
      <w:rPr>
        <w:rStyle w:val="SidhuvudUtskott"/>
      </w:rPr>
      <w:instrText>2000-08-11 16.42</w:instrText>
    </w:r>
    <w:r w:rsidRPr="00A538DD">
      <w:rPr>
        <w:rStyle w:val="SidhuvudUtskott"/>
      </w:rPr>
      <w:fldChar w:fldCharType="end"/>
    </w:r>
    <w:r w:rsidRPr="00A538DD">
      <w:rPr>
        <w:rStyle w:val="SidhuvudUtskott"/>
      </w:rPr>
      <w:instrText xml:space="preserve">" </w:instrText>
    </w:r>
    <w:r w:rsidRPr="00A538DD">
      <w:rPr>
        <w:rStyle w:val="SidhuvudUtskott"/>
      </w:rPr>
      <w:fldChar w:fldCharType="end"/>
    </w:r>
    <w:r w:rsidRPr="00A538DD">
      <w:rPr>
        <w:rStyle w:val="SidhuvudUtskott"/>
      </w:rPr>
      <w:fldChar w:fldCharType="begin" w:fldLock="1"/>
    </w:r>
    <w:r w:rsidRPr="00A538DD">
      <w:rPr>
        <w:rStyle w:val="SidhuvudUtskott"/>
      </w:rPr>
      <w:instrText xml:space="preserve"> DOCPR</w:instrText>
    </w:r>
    <w:r w:rsidRPr="00A538DD">
      <w:rPr>
        <w:rStyle w:val="SidhuvudUtskott"/>
      </w:rPr>
      <w:instrText>O</w:instrText>
    </w:r>
    <w:r w:rsidRPr="00A538DD">
      <w:rPr>
        <w:rStyle w:val="SidhuvudUtskott"/>
      </w:rPr>
      <w:instrText>PERTY Status</w:instrText>
    </w:r>
    <w:r w:rsidRPr="00A538DD">
      <w:rPr>
        <w:rStyle w:val="SidhuvudUtskott"/>
      </w:rPr>
      <w:fldChar w:fldCharType="end"/>
    </w:r>
  </w:p>
  <w:p w14:paraId="08D18632" w14:textId="77777777" w:rsidR="0048679D" w:rsidRPr="00A538DD" w:rsidRDefault="0048679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0766" w14:textId="77777777" w:rsidR="0048679D" w:rsidRPr="00A538DD" w:rsidRDefault="0048679D">
    <w:pPr>
      <w:pStyle w:val="SidhuvudKantUdda"/>
      <w:framePr w:w="8732" w:h="567" w:hRule="exact" w:vSpace="0" w:wrap="around" w:vAnchor="page" w:y="341" w:anchorLock="0"/>
    </w:pPr>
    <w:r w:rsidRPr="00A538DD">
      <w:t xml:space="preserve">  </w:t>
    </w:r>
    <w:r w:rsidRPr="00A538DD">
      <w:rPr>
        <w:rStyle w:val="SidhuvudUtskott"/>
      </w:rPr>
      <w:t>2004/05:RB1</w:t>
    </w:r>
  </w:p>
  <w:p w14:paraId="125C7986" w14:textId="77777777" w:rsidR="0048679D" w:rsidRPr="00A538DD" w:rsidRDefault="0048679D">
    <w:pPr>
      <w:pStyle w:val="SidhuvudKantUdda"/>
      <w:framePr w:w="8732" w:h="567" w:hRule="exact" w:vSpace="0" w:wrap="around" w:vAnchor="page" w:y="341" w:anchorLock="0"/>
    </w:pPr>
  </w:p>
  <w:p w14:paraId="00AEB644" w14:textId="77777777" w:rsidR="0048679D" w:rsidRPr="00A538DD" w:rsidRDefault="0048679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768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8D84CD5"/>
    <w:multiLevelType w:val="multilevel"/>
    <w:tmpl w:val="7CC619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ntax"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ntax"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ntax"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13AAC"/>
    <w:multiLevelType w:val="multilevel"/>
    <w:tmpl w:val="2252F0DE"/>
    <w:lvl w:ilvl="0">
      <w:numFmt w:val="bullet"/>
      <w:lvlText w:val="-"/>
      <w:lvlJc w:val="left"/>
      <w:pPr>
        <w:tabs>
          <w:tab w:val="num" w:pos="567"/>
        </w:tabs>
        <w:ind w:left="567" w:hanging="283"/>
      </w:pPr>
      <w:rPr>
        <w:rFonts w:ascii="New Baskerville" w:eastAsia="Times New Roman" w:hAnsi="New Baskerville" w:cs="Times New Roman" w:hint="default"/>
      </w:rPr>
    </w:lvl>
    <w:lvl w:ilvl="1" w:tentative="1">
      <w:start w:val="1"/>
      <w:numFmt w:val="bullet"/>
      <w:lvlText w:val="o"/>
      <w:lvlJc w:val="left"/>
      <w:pPr>
        <w:tabs>
          <w:tab w:val="num" w:pos="1440"/>
        </w:tabs>
        <w:ind w:left="1440" w:hanging="360"/>
      </w:pPr>
      <w:rPr>
        <w:rFonts w:ascii="Courier New" w:hAnsi="Courier New" w:cs="Syntax"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ntax"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ntax"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03808"/>
    <w:multiLevelType w:val="singleLevel"/>
    <w:tmpl w:val="2EC8F330"/>
    <w:lvl w:ilvl="0">
      <w:start w:val="6"/>
      <w:numFmt w:val="bullet"/>
      <w:lvlText w:val="–"/>
      <w:lvlJc w:val="left"/>
      <w:pPr>
        <w:tabs>
          <w:tab w:val="num" w:pos="360"/>
        </w:tabs>
        <w:ind w:left="360" w:hanging="360"/>
      </w:pPr>
      <w:rPr>
        <w:rFonts w:hint="default"/>
      </w:rPr>
    </w:lvl>
  </w:abstractNum>
  <w:abstractNum w:abstractNumId="14" w15:restartNumberingAfterBreak="0">
    <w:nsid w:val="3E4F2D4D"/>
    <w:multiLevelType w:val="singleLevel"/>
    <w:tmpl w:val="7FA8ACDA"/>
    <w:lvl w:ilvl="0">
      <w:start w:val="6"/>
      <w:numFmt w:val="bullet"/>
      <w:lvlText w:val="–"/>
      <w:lvlJc w:val="left"/>
      <w:pPr>
        <w:tabs>
          <w:tab w:val="num" w:pos="360"/>
        </w:tabs>
        <w:ind w:left="360" w:hanging="360"/>
      </w:pPr>
      <w:rPr>
        <w:rFonts w:hint="default"/>
      </w:rPr>
    </w:lvl>
  </w:abstractNum>
  <w:abstractNum w:abstractNumId="15" w15:restartNumberingAfterBreak="0">
    <w:nsid w:val="44216D3B"/>
    <w:multiLevelType w:val="multilevel"/>
    <w:tmpl w:val="844E46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43F55F7"/>
    <w:multiLevelType w:val="singleLevel"/>
    <w:tmpl w:val="3DD8E4B8"/>
    <w:lvl w:ilvl="0">
      <w:start w:val="1"/>
      <w:numFmt w:val="bullet"/>
      <w:lvlText w:val=""/>
      <w:lvlJc w:val="left"/>
      <w:pPr>
        <w:tabs>
          <w:tab w:val="num" w:pos="360"/>
        </w:tabs>
        <w:ind w:left="340" w:hanging="340"/>
      </w:pPr>
      <w:rPr>
        <w:rFonts w:ascii="Symbol" w:hAnsi="Symbol" w:hint="default"/>
      </w:rPr>
    </w:lvl>
  </w:abstractNum>
  <w:abstractNum w:abstractNumId="17" w15:restartNumberingAfterBreak="0">
    <w:nsid w:val="44DC692E"/>
    <w:multiLevelType w:val="multilevel"/>
    <w:tmpl w:val="D41AA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DA124CF"/>
    <w:multiLevelType w:val="singleLevel"/>
    <w:tmpl w:val="7FA8ACDA"/>
    <w:lvl w:ilvl="0">
      <w:start w:val="6"/>
      <w:numFmt w:val="bullet"/>
      <w:lvlText w:val="–"/>
      <w:lvlJc w:val="left"/>
      <w:pPr>
        <w:tabs>
          <w:tab w:val="num" w:pos="360"/>
        </w:tabs>
        <w:ind w:left="360" w:hanging="360"/>
      </w:pPr>
      <w:rPr>
        <w:rFonts w:hint="default"/>
      </w:rPr>
    </w:lvl>
  </w:abstractNum>
  <w:abstractNum w:abstractNumId="19" w15:restartNumberingAfterBreak="0">
    <w:nsid w:val="622D1F08"/>
    <w:multiLevelType w:val="multilevel"/>
    <w:tmpl w:val="302678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7451F80"/>
    <w:multiLevelType w:val="multilevel"/>
    <w:tmpl w:val="5F8261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B773AE"/>
    <w:multiLevelType w:val="multilevel"/>
    <w:tmpl w:val="420AE08A"/>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7746751">
    <w:abstractNumId w:val="10"/>
  </w:num>
  <w:num w:numId="2" w16cid:durableId="793909463">
    <w:abstractNumId w:val="8"/>
  </w:num>
  <w:num w:numId="3" w16cid:durableId="564678483">
    <w:abstractNumId w:val="3"/>
  </w:num>
  <w:num w:numId="4" w16cid:durableId="1956712114">
    <w:abstractNumId w:val="2"/>
  </w:num>
  <w:num w:numId="5" w16cid:durableId="35199316">
    <w:abstractNumId w:val="1"/>
  </w:num>
  <w:num w:numId="6" w16cid:durableId="1800804148">
    <w:abstractNumId w:val="0"/>
  </w:num>
  <w:num w:numId="7" w16cid:durableId="1445614929">
    <w:abstractNumId w:val="9"/>
  </w:num>
  <w:num w:numId="8" w16cid:durableId="1220093014">
    <w:abstractNumId w:val="7"/>
  </w:num>
  <w:num w:numId="9" w16cid:durableId="805705016">
    <w:abstractNumId w:val="6"/>
  </w:num>
  <w:num w:numId="10" w16cid:durableId="1150488722">
    <w:abstractNumId w:val="5"/>
  </w:num>
  <w:num w:numId="11" w16cid:durableId="1971203690">
    <w:abstractNumId w:val="4"/>
  </w:num>
  <w:num w:numId="12" w16cid:durableId="12525925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1911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68711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85592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7864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30738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495944">
    <w:abstractNumId w:val="12"/>
  </w:num>
  <w:num w:numId="19" w16cid:durableId="184681105">
    <w:abstractNumId w:val="11"/>
  </w:num>
  <w:num w:numId="20" w16cid:durableId="442188901">
    <w:abstractNumId w:val="15"/>
  </w:num>
  <w:num w:numId="21" w16cid:durableId="7369767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64922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87451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5413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66072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2907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26379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822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842780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71080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9107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76479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69706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23167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10730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59689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529747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73289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04948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91811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6751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50070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88402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238910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93532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48965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93737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63869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91534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13853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79996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82895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8149410">
    <w:abstractNumId w:val="16"/>
  </w:num>
  <w:num w:numId="54" w16cid:durableId="2096365931">
    <w:abstractNumId w:val="13"/>
  </w:num>
  <w:num w:numId="55" w16cid:durableId="424956724">
    <w:abstractNumId w:val="18"/>
  </w:num>
  <w:num w:numId="56" w16cid:durableId="7162038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49651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7918149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099499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910053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740258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0519246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52713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66014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069490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861734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22579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849320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012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405"/>
  </w:docVars>
  <w:rsids>
    <w:rsidRoot w:val="00B46146"/>
    <w:rsid w:val="0048679D"/>
    <w:rsid w:val="00A538DD"/>
    <w:rsid w:val="00B461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AA44A"/>
  <w15:chartTrackingRefBased/>
  <w15:docId w15:val="{C5D1D512-FC20-4876-B915-F3E9149E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rIngress">
    <w:name w:val="årIngress"/>
    <w:basedOn w:val="Normal"/>
    <w:pPr>
      <w:spacing w:before="0" w:line="240" w:lineRule="auto"/>
      <w:jc w:val="left"/>
    </w:pPr>
    <w:rPr>
      <w:rFonts w:ascii="New Baskerville" w:hAnsi="New Baskerville"/>
      <w:i/>
      <w:sz w:val="24"/>
    </w:rPr>
  </w:style>
  <w:style w:type="paragraph" w:styleId="Ballongtext">
    <w:name w:val="Balloon Text"/>
    <w:basedOn w:val="Normal"/>
    <w:semiHidden/>
    <w:pPr>
      <w:spacing w:before="0" w:line="240" w:lineRule="auto"/>
      <w:jc w:val="left"/>
    </w:pPr>
    <w:rPr>
      <w:rFonts w:ascii="Tahoma" w:hAnsi="Tahoma"/>
      <w:sz w:val="16"/>
    </w:rPr>
  </w:style>
  <w:style w:type="paragraph" w:customStyle="1" w:styleId="rBrdtext">
    <w:name w:val="årBrödtext"/>
    <w:basedOn w:val="Normal"/>
    <w:pPr>
      <w:spacing w:before="0" w:line="240" w:lineRule="auto"/>
      <w:jc w:val="left"/>
    </w:pPr>
    <w:rPr>
      <w:rFonts w:ascii="New Baskerville" w:hAnsi="New Baskerville"/>
      <w:sz w:val="24"/>
    </w:rPr>
  </w:style>
  <w:style w:type="paragraph" w:customStyle="1" w:styleId="NormMB">
    <w:name w:val="NormMB"/>
    <w:basedOn w:val="Normal"/>
    <w:pPr>
      <w:spacing w:before="0" w:line="240" w:lineRule="auto"/>
      <w:jc w:val="left"/>
    </w:pPr>
    <w:rPr>
      <w:rFonts w:ascii="Arial" w:hAnsi="Arial"/>
      <w:sz w:val="24"/>
    </w:rPr>
  </w:style>
  <w:style w:type="paragraph" w:customStyle="1" w:styleId="rRubrik2">
    <w:name w:val="årRubrik 2"/>
    <w:basedOn w:val="Normal"/>
    <w:pPr>
      <w:spacing w:before="0" w:line="240" w:lineRule="auto"/>
      <w:jc w:val="left"/>
    </w:pPr>
    <w:rPr>
      <w:rFonts w:ascii="New Baskerville" w:hAnsi="New Baskerville"/>
      <w:b/>
      <w:sz w:val="36"/>
    </w:rPr>
  </w:style>
  <w:style w:type="paragraph" w:customStyle="1" w:styleId="NormalBrdtextbr">
    <w:name w:val="Normal.Brödtext.br"/>
    <w:pPr>
      <w:spacing w:line="320" w:lineRule="atLeast"/>
    </w:pPr>
    <w:rPr>
      <w:rFonts w:ascii="New Century Schlbk" w:hAnsi="New Century Schlbk"/>
      <w:kern w:val="18"/>
      <w:lang w:val="sv-SE"/>
    </w:rPr>
  </w:style>
  <w:style w:type="paragraph" w:customStyle="1" w:styleId="rende">
    <w:name w:val="ärende"/>
    <w:basedOn w:val="Normal"/>
    <w:next w:val="Normal"/>
    <w:pPr>
      <w:spacing w:before="0" w:line="240" w:lineRule="auto"/>
      <w:jc w:val="left"/>
    </w:pPr>
    <w:rPr>
      <w:b/>
      <w:sz w:val="24"/>
    </w:rPr>
  </w:style>
  <w:style w:type="paragraph" w:styleId="Kommentarsmne">
    <w:name w:val="annotation subject"/>
    <w:basedOn w:val="Kommentarer"/>
    <w:next w:val="Kommentarer"/>
    <w:semiHidden/>
    <w:pPr>
      <w:spacing w:line="240" w:lineRule="auto"/>
      <w:jc w:val="left"/>
    </w:pPr>
    <w:rPr>
      <w:rFonts w:ascii="New Baskerville" w:hAnsi="New Baskerville"/>
      <w:b/>
    </w:rPr>
  </w:style>
  <w:style w:type="character" w:styleId="Stark">
    <w:name w:val="Strong"/>
    <w:basedOn w:val="Standardstycketeckensnitt"/>
    <w:qFormat/>
    <w:rPr>
      <w:b/>
      <w:bCs w:val="0"/>
    </w:rPr>
  </w:style>
  <w:style w:type="character" w:styleId="Hyperlnk">
    <w:name w:val="Hyperlink"/>
    <w:basedOn w:val="Standardstycketeckensnitt"/>
    <w:semiHidden/>
    <w:rPr>
      <w:color w:val="0000FF"/>
      <w:u w:val="single"/>
    </w:rPr>
  </w:style>
  <w:style w:type="paragraph" w:styleId="Brdtextmedindrag">
    <w:name w:val="Body Text Indent"/>
    <w:basedOn w:val="Normal"/>
    <w:semiHidden/>
    <w:p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6.emf"/><Relationship Id="rId21" Type="http://schemas.openxmlformats.org/officeDocument/2006/relationships/header" Target="header8.xml"/><Relationship Id="rId34" Type="http://schemas.microsoft.com/office/2011/relationships/commentsExtended" Target="commentsExtended.xml"/><Relationship Id="rId42" Type="http://schemas.openxmlformats.org/officeDocument/2006/relationships/image" Target="media/image9.emf"/><Relationship Id="rId47" Type="http://schemas.openxmlformats.org/officeDocument/2006/relationships/image" Target="media/image14.wmf"/><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3.emf"/><Relationship Id="rId49" Type="http://schemas.openxmlformats.org/officeDocument/2006/relationships/image" Target="media/image16.wmf"/><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microsoft.com/office/2016/09/relationships/commentsIds" Target="commentsIds.xml"/><Relationship Id="rId43" Type="http://schemas.openxmlformats.org/officeDocument/2006/relationships/image" Target="media/image10.wmf"/><Relationship Id="rId48" Type="http://schemas.openxmlformats.org/officeDocument/2006/relationships/image" Target="media/image15.emf"/><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comments" Target="comments.xml"/><Relationship Id="rId38" Type="http://schemas.openxmlformats.org/officeDocument/2006/relationships/image" Target="media/image5.wmf"/><Relationship Id="rId46" Type="http://schemas.openxmlformats.org/officeDocument/2006/relationships/image" Target="media/image13.wmf"/><Relationship Id="rId20" Type="http://schemas.openxmlformats.org/officeDocument/2006/relationships/header" Target="header7.xml"/><Relationship Id="rId41"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24702</Words>
  <Characters>155627</Characters>
  <Application>Microsoft Office Word</Application>
  <DocSecurity>4</DocSecurity>
  <Lines>5020</Lines>
  <Paragraphs>2404</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177925</CharactersWithSpaces>
  <SharedDoc>false</SharedDoc>
  <HLinks>
    <vt:vector size="6" baseType="variant">
      <vt:variant>
        <vt:i4>1310744</vt:i4>
      </vt:variant>
      <vt:variant>
        <vt:i4>61385</vt:i4>
      </vt:variant>
      <vt:variant>
        <vt:i4>1027</vt:i4>
      </vt:variant>
      <vt:variant>
        <vt:i4>1</vt:i4>
      </vt:variant>
      <vt:variant>
        <vt:lpwstr>Uppgifter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2005-03-09T12:26:00Z</cp:lastPrinted>
  <dcterms:created xsi:type="dcterms:W3CDTF">2025-12-16T18:36:00Z</dcterms:created>
  <dcterms:modified xsi:type="dcterms:W3CDTF">2025-12-16T18:36:00Z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