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F05E90" w:rsidRPr="00332DD3">
        <w:tblPrEx>
          <w:tblCellMar>
            <w:top w:w="0" w:type="dxa"/>
            <w:bottom w:w="0" w:type="dxa"/>
          </w:tblCellMar>
        </w:tblPrEx>
        <w:tc>
          <w:tcPr>
            <w:tcW w:w="2268" w:type="dxa"/>
          </w:tcPr>
          <w:p w:rsidR="00F05E90" w:rsidRPr="00332DD3" w:rsidRDefault="00441F43">
            <w:pPr>
              <w:framePr w:w="4400" w:h="1644" w:wrap="notBeside" w:vAnchor="page" w:hAnchor="page" w:x="6573" w:y="721"/>
              <w:rPr>
                <w:rFonts w:ascii="TradeGothic" w:hAnsi="TradeGothic"/>
                <w:i/>
                <w:sz w:val="18"/>
              </w:rPr>
            </w:pPr>
            <w:r w:rsidRPr="00332DD3">
              <w:rPr>
                <w:rFonts w:ascii="TradeGothic" w:hAnsi="TradeGothic"/>
                <w:i/>
                <w:sz w:val="18"/>
              </w:rPr>
              <w:t>SLUTLIG</w:t>
            </w:r>
          </w:p>
        </w:tc>
        <w:tc>
          <w:tcPr>
            <w:tcW w:w="2347" w:type="dxa"/>
            <w:gridSpan w:val="2"/>
          </w:tcPr>
          <w:p w:rsidR="00F05E90" w:rsidRPr="00332DD3" w:rsidRDefault="00F05E90">
            <w:pPr>
              <w:framePr w:w="4400" w:h="1644" w:wrap="notBeside" w:vAnchor="page" w:hAnchor="page" w:x="6573" w:y="721"/>
              <w:rPr>
                <w:rFonts w:ascii="TradeGothic" w:hAnsi="TradeGothic"/>
                <w:i/>
                <w:sz w:val="18"/>
              </w:rPr>
            </w:pPr>
          </w:p>
        </w:tc>
      </w:tr>
      <w:tr w:rsidR="00F05E90" w:rsidRPr="00332DD3">
        <w:tblPrEx>
          <w:tblCellMar>
            <w:top w:w="0" w:type="dxa"/>
            <w:bottom w:w="0" w:type="dxa"/>
          </w:tblCellMar>
        </w:tblPrEx>
        <w:tc>
          <w:tcPr>
            <w:tcW w:w="2268" w:type="dxa"/>
          </w:tcPr>
          <w:p w:rsidR="00F05E90" w:rsidRPr="00332DD3" w:rsidRDefault="00F05E90">
            <w:pPr>
              <w:framePr w:w="4400" w:h="1644" w:wrap="notBeside" w:vAnchor="page" w:hAnchor="page" w:x="6573" w:y="721"/>
              <w:rPr>
                <w:rFonts w:ascii="TradeGothic" w:hAnsi="TradeGothic"/>
                <w:b/>
                <w:sz w:val="22"/>
              </w:rPr>
            </w:pPr>
            <w:r w:rsidRPr="00332DD3">
              <w:rPr>
                <w:rFonts w:ascii="TradeGothic" w:hAnsi="TradeGothic"/>
                <w:b/>
                <w:sz w:val="22"/>
              </w:rPr>
              <w:t xml:space="preserve">Kommenterad dagordning </w:t>
            </w:r>
          </w:p>
        </w:tc>
        <w:tc>
          <w:tcPr>
            <w:tcW w:w="2347" w:type="dxa"/>
            <w:gridSpan w:val="2"/>
          </w:tcPr>
          <w:p w:rsidR="00F05E90" w:rsidRPr="00332DD3" w:rsidRDefault="00F05E90">
            <w:pPr>
              <w:framePr w:w="4400" w:h="1644" w:wrap="notBeside" w:vAnchor="page" w:hAnchor="page" w:x="6573" w:y="721"/>
              <w:rPr>
                <w:rFonts w:ascii="TradeGothic" w:hAnsi="TradeGothic"/>
                <w:b/>
                <w:sz w:val="22"/>
              </w:rPr>
            </w:pPr>
          </w:p>
        </w:tc>
      </w:tr>
      <w:tr w:rsidR="00F05E90" w:rsidRPr="00332DD3">
        <w:tblPrEx>
          <w:tblCellMar>
            <w:top w:w="0" w:type="dxa"/>
            <w:bottom w:w="0" w:type="dxa"/>
          </w:tblCellMar>
        </w:tblPrEx>
        <w:tc>
          <w:tcPr>
            <w:tcW w:w="3402" w:type="dxa"/>
            <w:gridSpan w:val="2"/>
          </w:tcPr>
          <w:p w:rsidR="00F05E90" w:rsidRPr="00332DD3" w:rsidRDefault="00F05E90">
            <w:pPr>
              <w:framePr w:w="4400" w:h="1644" w:wrap="notBeside" w:vAnchor="page" w:hAnchor="page" w:x="6573" w:y="721"/>
            </w:pPr>
          </w:p>
          <w:p w:rsidR="00F05E90" w:rsidRPr="00332DD3" w:rsidRDefault="00F05E90">
            <w:pPr>
              <w:framePr w:w="4400" w:h="1644" w:wrap="notBeside" w:vAnchor="page" w:hAnchor="page" w:x="6573" w:y="721"/>
            </w:pPr>
          </w:p>
        </w:tc>
        <w:tc>
          <w:tcPr>
            <w:tcW w:w="1213" w:type="dxa"/>
          </w:tcPr>
          <w:p w:rsidR="00F05E90" w:rsidRPr="00332DD3" w:rsidRDefault="00F05E90">
            <w:pPr>
              <w:framePr w:w="4400" w:h="1644" w:wrap="notBeside" w:vAnchor="page" w:hAnchor="page" w:x="6573" w:y="721"/>
            </w:pPr>
          </w:p>
        </w:tc>
      </w:tr>
      <w:tr w:rsidR="00F05E90" w:rsidRPr="00332DD3">
        <w:tblPrEx>
          <w:tblCellMar>
            <w:top w:w="0" w:type="dxa"/>
            <w:bottom w:w="0" w:type="dxa"/>
          </w:tblCellMar>
        </w:tblPrEx>
        <w:tc>
          <w:tcPr>
            <w:tcW w:w="2268" w:type="dxa"/>
          </w:tcPr>
          <w:p w:rsidR="00F05E90" w:rsidRPr="00332DD3" w:rsidRDefault="00F05E90">
            <w:pPr>
              <w:framePr w:w="4400" w:h="1644" w:wrap="notBeside" w:vAnchor="page" w:hAnchor="page" w:x="6573" w:y="721"/>
            </w:pPr>
          </w:p>
        </w:tc>
        <w:tc>
          <w:tcPr>
            <w:tcW w:w="2347" w:type="dxa"/>
            <w:gridSpan w:val="2"/>
          </w:tcPr>
          <w:p w:rsidR="00F05E90" w:rsidRPr="00332DD3" w:rsidRDefault="00F05E90">
            <w:pPr>
              <w:framePr w:w="4400" w:h="1644" w:wrap="notBeside" w:vAnchor="page" w:hAnchor="page" w:x="6573" w:y="721"/>
            </w:pPr>
          </w:p>
        </w:tc>
      </w:tr>
      <w:tr w:rsidR="00F05E90" w:rsidRPr="00332DD3">
        <w:tblPrEx>
          <w:tblCellMar>
            <w:top w:w="0" w:type="dxa"/>
            <w:bottom w:w="0" w:type="dxa"/>
          </w:tblCellMar>
        </w:tblPrEx>
        <w:tc>
          <w:tcPr>
            <w:tcW w:w="2268" w:type="dxa"/>
          </w:tcPr>
          <w:p w:rsidR="00F05E90" w:rsidRPr="00332DD3" w:rsidRDefault="00F05E90">
            <w:pPr>
              <w:framePr w:w="4400" w:h="1644" w:wrap="notBeside" w:vAnchor="page" w:hAnchor="page" w:x="6573" w:y="721"/>
            </w:pPr>
          </w:p>
        </w:tc>
        <w:tc>
          <w:tcPr>
            <w:tcW w:w="2347" w:type="dxa"/>
            <w:gridSpan w:val="2"/>
          </w:tcPr>
          <w:p w:rsidR="00F05E90" w:rsidRPr="00332DD3" w:rsidRDefault="00F05E9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F05E90" w:rsidRPr="00332DD3">
        <w:tblPrEx>
          <w:tblCellMar>
            <w:top w:w="0" w:type="dxa"/>
            <w:bottom w:w="0" w:type="dxa"/>
          </w:tblCellMar>
        </w:tblPrEx>
        <w:trPr>
          <w:trHeight w:val="284"/>
        </w:trPr>
        <w:tc>
          <w:tcPr>
            <w:tcW w:w="4911" w:type="dxa"/>
          </w:tcPr>
          <w:p w:rsidR="00F05E90" w:rsidRPr="00332DD3" w:rsidRDefault="00154238">
            <w:pPr>
              <w:pStyle w:val="Avsndare"/>
              <w:framePr w:h="2483" w:wrap="notBeside" w:x="1504"/>
              <w:rPr>
                <w:b/>
                <w:i w:val="0"/>
                <w:sz w:val="22"/>
              </w:rPr>
            </w:pPr>
            <w:r w:rsidRPr="00332DD3">
              <w:rPr>
                <w:b/>
                <w:i w:val="0"/>
                <w:sz w:val="22"/>
              </w:rPr>
              <w:t>Landsbygds</w:t>
            </w:r>
            <w:r w:rsidR="00F05E90" w:rsidRPr="00332DD3">
              <w:rPr>
                <w:b/>
                <w:i w:val="0"/>
                <w:sz w:val="22"/>
              </w:rPr>
              <w:t>departementet</w:t>
            </w:r>
          </w:p>
        </w:tc>
      </w:tr>
      <w:tr w:rsidR="00F05E90" w:rsidRPr="00332DD3">
        <w:tblPrEx>
          <w:tblCellMar>
            <w:top w:w="0" w:type="dxa"/>
            <w:bottom w:w="0" w:type="dxa"/>
          </w:tblCellMar>
        </w:tblPrEx>
        <w:trPr>
          <w:trHeight w:val="284"/>
        </w:trPr>
        <w:tc>
          <w:tcPr>
            <w:tcW w:w="4911" w:type="dxa"/>
          </w:tcPr>
          <w:p w:rsidR="00F05E90" w:rsidRPr="00332DD3" w:rsidRDefault="00F05E90">
            <w:pPr>
              <w:pStyle w:val="Avsndare"/>
              <w:framePr w:h="2483" w:wrap="notBeside" w:x="1504"/>
              <w:rPr>
                <w:bCs/>
                <w:iCs/>
              </w:rPr>
            </w:pPr>
          </w:p>
        </w:tc>
      </w:tr>
      <w:tr w:rsidR="00F05E90" w:rsidRPr="00332DD3">
        <w:tblPrEx>
          <w:tblCellMar>
            <w:top w:w="0" w:type="dxa"/>
            <w:bottom w:w="0" w:type="dxa"/>
          </w:tblCellMar>
        </w:tblPrEx>
        <w:trPr>
          <w:trHeight w:val="284"/>
        </w:trPr>
        <w:tc>
          <w:tcPr>
            <w:tcW w:w="4911" w:type="dxa"/>
          </w:tcPr>
          <w:p w:rsidR="00F05E90" w:rsidRPr="00332DD3" w:rsidRDefault="00F05E90">
            <w:pPr>
              <w:pStyle w:val="Avsndare"/>
              <w:framePr w:h="2483" w:wrap="notBeside" w:x="1504"/>
              <w:rPr>
                <w:bCs/>
                <w:iCs/>
              </w:rPr>
            </w:pPr>
          </w:p>
        </w:tc>
      </w:tr>
    </w:tbl>
    <w:p w:rsidR="00F05E90" w:rsidRPr="00332DD3" w:rsidRDefault="00F05E90">
      <w:pPr>
        <w:framePr w:w="4400" w:h="2523" w:wrap="notBeside" w:vAnchor="page" w:hAnchor="page" w:x="6453" w:y="2445"/>
        <w:ind w:firstLine="720"/>
      </w:pPr>
    </w:p>
    <w:p w:rsidR="00F05E90" w:rsidRPr="00332DD3" w:rsidRDefault="00F05E90">
      <w:pPr>
        <w:framePr w:w="4400" w:h="2523" w:wrap="notBeside" w:vAnchor="page" w:hAnchor="page" w:x="6453" w:y="2445"/>
        <w:ind w:left="142"/>
      </w:pPr>
    </w:p>
    <w:p w:rsidR="00F05E90" w:rsidRPr="00332DD3" w:rsidRDefault="00F05E90" w:rsidP="006B36B4">
      <w:pPr>
        <w:pStyle w:val="RKrubrik"/>
        <w:pBdr>
          <w:bottom w:val="single" w:sz="4" w:space="1" w:color="000000"/>
        </w:pBdr>
        <w:spacing w:before="0" w:after="0"/>
      </w:pPr>
      <w:r w:rsidRPr="00332DD3">
        <w:t xml:space="preserve">Kommenterad dagordning inför Jordbruks- och fiskerådet den </w:t>
      </w:r>
      <w:r w:rsidR="00154238" w:rsidRPr="00332DD3">
        <w:t>15</w:t>
      </w:r>
      <w:r w:rsidR="005265F5" w:rsidRPr="00332DD3">
        <w:t>-16</w:t>
      </w:r>
      <w:r w:rsidR="00154238" w:rsidRPr="00332DD3">
        <w:t xml:space="preserve"> december 2011</w:t>
      </w:r>
    </w:p>
    <w:p w:rsidR="005265F5" w:rsidRPr="00332DD3" w:rsidRDefault="005265F5" w:rsidP="005265F5">
      <w:pPr>
        <w:pStyle w:val="RKrubrik"/>
      </w:pPr>
      <w:r w:rsidRPr="00332DD3">
        <w:t>1. Godkännande av dagordningen</w:t>
      </w:r>
    </w:p>
    <w:p w:rsidR="005265F5" w:rsidRPr="00332DD3" w:rsidRDefault="005265F5" w:rsidP="005265F5">
      <w:pPr>
        <w:pStyle w:val="RKrubrik"/>
        <w:rPr>
          <w:u w:val="single"/>
        </w:rPr>
      </w:pPr>
      <w:r w:rsidRPr="00332DD3">
        <w:rPr>
          <w:u w:val="single"/>
        </w:rPr>
        <w:t>Icke lagstiftande verksamhet</w:t>
      </w:r>
    </w:p>
    <w:p w:rsidR="00F05E90" w:rsidRPr="00332DD3" w:rsidRDefault="005265F5" w:rsidP="005265F5">
      <w:pPr>
        <w:pStyle w:val="RKrubrik"/>
      </w:pPr>
      <w:r w:rsidRPr="00332DD3">
        <w:t>2. Godkännande av A-punktslistan</w:t>
      </w:r>
    </w:p>
    <w:p w:rsidR="009465C2" w:rsidRPr="00332DD3" w:rsidRDefault="009465C2" w:rsidP="009465C2">
      <w:pPr>
        <w:pStyle w:val="RKrubrik"/>
      </w:pPr>
      <w:r w:rsidRPr="00332DD3">
        <w:t>3a) Förslag till rådets förordning om fastställande för år 2012 av fiskemöjligheter tillgängliga för unionsfartyg när det gäller vissa fiskbestånd och grupper av fiskbestånd som inte omfattas av internationella förhandlingar eller överenskommelse</w:t>
      </w:r>
    </w:p>
    <w:p w:rsidR="009465C2" w:rsidRPr="00332DD3" w:rsidRDefault="009465C2" w:rsidP="009465C2">
      <w:pPr>
        <w:pStyle w:val="RKrubrik"/>
      </w:pPr>
      <w:r w:rsidRPr="00332DD3">
        <w:t>b) Förslag till rådets förordning om fastställande för 2012 av fiskemöjligheter tillgängliga i unionens vatten och, för unionsfartygen, i vissa icke-unionsvatten när det gäller vissa fiskbestånd som omfattas av internationella förhandlingar eller överenskommelse</w:t>
      </w:r>
    </w:p>
    <w:p w:rsidR="00F05E90" w:rsidRPr="00332DD3" w:rsidRDefault="002B5A68" w:rsidP="009465C2">
      <w:pPr>
        <w:pStyle w:val="RKrubrik"/>
        <w:rPr>
          <w:rFonts w:ascii="OrigGarmnd BT" w:hAnsi="OrigGarmnd BT"/>
          <w:sz w:val="24"/>
          <w:szCs w:val="24"/>
        </w:rPr>
      </w:pPr>
      <w:r w:rsidRPr="00332DD3">
        <w:rPr>
          <w:rFonts w:ascii="OrigGarmnd BT" w:hAnsi="OrigGarmnd BT"/>
          <w:i/>
          <w:sz w:val="24"/>
          <w:szCs w:val="24"/>
        </w:rPr>
        <w:t>– Politisk överenskommelse</w:t>
      </w:r>
      <w:r w:rsidR="00F05E90" w:rsidRPr="00332DD3">
        <w:rPr>
          <w:rFonts w:ascii="OrigGarmnd BT" w:hAnsi="OrigGarmnd BT"/>
          <w:bCs/>
          <w:i/>
          <w:iCs/>
          <w:sz w:val="24"/>
          <w:szCs w:val="24"/>
        </w:rPr>
        <w:t xml:space="preserve"> </w:t>
      </w:r>
    </w:p>
    <w:p w:rsidR="00F05E90" w:rsidRPr="00332DD3" w:rsidRDefault="00F05E90">
      <w:pPr>
        <w:pStyle w:val="RKnormal"/>
        <w:rPr>
          <w:b/>
          <w:bCs/>
          <w:i/>
          <w:iCs/>
        </w:rPr>
      </w:pPr>
    </w:p>
    <w:p w:rsidR="00F05E90" w:rsidRPr="00332DD3" w:rsidRDefault="00F05E90">
      <w:pPr>
        <w:pStyle w:val="RKnormal"/>
        <w:rPr>
          <w:i/>
          <w:iCs/>
        </w:rPr>
      </w:pPr>
      <w:r w:rsidRPr="00332DD3">
        <w:rPr>
          <w:b/>
          <w:bCs/>
          <w:i/>
          <w:iCs/>
        </w:rPr>
        <w:t>Dok</w:t>
      </w:r>
      <w:r w:rsidRPr="00332DD3">
        <w:rPr>
          <w:i/>
          <w:iCs/>
        </w:rPr>
        <w:t>umentbeteckning</w:t>
      </w:r>
    </w:p>
    <w:p w:rsidR="00202200" w:rsidRPr="00332DD3" w:rsidRDefault="009465C2" w:rsidP="008C7B7D">
      <w:pPr>
        <w:pStyle w:val="RKnormal"/>
      </w:pPr>
      <w:r w:rsidRPr="00332DD3">
        <w:t xml:space="preserve">3a) </w:t>
      </w:r>
      <w:r w:rsidR="00202200" w:rsidRPr="00332DD3">
        <w:t>14751/11 PECHE 253</w:t>
      </w:r>
    </w:p>
    <w:p w:rsidR="00202200" w:rsidRPr="00332DD3" w:rsidRDefault="009465C2" w:rsidP="008C7B7D">
      <w:pPr>
        <w:pStyle w:val="RKnormal"/>
      </w:pPr>
      <w:r w:rsidRPr="00332DD3">
        <w:t xml:space="preserve">3b) </w:t>
      </w:r>
      <w:r w:rsidR="00202200" w:rsidRPr="00332DD3">
        <w:t>16650/11 PECHE 334</w:t>
      </w:r>
    </w:p>
    <w:p w:rsidR="00F05E90" w:rsidRPr="00332DD3" w:rsidRDefault="00F05E90">
      <w:pPr>
        <w:pStyle w:val="RKnormal"/>
        <w:rPr>
          <w:i/>
          <w:iCs/>
        </w:rPr>
      </w:pPr>
    </w:p>
    <w:p w:rsidR="00F05E90" w:rsidRPr="00332DD3" w:rsidRDefault="00F05E90">
      <w:pPr>
        <w:pStyle w:val="RKnormal"/>
        <w:rPr>
          <w:i/>
          <w:iCs/>
        </w:rPr>
      </w:pPr>
      <w:r w:rsidRPr="00332DD3">
        <w:rPr>
          <w:i/>
          <w:iCs/>
        </w:rPr>
        <w:t>Rättslig grund</w:t>
      </w:r>
    </w:p>
    <w:p w:rsidR="002B5A68" w:rsidRPr="00332DD3" w:rsidRDefault="002B5A68" w:rsidP="002B5A68">
      <w:pPr>
        <w:pStyle w:val="RKnormal"/>
        <w:rPr>
          <w:i/>
          <w:iCs/>
        </w:rPr>
      </w:pPr>
      <w:r w:rsidRPr="00332DD3">
        <w:t>Artikel 43.3 i Fördraget om Europeiska Unionens funktionssätt samt rådets förordning (EG) nr 2371/2002 av den 20 december 2002, särskilt artikel 20. Beslut fattas av rådet med kvalificerad majoritet på förslag av kommissionen.</w:t>
      </w:r>
    </w:p>
    <w:p w:rsidR="00F05E90" w:rsidRPr="00332DD3" w:rsidRDefault="00F05E90">
      <w:pPr>
        <w:pStyle w:val="RKnormal"/>
        <w:rPr>
          <w:i/>
          <w:iCs/>
        </w:rPr>
      </w:pPr>
    </w:p>
    <w:p w:rsidR="00E66CFD" w:rsidRPr="00332DD3" w:rsidRDefault="00E66CFD" w:rsidP="00E66CFD">
      <w:pPr>
        <w:pStyle w:val="RKnormal"/>
        <w:rPr>
          <w:i/>
          <w:iCs/>
        </w:rPr>
      </w:pPr>
      <w:r w:rsidRPr="00332DD3">
        <w:rPr>
          <w:i/>
          <w:iCs/>
        </w:rPr>
        <w:t>Bakgrund</w:t>
      </w:r>
    </w:p>
    <w:p w:rsidR="00E66CFD" w:rsidRPr="00332DD3" w:rsidRDefault="00E66CFD" w:rsidP="00E66CFD">
      <w:pPr>
        <w:pStyle w:val="RKnormal"/>
      </w:pPr>
      <w:r w:rsidRPr="00332DD3">
        <w:t xml:space="preserve">Den gemensamma fiskeripolitikens centrala inslag är begränsningar av fångst och fiskeansträngning. Dessa fastställs årligen. </w:t>
      </w:r>
    </w:p>
    <w:p w:rsidR="00E66CFD" w:rsidRPr="00332DD3" w:rsidRDefault="00E66CFD" w:rsidP="00E66CFD">
      <w:pPr>
        <w:pStyle w:val="RKnormal"/>
      </w:pPr>
      <w:r w:rsidRPr="00332DD3">
        <w:lastRenderedPageBreak/>
        <w:t xml:space="preserve">Varje år förhandlas således totalt tillåtna fångstmängder och kvoter för bestånden i Västerhavet, där Sverige har fiskemöjligheter i Nordsjön, Skagerrak och Kattegatt. Förordningen antas i regel vid jordbruks- och fiskerådsmötet i december. Eftersom många kvoter delas med länder som inte är medlemmar i gemenskapen föregås EU:s beslut av ett omfattande förhandlingsarbete med olika tredjeländer. Detta gäller bl.a. de för Sverige viktiga fiskemöjligheterna om vilka förhandlingar för närvarande pågår mellan EU och Norge. Resultaten från dessa förhandlingar förs sedan in i kommissionens förordningsförslag. </w:t>
      </w:r>
    </w:p>
    <w:p w:rsidR="00E66CFD" w:rsidRPr="00332DD3" w:rsidRDefault="00E66CFD" w:rsidP="00E66CFD">
      <w:pPr>
        <w:pStyle w:val="RKnormal"/>
      </w:pPr>
    </w:p>
    <w:p w:rsidR="00E66CFD" w:rsidRPr="00332DD3" w:rsidRDefault="00E66CFD" w:rsidP="00E66CFD">
      <w:pPr>
        <w:pStyle w:val="RKnormal"/>
      </w:pPr>
      <w:r w:rsidRPr="00332DD3">
        <w:t xml:space="preserve">Förslagen innehåller kvoter för 2012 men även bestämmelser relaterade till långsiktiga förvaltningsplaner som reglerar kvotsättningen och fiskeansträngningen. Förslagen om kvoter och fiskeansträngning följer kommissionens årliga policymeddelande, där man redogör för  principerna för TAC-sättningen. Liksom tidigare år syftar dessa principer till att man senast till år 2015 ska ha en kvotsättning som inte överskrider nivåerna för uppnå maximalt hållbart nyttjande, MSY, i enlighet med Johannesburgsdeklarationen om biologisk mångfald. </w:t>
      </w:r>
    </w:p>
    <w:p w:rsidR="00E66CFD" w:rsidRPr="00332DD3" w:rsidRDefault="00E66CFD" w:rsidP="00E66CFD">
      <w:pPr>
        <w:pStyle w:val="RKnormal"/>
      </w:pPr>
    </w:p>
    <w:p w:rsidR="00E66CFD" w:rsidRPr="00332DD3" w:rsidRDefault="00E66CFD" w:rsidP="00E66CFD">
      <w:pPr>
        <w:pStyle w:val="RKnormal"/>
      </w:pPr>
      <w:r w:rsidRPr="00332DD3">
        <w:t>En nyhet för i år i är att kommissionen</w:t>
      </w:r>
      <w:r w:rsidRPr="00332DD3">
        <w:rPr>
          <w:rFonts w:ascii="Times New Roman" w:hAnsi="Times New Roman"/>
          <w:sz w:val="22"/>
          <w:szCs w:val="22"/>
        </w:rPr>
        <w:t xml:space="preserve"> </w:t>
      </w:r>
      <w:r w:rsidRPr="00332DD3">
        <w:t>föreslår att beslut tas genom två separata förordningar, så att  EU:s interna fiskemöjligheter beslutas  separat från de fiskemöjligheter som avtalas i samråd med Norge och andra tredjeländer.</w:t>
      </w:r>
    </w:p>
    <w:p w:rsidR="00E66CFD" w:rsidRPr="00332DD3" w:rsidRDefault="00E66CFD" w:rsidP="00E66CFD">
      <w:pPr>
        <w:pStyle w:val="RKnormal"/>
      </w:pPr>
    </w:p>
    <w:p w:rsidR="00E66CFD" w:rsidRPr="00332DD3" w:rsidRDefault="00E66CFD" w:rsidP="00E66CFD">
      <w:pPr>
        <w:pStyle w:val="RKnormal"/>
        <w:rPr>
          <w:i/>
          <w:iCs/>
        </w:rPr>
      </w:pPr>
      <w:r w:rsidRPr="00332DD3">
        <w:rPr>
          <w:i/>
          <w:iCs/>
        </w:rPr>
        <w:t>Förslag till svensk ståndpunkt</w:t>
      </w:r>
    </w:p>
    <w:p w:rsidR="00E66CFD" w:rsidRPr="00332DD3" w:rsidRDefault="00E66CFD" w:rsidP="00E66CFD">
      <w:pPr>
        <w:pStyle w:val="RKnormal"/>
      </w:pPr>
      <w:r w:rsidRPr="00332DD3">
        <w:t xml:space="preserve">Regeringens grundinställning är att fiskeriförvaltningen ska verka för ett långsiktigt hållbart resursutnyttjande. För att nå detta är det </w:t>
      </w:r>
      <w:r w:rsidRPr="00332DD3">
        <w:rPr>
          <w:szCs w:val="24"/>
        </w:rPr>
        <w:t xml:space="preserve">viktigt att </w:t>
      </w:r>
      <w:r w:rsidRPr="00332DD3">
        <w:rPr>
          <w:rFonts w:cs="Helv"/>
          <w:color w:val="000000"/>
          <w:szCs w:val="24"/>
          <w:lang w:eastAsia="sv-SE"/>
        </w:rPr>
        <w:t xml:space="preserve">ICES vetenskapliga rådgivning utgör grunden för de politiska besluten, </w:t>
      </w:r>
      <w:r w:rsidRPr="00332DD3">
        <w:t>samt att existerande förvaltnings- och återhämtningsplaner följs.</w:t>
      </w:r>
    </w:p>
    <w:p w:rsidR="00E66CFD" w:rsidRPr="00332DD3" w:rsidRDefault="00E66CFD" w:rsidP="00E66CFD">
      <w:pPr>
        <w:pStyle w:val="RKnormal"/>
      </w:pPr>
    </w:p>
    <w:p w:rsidR="00E66CFD" w:rsidRPr="00332DD3" w:rsidRDefault="00E66CFD" w:rsidP="00E66CFD">
      <w:pPr>
        <w:pStyle w:val="RKnormal"/>
      </w:pPr>
      <w:r w:rsidRPr="00332DD3">
        <w:t xml:space="preserve">Kommissionens förslag innebär att förvaltningsplanerna följs och att de flesta kvoterna anpassas efter den vetenskapliga rådgivningen. Det är en ansvarsfull inriktning som regeringen stödjer. Regeringen stödjer också målsättningen att uppnå maximalt hållbart uttag till 2015. </w:t>
      </w:r>
    </w:p>
    <w:p w:rsidR="00E66CFD" w:rsidRPr="00332DD3" w:rsidRDefault="00E66CFD" w:rsidP="00E66CFD">
      <w:pPr>
        <w:pStyle w:val="RKnormal"/>
      </w:pPr>
    </w:p>
    <w:p w:rsidR="00E66CFD" w:rsidRPr="00332DD3" w:rsidRDefault="00E66CFD" w:rsidP="00E66CFD">
      <w:pPr>
        <w:pStyle w:val="RKnormal"/>
      </w:pPr>
      <w:r w:rsidRPr="00332DD3">
        <w:t>Regeringen har däremot ifrågasatt  att besluten om interna respektive externa kvoter fattas genom två separata förordningar. Regeringen anser att fler arter borde omfattas av långsiktiga förvaltningsplaner och, där så är möjligt, genom flerartsplaner för att återspegla en ekosystemansats. Av detta skäl är det viktigt att kvotbeslut för bestånd som befinner sig i samma område fattas tillsammans. Regeringen befarar också att den administrativa bördan beträffande hanteringen av kvoter, effort och licenser ökar för förvaltare och fiskenäring om  kvoter för samma område ska fastställas i två separata förordningar. Regeringens avsikt är att fortsätta driva denna ståndpunkt för att inför kommande års kvotförhandlingar försöka få till stånd en återgång till det tidigare förfarandet med en, gemensam förordning för interna respektive externa kvoter.</w:t>
      </w:r>
    </w:p>
    <w:p w:rsidR="00E66CFD" w:rsidRPr="00332DD3" w:rsidRDefault="00E66CFD" w:rsidP="00E66CFD">
      <w:pPr>
        <w:pStyle w:val="RKnormal"/>
        <w:rPr>
          <w:i/>
          <w:iCs/>
        </w:rPr>
      </w:pPr>
    </w:p>
    <w:p w:rsidR="00E66CFD" w:rsidRPr="00332DD3" w:rsidRDefault="00E66CFD" w:rsidP="00E66CFD">
      <w:pPr>
        <w:pStyle w:val="RKnormal"/>
        <w:rPr>
          <w:i/>
          <w:iCs/>
        </w:rPr>
      </w:pPr>
      <w:r w:rsidRPr="00332DD3">
        <w:rPr>
          <w:i/>
          <w:iCs/>
        </w:rPr>
        <w:t>EU-nämnden</w:t>
      </w:r>
    </w:p>
    <w:p w:rsidR="00E66CFD" w:rsidRPr="00332DD3" w:rsidRDefault="00E66CFD" w:rsidP="00E66CFD">
      <w:pPr>
        <w:pStyle w:val="RKnormal"/>
      </w:pPr>
      <w:r w:rsidRPr="00332DD3">
        <w:t>De två nu aktuella förordningsförslagen har inte behandlats i sin helhet i MJU eller EU-nämnden. Däremot var förhandlingarna mellan EU och Norge föremål för information i MJU och samråd med EU-nämnden inför Jordbruks- och fiskerådet i oktober.  Eftersom beslut om dessa fiskemöjligheter fattas årligen i december, är frågan föremål för information/samråd inför december månads Jordbruks- och fiskeråd varje år (senast det skedde var i december 2010).</w:t>
      </w:r>
    </w:p>
    <w:p w:rsidR="00343151" w:rsidRPr="00332DD3" w:rsidRDefault="00343151" w:rsidP="00343151">
      <w:pPr>
        <w:pStyle w:val="RKrubrik"/>
      </w:pPr>
      <w:r w:rsidRPr="00332DD3">
        <w:t xml:space="preserve">4. Förslag till rådets förordning om fastställande för 2012 av fiskemöjligheter i Svarta Havet </w:t>
      </w:r>
    </w:p>
    <w:p w:rsidR="00343151" w:rsidRPr="00332DD3" w:rsidRDefault="00343151" w:rsidP="00343151">
      <w:pPr>
        <w:pStyle w:val="RKnormal"/>
        <w:rPr>
          <w:b/>
          <w:i/>
        </w:rPr>
      </w:pPr>
      <w:r w:rsidRPr="00332DD3">
        <w:rPr>
          <w:b/>
          <w:i/>
        </w:rPr>
        <w:t>- politisk överenskommelse</w:t>
      </w:r>
    </w:p>
    <w:p w:rsidR="00343151" w:rsidRPr="00332DD3" w:rsidRDefault="00343151" w:rsidP="00343151">
      <w:pPr>
        <w:pStyle w:val="RKnormal"/>
        <w:rPr>
          <w:b/>
          <w:bCs/>
          <w:i/>
          <w:iCs/>
        </w:rPr>
      </w:pPr>
    </w:p>
    <w:p w:rsidR="00343151" w:rsidRPr="00332DD3" w:rsidRDefault="00343151" w:rsidP="00343151">
      <w:pPr>
        <w:pStyle w:val="RKnormal"/>
        <w:rPr>
          <w:i/>
          <w:iCs/>
        </w:rPr>
      </w:pPr>
    </w:p>
    <w:p w:rsidR="00343151" w:rsidRPr="00332DD3" w:rsidRDefault="00343151" w:rsidP="00343151">
      <w:pPr>
        <w:pStyle w:val="RKnormal"/>
        <w:rPr>
          <w:i/>
          <w:iCs/>
        </w:rPr>
      </w:pPr>
      <w:r w:rsidRPr="00332DD3">
        <w:rPr>
          <w:i/>
          <w:iCs/>
        </w:rPr>
        <w:t>Dokumentbeteckning</w:t>
      </w:r>
    </w:p>
    <w:p w:rsidR="00343151" w:rsidRPr="00332DD3" w:rsidRDefault="00343151" w:rsidP="00343151">
      <w:pPr>
        <w:pStyle w:val="RKnormal"/>
        <w:rPr>
          <w:iCs/>
        </w:rPr>
      </w:pPr>
      <w:r w:rsidRPr="00332DD3">
        <w:rPr>
          <w:iCs/>
        </w:rPr>
        <w:t>17396/11 PECHE 348</w:t>
      </w:r>
    </w:p>
    <w:p w:rsidR="00343151" w:rsidRPr="00332DD3" w:rsidRDefault="00343151" w:rsidP="00343151">
      <w:pPr>
        <w:pStyle w:val="RKnormal"/>
        <w:rPr>
          <w:i/>
          <w:iCs/>
        </w:rPr>
      </w:pPr>
    </w:p>
    <w:p w:rsidR="00343151" w:rsidRPr="00332DD3" w:rsidRDefault="00343151" w:rsidP="00343151">
      <w:pPr>
        <w:pStyle w:val="RKnormal"/>
        <w:rPr>
          <w:i/>
          <w:iCs/>
        </w:rPr>
      </w:pPr>
      <w:r w:rsidRPr="00332DD3">
        <w:rPr>
          <w:i/>
          <w:iCs/>
        </w:rPr>
        <w:t>Rättslig grund</w:t>
      </w:r>
    </w:p>
    <w:p w:rsidR="00343151" w:rsidRPr="00332DD3" w:rsidRDefault="00343151" w:rsidP="00343151">
      <w:pPr>
        <w:pStyle w:val="RKnormal"/>
      </w:pPr>
      <w:r w:rsidRPr="00332DD3">
        <w:t>Artikel 43.3 i Fördraget om Europeiska Unionens funktionssätt samt rådets förordning (EG) nr 2371/2002 av den 20 december 2002.</w:t>
      </w:r>
      <w:r w:rsidR="0006356E" w:rsidRPr="00332DD3">
        <w:t xml:space="preserve"> Beslut fattas av rådet med kvalificerad majoritet på förslag av kommissionen.</w:t>
      </w:r>
    </w:p>
    <w:p w:rsidR="00343151" w:rsidRPr="00332DD3" w:rsidRDefault="00343151" w:rsidP="00343151">
      <w:pPr>
        <w:pStyle w:val="RKnormal"/>
        <w:rPr>
          <w:i/>
          <w:iCs/>
        </w:rPr>
      </w:pPr>
    </w:p>
    <w:p w:rsidR="00343151" w:rsidRPr="00332DD3" w:rsidRDefault="00343151" w:rsidP="00343151">
      <w:pPr>
        <w:pStyle w:val="RKnormal"/>
        <w:rPr>
          <w:i/>
          <w:iCs/>
        </w:rPr>
      </w:pPr>
      <w:r w:rsidRPr="00332DD3">
        <w:rPr>
          <w:i/>
          <w:iCs/>
        </w:rPr>
        <w:t>Bakgrund</w:t>
      </w:r>
    </w:p>
    <w:p w:rsidR="00343151" w:rsidRPr="00332DD3" w:rsidRDefault="00343151" w:rsidP="00343151">
      <w:pPr>
        <w:tabs>
          <w:tab w:val="left" w:pos="2835"/>
        </w:tabs>
        <w:spacing w:line="240" w:lineRule="atLeast"/>
      </w:pPr>
      <w:r w:rsidRPr="00332DD3">
        <w:t xml:space="preserve">Förslaget till förordning avser fastställande av TAC för 2012 för de kommersiellt sett viktigaste bestånden i Svarta havet, piggvar och skarpsill. Förslaget till förordning innehåller även vissa redskapsregler.  </w:t>
      </w:r>
    </w:p>
    <w:p w:rsidR="00343151" w:rsidRPr="00332DD3" w:rsidRDefault="00343151" w:rsidP="00343151">
      <w:pPr>
        <w:tabs>
          <w:tab w:val="left" w:pos="2835"/>
        </w:tabs>
        <w:spacing w:line="240" w:lineRule="atLeast"/>
      </w:pPr>
    </w:p>
    <w:p w:rsidR="00343151" w:rsidRPr="00332DD3" w:rsidRDefault="00343151" w:rsidP="00343151">
      <w:pPr>
        <w:tabs>
          <w:tab w:val="left" w:pos="2835"/>
        </w:tabs>
        <w:spacing w:line="240" w:lineRule="atLeast"/>
      </w:pPr>
      <w:r w:rsidRPr="00332DD3">
        <w:t xml:space="preserve">De enda av EU:s medlemsstater som berörs är Bulgarien och Rumänien. Fiskemöjligheter i Svarta havet och därmed förbundna villkor fastställdes för första gången för 2008. </w:t>
      </w:r>
    </w:p>
    <w:p w:rsidR="00343151" w:rsidRPr="00332DD3" w:rsidRDefault="00343151" w:rsidP="00343151">
      <w:pPr>
        <w:pStyle w:val="RKnormal"/>
        <w:rPr>
          <w:i/>
          <w:iCs/>
        </w:rPr>
      </w:pPr>
    </w:p>
    <w:p w:rsidR="00343151" w:rsidRPr="00332DD3" w:rsidRDefault="00343151" w:rsidP="00343151">
      <w:pPr>
        <w:pStyle w:val="RKnormal"/>
        <w:rPr>
          <w:i/>
          <w:iCs/>
        </w:rPr>
      </w:pPr>
      <w:r w:rsidRPr="00332DD3">
        <w:rPr>
          <w:i/>
          <w:iCs/>
        </w:rPr>
        <w:t>Förslag till svensk ståndpunkt</w:t>
      </w:r>
    </w:p>
    <w:p w:rsidR="00343151" w:rsidRPr="00332DD3" w:rsidRDefault="00343151" w:rsidP="00343151">
      <w:pPr>
        <w:pStyle w:val="RKnormal"/>
      </w:pPr>
      <w:r w:rsidRPr="00332DD3">
        <w:rPr>
          <w:iCs/>
        </w:rPr>
        <w:t xml:space="preserve">Regeringen stödjer kommissionens förslag </w:t>
      </w:r>
      <w:r w:rsidRPr="00332DD3">
        <w:t>och vad kommissionen och berörda medlemsstater kan komma överens om i smärre förändringar.</w:t>
      </w:r>
    </w:p>
    <w:p w:rsidR="00343151" w:rsidRPr="00332DD3" w:rsidRDefault="00343151" w:rsidP="00343151">
      <w:pPr>
        <w:pStyle w:val="RKnormal"/>
        <w:rPr>
          <w:i/>
          <w:iCs/>
        </w:rPr>
      </w:pPr>
    </w:p>
    <w:p w:rsidR="00343151" w:rsidRPr="00332DD3" w:rsidRDefault="00343151" w:rsidP="00343151">
      <w:pPr>
        <w:pStyle w:val="RKnormal"/>
        <w:rPr>
          <w:i/>
          <w:iCs/>
        </w:rPr>
      </w:pPr>
      <w:r w:rsidRPr="00332DD3">
        <w:rPr>
          <w:i/>
          <w:iCs/>
        </w:rPr>
        <w:t>EU-nämnden och MJU</w:t>
      </w:r>
    </w:p>
    <w:p w:rsidR="00343151" w:rsidRPr="00332DD3" w:rsidRDefault="00343151" w:rsidP="00343151">
      <w:pPr>
        <w:pStyle w:val="RKnormal"/>
      </w:pPr>
      <w:r w:rsidRPr="00332DD3">
        <w:t xml:space="preserve">Eftersom beslut om dessa fiskemöjligheter fattas årligen i december, är frågan föremål för information/samråd inför december månads Jordbruks- och fiskeråd varje år (senast det skedde var i december 2010) </w:t>
      </w:r>
    </w:p>
    <w:p w:rsidR="00343151" w:rsidRPr="00332DD3" w:rsidRDefault="00343151" w:rsidP="00343151">
      <w:pPr>
        <w:pStyle w:val="RKnormal"/>
      </w:pPr>
    </w:p>
    <w:p w:rsidR="00764C9C" w:rsidRPr="00332DD3" w:rsidRDefault="00764C9C" w:rsidP="00343151">
      <w:pPr>
        <w:pStyle w:val="RKrubrik"/>
      </w:pPr>
    </w:p>
    <w:p w:rsidR="00343151" w:rsidRPr="00332DD3" w:rsidRDefault="0061768E" w:rsidP="00343151">
      <w:pPr>
        <w:pStyle w:val="RKrubrik"/>
      </w:pPr>
      <w:r w:rsidRPr="00332DD3">
        <w:t>5</w:t>
      </w:r>
      <w:r w:rsidR="00343151" w:rsidRPr="00332DD3">
        <w:t>. Förslag till Europ</w:t>
      </w:r>
      <w:r w:rsidR="0006356E" w:rsidRPr="00332DD3">
        <w:t>ap</w:t>
      </w:r>
      <w:r w:rsidR="00343151" w:rsidRPr="00332DD3">
        <w:t>arlamentet och rådet</w:t>
      </w:r>
      <w:r w:rsidR="0006356E" w:rsidRPr="00332DD3">
        <w:t>s förordning</w:t>
      </w:r>
      <w:r w:rsidR="00343151" w:rsidRPr="00332DD3">
        <w:t xml:space="preserve"> om Europeiska Havs- och fiskerifonden- EMFF</w:t>
      </w:r>
    </w:p>
    <w:p w:rsidR="00343151" w:rsidRPr="00332DD3" w:rsidRDefault="00343151" w:rsidP="00343151">
      <w:pPr>
        <w:pStyle w:val="RKnormal"/>
        <w:rPr>
          <w:b/>
          <w:bCs/>
          <w:i/>
          <w:iCs/>
        </w:rPr>
      </w:pPr>
      <w:r w:rsidRPr="00332DD3">
        <w:rPr>
          <w:b/>
          <w:bCs/>
          <w:i/>
          <w:iCs/>
        </w:rPr>
        <w:t>- information från</w:t>
      </w:r>
      <w:r w:rsidR="00E66CFD" w:rsidRPr="00332DD3">
        <w:rPr>
          <w:b/>
          <w:bCs/>
          <w:i/>
          <w:iCs/>
        </w:rPr>
        <w:t xml:space="preserve"> kommissionen och meningsutbyte</w:t>
      </w:r>
    </w:p>
    <w:p w:rsidR="00343151" w:rsidRPr="00332DD3" w:rsidRDefault="00343151" w:rsidP="00343151">
      <w:pPr>
        <w:pStyle w:val="RKnormal"/>
        <w:rPr>
          <w:i/>
          <w:iCs/>
        </w:rPr>
      </w:pPr>
    </w:p>
    <w:p w:rsidR="00343151" w:rsidRPr="00332DD3" w:rsidRDefault="00343151" w:rsidP="00343151">
      <w:pPr>
        <w:pStyle w:val="RKnormal"/>
        <w:rPr>
          <w:i/>
          <w:iCs/>
        </w:rPr>
      </w:pPr>
      <w:r w:rsidRPr="00332DD3">
        <w:rPr>
          <w:i/>
          <w:iCs/>
        </w:rPr>
        <w:t>Dokumentbeteckning</w:t>
      </w:r>
    </w:p>
    <w:p w:rsidR="00343151" w:rsidRPr="00332DD3" w:rsidRDefault="00E66CFD" w:rsidP="00343151">
      <w:pPr>
        <w:pStyle w:val="RKnormal"/>
        <w:rPr>
          <w:iCs/>
        </w:rPr>
      </w:pPr>
      <w:r w:rsidRPr="00332DD3">
        <w:rPr>
          <w:iCs/>
        </w:rPr>
        <w:t>Förordningen</w:t>
      </w:r>
      <w:r w:rsidR="00343151" w:rsidRPr="00332DD3">
        <w:rPr>
          <w:iCs/>
        </w:rPr>
        <w:t xml:space="preserve"> publiceras den 1 december 2011. </w:t>
      </w:r>
    </w:p>
    <w:p w:rsidR="00343151" w:rsidRPr="00332DD3" w:rsidRDefault="00343151" w:rsidP="00343151">
      <w:pPr>
        <w:pStyle w:val="RKnormal"/>
        <w:rPr>
          <w:iCs/>
        </w:rPr>
      </w:pPr>
    </w:p>
    <w:p w:rsidR="00343151" w:rsidRPr="00332DD3" w:rsidRDefault="00343151" w:rsidP="00343151">
      <w:pPr>
        <w:pStyle w:val="RKnormal"/>
        <w:rPr>
          <w:i/>
          <w:iCs/>
        </w:rPr>
      </w:pPr>
    </w:p>
    <w:p w:rsidR="00343151" w:rsidRPr="00332DD3" w:rsidRDefault="00343151" w:rsidP="00343151">
      <w:pPr>
        <w:pStyle w:val="RKnormal"/>
        <w:rPr>
          <w:i/>
          <w:iCs/>
        </w:rPr>
      </w:pPr>
      <w:r w:rsidRPr="00332DD3">
        <w:rPr>
          <w:i/>
          <w:iCs/>
        </w:rPr>
        <w:t>Rättslig grund</w:t>
      </w:r>
    </w:p>
    <w:p w:rsidR="00BB29F9" w:rsidRPr="00332DD3" w:rsidRDefault="00BB29F9" w:rsidP="00BB29F9">
      <w:pPr>
        <w:pStyle w:val="Brdtext"/>
        <w:jc w:val="both"/>
        <w:rPr>
          <w:rFonts w:ascii="OrigGarmnd BT" w:hAnsi="OrigGarmnd BT"/>
        </w:rPr>
      </w:pPr>
      <w:r w:rsidRPr="00332DD3">
        <w:rPr>
          <w:rFonts w:ascii="OrigGarmnd BT" w:hAnsi="OrigGarmnd BT"/>
        </w:rPr>
        <w:t>43.2 i fördraget om Europeiska Unionens Funktionssätt, EUF. Beslut fattas av rådet i medbeslutande med Europaparlamentet i enlighet med det ordinarie lagstiftningsförfarandet.</w:t>
      </w:r>
    </w:p>
    <w:p w:rsidR="00343151" w:rsidRPr="00332DD3" w:rsidRDefault="00343151" w:rsidP="00343151">
      <w:pPr>
        <w:pStyle w:val="RKnormal"/>
        <w:rPr>
          <w:iCs/>
        </w:rPr>
      </w:pPr>
    </w:p>
    <w:p w:rsidR="00343151" w:rsidRPr="00332DD3" w:rsidRDefault="00343151" w:rsidP="00343151">
      <w:pPr>
        <w:pStyle w:val="RKnormal"/>
        <w:rPr>
          <w:i/>
          <w:iCs/>
        </w:rPr>
      </w:pPr>
    </w:p>
    <w:p w:rsidR="00343151" w:rsidRPr="00332DD3" w:rsidRDefault="00343151" w:rsidP="00343151">
      <w:pPr>
        <w:pStyle w:val="RKnormal"/>
        <w:rPr>
          <w:i/>
          <w:iCs/>
        </w:rPr>
      </w:pPr>
      <w:r w:rsidRPr="00332DD3">
        <w:rPr>
          <w:i/>
          <w:iCs/>
        </w:rPr>
        <w:t>Bakgrund</w:t>
      </w:r>
    </w:p>
    <w:p w:rsidR="00343151" w:rsidRPr="00332DD3" w:rsidRDefault="00343151" w:rsidP="00343151">
      <w:pPr>
        <w:pStyle w:val="RKnormal"/>
      </w:pPr>
      <w:r w:rsidRPr="00332DD3">
        <w:t xml:space="preserve">Det rubricerade förslaget publicerades den 1 december och någon </w:t>
      </w:r>
      <w:r w:rsidR="0006356E" w:rsidRPr="00332DD3">
        <w:t>grundlig</w:t>
      </w:r>
      <w:r w:rsidRPr="00332DD3">
        <w:t xml:space="preserve"> analys har därför inte hunnit göras inför den kommenterade rådsdagordningen. </w:t>
      </w:r>
    </w:p>
    <w:p w:rsidR="00343151" w:rsidRPr="00332DD3" w:rsidRDefault="00343151" w:rsidP="00343151">
      <w:pPr>
        <w:pStyle w:val="RKnormal"/>
      </w:pPr>
    </w:p>
    <w:p w:rsidR="00343151" w:rsidRPr="00332DD3" w:rsidRDefault="00343151" w:rsidP="00343151">
      <w:pPr>
        <w:pStyle w:val="RKnormal"/>
        <w:rPr>
          <w:lang w:eastAsia="sv-SE"/>
        </w:rPr>
      </w:pPr>
      <w:r w:rsidRPr="00332DD3">
        <w:t xml:space="preserve">Generellt kan sägas att det nyss lagda förslaget till EMFF är den sista delen av reformpaketet för den gemensamma fiskeripolitiken (övriga förslag publicerades den 13 juli). Enligt förslaget kommer budgeten för EMFF att uppgå till omkring 6,7 miljarder euro. Den </w:t>
      </w:r>
      <w:r w:rsidRPr="00332DD3">
        <w:rPr>
          <w:lang w:eastAsia="sv-SE"/>
        </w:rPr>
        <w:t xml:space="preserve">Europeiska havs- och fiskerifonden (EMFF) kommer att struktureras kring fyra pelare: </w:t>
      </w:r>
    </w:p>
    <w:p w:rsidR="00343151" w:rsidRPr="00332DD3" w:rsidRDefault="00343151" w:rsidP="00343151">
      <w:pPr>
        <w:pStyle w:val="RKnormal"/>
        <w:numPr>
          <w:ilvl w:val="0"/>
          <w:numId w:val="3"/>
        </w:numPr>
        <w:rPr>
          <w:color w:val="888888"/>
          <w:sz w:val="20"/>
          <w:lang w:eastAsia="sv-SE"/>
        </w:rPr>
      </w:pPr>
      <w:r w:rsidRPr="00332DD3">
        <w:rPr>
          <w:b/>
          <w:lang w:eastAsia="sv-SE"/>
        </w:rPr>
        <w:t>Smart, Grönt Fiske</w:t>
      </w:r>
      <w:r w:rsidRPr="00332DD3">
        <w:rPr>
          <w:lang w:eastAsia="sv-SE"/>
        </w:rPr>
        <w:t xml:space="preserve"> (delad förvaltning) för att främja övergången till ett hållbart fiske och att ge stöd inriktat på innovation och mervärde. Detta ska göra fiskesektorn ekonomiskt bärkraftig och motståndskraftig mot externa påtryckningar och konkurrensen från tredje land.</w:t>
      </w:r>
    </w:p>
    <w:p w:rsidR="00343151" w:rsidRPr="00332DD3" w:rsidRDefault="00343151" w:rsidP="00343151">
      <w:pPr>
        <w:pStyle w:val="RKnormal"/>
        <w:numPr>
          <w:ilvl w:val="0"/>
          <w:numId w:val="3"/>
        </w:numPr>
        <w:rPr>
          <w:color w:val="888888"/>
          <w:sz w:val="20"/>
          <w:lang w:eastAsia="sv-SE"/>
        </w:rPr>
      </w:pPr>
      <w:r w:rsidRPr="00332DD3">
        <w:rPr>
          <w:b/>
          <w:lang w:eastAsia="sv-SE"/>
        </w:rPr>
        <w:t>Smart, Grönt vattenbruk</w:t>
      </w:r>
      <w:r w:rsidRPr="00332DD3">
        <w:rPr>
          <w:lang w:eastAsia="sv-SE"/>
        </w:rPr>
        <w:t xml:space="preserve"> (delad förvaltning) för att uppnå ekonomiskt lönsamt, konkurrenskraftigt och miljövänligt vattenbruk, samt att klara av den globala konkurre</w:t>
      </w:r>
      <w:r w:rsidR="00B93020" w:rsidRPr="00332DD3">
        <w:rPr>
          <w:lang w:eastAsia="sv-SE"/>
        </w:rPr>
        <w:t>nsen och ge EU-konsumenterna</w:t>
      </w:r>
      <w:r w:rsidRPr="00332DD3">
        <w:rPr>
          <w:lang w:eastAsia="sv-SE"/>
        </w:rPr>
        <w:t xml:space="preserve"> produkter av hög näringsvärde,</w:t>
      </w:r>
    </w:p>
    <w:p w:rsidR="00343151" w:rsidRPr="00332DD3" w:rsidRDefault="00343151" w:rsidP="00343151">
      <w:pPr>
        <w:pStyle w:val="RKnormal"/>
        <w:numPr>
          <w:ilvl w:val="0"/>
          <w:numId w:val="3"/>
        </w:numPr>
        <w:rPr>
          <w:color w:val="888888"/>
          <w:sz w:val="20"/>
          <w:lang w:eastAsia="sv-SE"/>
        </w:rPr>
      </w:pPr>
      <w:r w:rsidRPr="00332DD3">
        <w:rPr>
          <w:b/>
          <w:lang w:eastAsia="sv-SE"/>
        </w:rPr>
        <w:t>Hållbar och inkluderande territoriell utveckling</w:t>
      </w:r>
      <w:r w:rsidRPr="00332DD3">
        <w:rPr>
          <w:lang w:eastAsia="sv-SE"/>
        </w:rPr>
        <w:t xml:space="preserve"> (delad förvaltning) för att bevara kustsamhällen som är beroende av fiske, </w:t>
      </w:r>
    </w:p>
    <w:p w:rsidR="00343151" w:rsidRPr="00332DD3" w:rsidRDefault="00343151" w:rsidP="00343151">
      <w:pPr>
        <w:pStyle w:val="RKnormal"/>
        <w:numPr>
          <w:ilvl w:val="0"/>
          <w:numId w:val="3"/>
        </w:numPr>
        <w:rPr>
          <w:color w:val="888888"/>
          <w:sz w:val="20"/>
          <w:lang w:eastAsia="sv-SE"/>
        </w:rPr>
      </w:pPr>
      <w:r w:rsidRPr="00332DD3">
        <w:rPr>
          <w:b/>
          <w:lang w:eastAsia="sv-SE"/>
        </w:rPr>
        <w:t>Integrerad havspolitik</w:t>
      </w:r>
      <w:r w:rsidRPr="00332DD3">
        <w:rPr>
          <w:lang w:eastAsia="sv-SE"/>
        </w:rPr>
        <w:t xml:space="preserve"> (direkt centraliserad förvaltning) stödja de övergripande prioriteringar som har verklig potential att generera besparingar och tillväxt t.ex. marin kunskap, fysisk planering, integrerad förvaltning av kustområden och integrerad havs övervakning och anpassning till de negativa effekterna av klimatförändringar på kustområden.</w:t>
      </w:r>
    </w:p>
    <w:p w:rsidR="00343151" w:rsidRPr="00332DD3" w:rsidRDefault="00343151" w:rsidP="00343151">
      <w:pPr>
        <w:pStyle w:val="RKnormal"/>
      </w:pPr>
    </w:p>
    <w:p w:rsidR="00343151" w:rsidRPr="00332DD3" w:rsidRDefault="00343151" w:rsidP="00343151">
      <w:pPr>
        <w:pStyle w:val="RKnormal"/>
      </w:pPr>
      <w:r w:rsidRPr="00332DD3">
        <w:t xml:space="preserve">Utöver dessa fyra pelare ska EMFF även inkludera åtgärder för datainsamling, vetenskaplig rådgivning, kontroll och marknaderna för fisket. </w:t>
      </w:r>
    </w:p>
    <w:p w:rsidR="00343151" w:rsidRPr="00332DD3" w:rsidRDefault="00343151" w:rsidP="00343151">
      <w:pPr>
        <w:pStyle w:val="RKnormal"/>
      </w:pPr>
    </w:p>
    <w:p w:rsidR="00343151" w:rsidRPr="00332DD3" w:rsidRDefault="00343151" w:rsidP="00343151">
      <w:pPr>
        <w:pStyle w:val="RKnormal"/>
      </w:pPr>
      <w:r w:rsidRPr="00332DD3">
        <w:t>En viktig nyhet i förhållande till nu gällande bestämmelser är att medel från Europeiska havs- och fiskerifonden ska användas mera strategiskt. Havs- och fiskerifonden ska ingå i ett gemensamt, nationellt strategiskt ramverk som omfattar alla EU-fonder. Tanken är att skapa positiva synergier mellan ekonomiska stödinsatser. Insatser med ekonomiskt stöd från havs- och fiskerifonden ska kopplas tydligare till målen med den reformerade gemensamma fiskeripolitiken.</w:t>
      </w:r>
    </w:p>
    <w:p w:rsidR="00343151" w:rsidRPr="00332DD3" w:rsidRDefault="00343151" w:rsidP="00343151">
      <w:pPr>
        <w:pStyle w:val="RKnormal"/>
        <w:rPr>
          <w:iCs/>
        </w:rPr>
      </w:pPr>
    </w:p>
    <w:p w:rsidR="00343151" w:rsidRPr="00332DD3" w:rsidRDefault="00343151" w:rsidP="00343151">
      <w:pPr>
        <w:pStyle w:val="RKnormal"/>
        <w:rPr>
          <w:i/>
          <w:iCs/>
        </w:rPr>
      </w:pPr>
      <w:r w:rsidRPr="00332DD3">
        <w:rPr>
          <w:i/>
          <w:iCs/>
        </w:rPr>
        <w:t>Förslag till svensk ståndpunkt</w:t>
      </w:r>
    </w:p>
    <w:p w:rsidR="00343151" w:rsidRPr="00332DD3" w:rsidRDefault="00343151" w:rsidP="00343151">
      <w:pPr>
        <w:pStyle w:val="RKnormal"/>
        <w:rPr>
          <w:i/>
          <w:iCs/>
        </w:rPr>
      </w:pPr>
    </w:p>
    <w:p w:rsidR="00343151" w:rsidRPr="00332DD3" w:rsidRDefault="00343151" w:rsidP="00343151">
      <w:pPr>
        <w:pStyle w:val="RKnormal"/>
        <w:rPr>
          <w:i/>
          <w:iCs/>
        </w:rPr>
      </w:pPr>
      <w:r w:rsidRPr="00332DD3">
        <w:rPr>
          <w:rFonts w:cs="OrigGarmnd BT"/>
          <w:color w:val="000000"/>
          <w:szCs w:val="24"/>
          <w:lang w:eastAsia="sv-SE"/>
        </w:rPr>
        <w:t>Förslaget har ännu inte analyserats då det publ</w:t>
      </w:r>
      <w:r w:rsidR="00B93020" w:rsidRPr="00332DD3">
        <w:rPr>
          <w:rFonts w:cs="OrigGarmnd BT"/>
          <w:color w:val="000000"/>
          <w:szCs w:val="24"/>
          <w:lang w:eastAsia="sv-SE"/>
        </w:rPr>
        <w:t xml:space="preserve">icerades den 1 december 2011. Regeringens </w:t>
      </w:r>
      <w:r w:rsidRPr="00332DD3">
        <w:rPr>
          <w:rFonts w:cs="OrigGarmnd BT"/>
          <w:color w:val="000000"/>
          <w:szCs w:val="24"/>
          <w:lang w:eastAsia="sv-SE"/>
        </w:rPr>
        <w:t xml:space="preserve">övergripande  </w:t>
      </w:r>
      <w:r w:rsidR="00B93020" w:rsidRPr="00332DD3">
        <w:rPr>
          <w:rFonts w:cs="OrigGarmnd BT"/>
          <w:color w:val="000000"/>
          <w:szCs w:val="24"/>
          <w:lang w:eastAsia="sv-SE"/>
        </w:rPr>
        <w:t xml:space="preserve">inställning </w:t>
      </w:r>
      <w:r w:rsidRPr="00332DD3">
        <w:rPr>
          <w:rFonts w:cs="OrigGarmnd BT"/>
          <w:color w:val="000000"/>
          <w:szCs w:val="24"/>
          <w:lang w:eastAsia="sv-SE"/>
        </w:rPr>
        <w:t>är att ekonomiskt stöd som är marknadsingripande eller kap</w:t>
      </w:r>
      <w:r w:rsidR="00B93020" w:rsidRPr="00332DD3">
        <w:rPr>
          <w:rFonts w:cs="OrigGarmnd BT"/>
          <w:color w:val="000000"/>
          <w:szCs w:val="24"/>
          <w:lang w:eastAsia="sv-SE"/>
        </w:rPr>
        <w:t xml:space="preserve">acitetsdrivande bör undvikas. Regeringen </w:t>
      </w:r>
      <w:r w:rsidRPr="00332DD3">
        <w:rPr>
          <w:rFonts w:cs="OrigGarmnd BT"/>
          <w:color w:val="000000"/>
          <w:szCs w:val="24"/>
          <w:lang w:eastAsia="sv-SE"/>
        </w:rPr>
        <w:t>anser generellt att eventuellt ekonomiskt stöd bör reserveras för sådana åtgärder som kan bidra till en långsiktigt hållbar resurspolitik på fis</w:t>
      </w:r>
      <w:r w:rsidR="00B93020" w:rsidRPr="00332DD3">
        <w:rPr>
          <w:rFonts w:cs="OrigGarmnd BT"/>
          <w:color w:val="000000"/>
          <w:szCs w:val="24"/>
          <w:lang w:eastAsia="sv-SE"/>
        </w:rPr>
        <w:t xml:space="preserve">kets område och därmed till vår vision om att </w:t>
      </w:r>
      <w:r w:rsidRPr="00332DD3">
        <w:rPr>
          <w:rFonts w:cs="OrigGarmnd BT"/>
          <w:color w:val="000000"/>
          <w:szCs w:val="24"/>
          <w:lang w:eastAsia="sv-SE"/>
        </w:rPr>
        <w:t>bruka utan att förbruka</w:t>
      </w:r>
      <w:r w:rsidR="00B93020" w:rsidRPr="00332DD3">
        <w:rPr>
          <w:rFonts w:cs="OrigGarmnd BT"/>
          <w:color w:val="000000"/>
          <w:szCs w:val="24"/>
          <w:lang w:eastAsia="sv-SE"/>
        </w:rPr>
        <w:t xml:space="preserve">. Det handlar exempelvis om </w:t>
      </w:r>
      <w:r w:rsidRPr="00332DD3">
        <w:rPr>
          <w:rFonts w:cs="OrigGarmnd BT"/>
          <w:color w:val="000000"/>
          <w:szCs w:val="24"/>
          <w:lang w:eastAsia="sv-SE"/>
        </w:rPr>
        <w:t>åtgärder för att främ</w:t>
      </w:r>
      <w:r w:rsidR="00B93020" w:rsidRPr="00332DD3">
        <w:rPr>
          <w:rFonts w:cs="OrigGarmnd BT"/>
          <w:color w:val="000000"/>
          <w:szCs w:val="24"/>
          <w:lang w:eastAsia="sv-SE"/>
        </w:rPr>
        <w:t>ja bevarande, fiskeriforskning, och fiskerikontroll</w:t>
      </w:r>
      <w:r w:rsidRPr="00332DD3">
        <w:rPr>
          <w:rFonts w:cs="OrigGarmnd BT"/>
          <w:color w:val="000000"/>
          <w:szCs w:val="24"/>
          <w:lang w:eastAsia="sv-SE"/>
        </w:rPr>
        <w:t>.</w:t>
      </w:r>
    </w:p>
    <w:p w:rsidR="00343151" w:rsidRPr="00332DD3" w:rsidRDefault="00343151" w:rsidP="00343151">
      <w:pPr>
        <w:pStyle w:val="RKnormal"/>
        <w:rPr>
          <w:i/>
          <w:iCs/>
        </w:rPr>
      </w:pPr>
    </w:p>
    <w:p w:rsidR="00343151" w:rsidRPr="00332DD3" w:rsidRDefault="00343151" w:rsidP="00343151">
      <w:pPr>
        <w:pStyle w:val="RKnormal"/>
        <w:rPr>
          <w:i/>
          <w:iCs/>
        </w:rPr>
      </w:pPr>
      <w:r w:rsidRPr="00332DD3">
        <w:rPr>
          <w:i/>
          <w:iCs/>
        </w:rPr>
        <w:t>EU-nämnden och MJU</w:t>
      </w:r>
    </w:p>
    <w:p w:rsidR="00343151" w:rsidRPr="00332DD3" w:rsidRDefault="00343151" w:rsidP="00343151">
      <w:pPr>
        <w:pStyle w:val="RKnormal"/>
        <w:rPr>
          <w:iCs/>
        </w:rPr>
      </w:pPr>
      <w:r w:rsidRPr="00332DD3">
        <w:rPr>
          <w:iCs/>
        </w:rPr>
        <w:t>Frågan har inte tidigare varit föremål för samråd med EU-nämnden eller information i MJU.</w:t>
      </w:r>
    </w:p>
    <w:p w:rsidR="00343151" w:rsidRPr="00332DD3" w:rsidRDefault="00343151" w:rsidP="00343151">
      <w:pPr>
        <w:pStyle w:val="RKnormal"/>
      </w:pPr>
    </w:p>
    <w:p w:rsidR="00797B8B" w:rsidRPr="00332DD3" w:rsidRDefault="00797B8B" w:rsidP="00797B8B">
      <w:pPr>
        <w:pStyle w:val="RKrubrik"/>
      </w:pPr>
      <w:r w:rsidRPr="00332DD3">
        <w:t>6. Genetiskt modifierade Organismer (GMO)</w:t>
      </w:r>
    </w:p>
    <w:p w:rsidR="00797B8B" w:rsidRPr="00332DD3" w:rsidRDefault="00797B8B" w:rsidP="00797B8B">
      <w:pPr>
        <w:pStyle w:val="RKrubrik"/>
      </w:pPr>
      <w:r w:rsidRPr="00332DD3">
        <w:t>(a) Förslag till rådets beslut om godkännande för utsläppande på marknaden av produkter som innehåller, består av eller har framställts av genetiskt modifierad bomull 281-24-236x3006-210-23 (DAS-24236-5xDAS-21Ø23-5) i enlighet med Europaparlamentets och rådets förordning (EG) nr 1829/2003</w:t>
      </w:r>
    </w:p>
    <w:p w:rsidR="00797B8B" w:rsidRPr="00332DD3" w:rsidRDefault="00797B8B" w:rsidP="00797B8B">
      <w:pPr>
        <w:tabs>
          <w:tab w:val="left" w:pos="1134"/>
          <w:tab w:val="right" w:leader="dot" w:pos="9639"/>
        </w:tabs>
        <w:spacing w:line="240" w:lineRule="auto"/>
        <w:ind w:left="851"/>
      </w:pPr>
    </w:p>
    <w:p w:rsidR="00797B8B" w:rsidRPr="00332DD3" w:rsidRDefault="00797B8B" w:rsidP="00797B8B">
      <w:pPr>
        <w:pStyle w:val="RKnormal"/>
        <w:rPr>
          <w:b/>
          <w:i/>
          <w:iCs/>
        </w:rPr>
      </w:pPr>
      <w:r w:rsidRPr="00332DD3">
        <w:rPr>
          <w:b/>
          <w:i/>
          <w:iCs/>
        </w:rPr>
        <w:t xml:space="preserve">- Antagande </w:t>
      </w:r>
    </w:p>
    <w:p w:rsidR="00797B8B" w:rsidRPr="00332DD3" w:rsidRDefault="00797B8B" w:rsidP="00797B8B">
      <w:pPr>
        <w:pStyle w:val="RKnormal"/>
        <w:rPr>
          <w:i/>
          <w:iCs/>
        </w:rPr>
      </w:pPr>
    </w:p>
    <w:p w:rsidR="00797B8B" w:rsidRPr="00332DD3" w:rsidRDefault="00797B8B" w:rsidP="00797B8B">
      <w:pPr>
        <w:pStyle w:val="RKnormal"/>
        <w:rPr>
          <w:i/>
          <w:iCs/>
        </w:rPr>
      </w:pPr>
      <w:r w:rsidRPr="00332DD3">
        <w:rPr>
          <w:i/>
          <w:iCs/>
        </w:rPr>
        <w:t>Dokumentbeteckning</w:t>
      </w:r>
    </w:p>
    <w:p w:rsidR="00797B8B" w:rsidRPr="00332DD3" w:rsidRDefault="00797B8B" w:rsidP="00797B8B">
      <w:pPr>
        <w:pStyle w:val="RKnormal"/>
        <w:rPr>
          <w:iCs/>
        </w:rPr>
      </w:pPr>
      <w:r w:rsidRPr="00332DD3">
        <w:rPr>
          <w:iCs/>
        </w:rPr>
        <w:t>17411/1/11 REV 1 AGRILEG 134 SEMENCES 18</w:t>
      </w:r>
    </w:p>
    <w:p w:rsidR="00797B8B" w:rsidRPr="00332DD3" w:rsidRDefault="00797B8B" w:rsidP="00797B8B">
      <w:pPr>
        <w:pStyle w:val="RKnormal"/>
        <w:rPr>
          <w:i/>
          <w:iCs/>
        </w:rPr>
      </w:pPr>
    </w:p>
    <w:p w:rsidR="00797B8B" w:rsidRPr="00332DD3" w:rsidRDefault="00797B8B" w:rsidP="00797B8B">
      <w:pPr>
        <w:pStyle w:val="RKnormal"/>
        <w:rPr>
          <w:i/>
          <w:iCs/>
        </w:rPr>
      </w:pPr>
      <w:r w:rsidRPr="00332DD3">
        <w:rPr>
          <w:i/>
          <w:iCs/>
        </w:rPr>
        <w:t>Rättslig grund</w:t>
      </w:r>
    </w:p>
    <w:p w:rsidR="00797B8B" w:rsidRPr="00332DD3" w:rsidRDefault="00797B8B" w:rsidP="00797B8B">
      <w:pPr>
        <w:pStyle w:val="RKnormal"/>
      </w:pPr>
      <w:r w:rsidRPr="00332DD3">
        <w:t>Europaparlamentets och rådets förordning (EG) nr 1829/2003 (särskilt artikel 35(2) om genetiskt modifierade livsmedel och foder särskilt artiklarna 7.3 och 19.3 och i direktiv 2001/18 artikel 30(2) och artikel 5 i rådets beslut 1998/468/EG som ändrats i rådets beslut 2006/512/EG. Beslut fattas genom kommittéförfarande (föreskrivande kommitté).</w:t>
      </w:r>
    </w:p>
    <w:p w:rsidR="00797B8B" w:rsidRPr="00332DD3" w:rsidRDefault="00797B8B" w:rsidP="00797B8B">
      <w:pPr>
        <w:pStyle w:val="RKnormal"/>
      </w:pPr>
    </w:p>
    <w:p w:rsidR="00797B8B" w:rsidRPr="00332DD3" w:rsidRDefault="00797B8B" w:rsidP="00797B8B">
      <w:pPr>
        <w:pStyle w:val="RKnormal"/>
      </w:pPr>
      <w:r w:rsidRPr="00332DD3">
        <w:t xml:space="preserve">Kommissionen ska förelägga kommittén ett förslag. Kommittén ska yttra sig över förslaget med kvalificerad majoritet. Kommissionen kan anta förslaget om det är förenligt med kommitténs yttrande. Om åtgärderna inte är förenliga med kommitténs yttrande eller om inget yttrande avges (kommittén kan varken stödja eller motsätta sig förslaget med kvalificerad majoritet) ska kommissionen överlämna förslaget till rådet. </w:t>
      </w:r>
    </w:p>
    <w:p w:rsidR="00797B8B" w:rsidRPr="00332DD3" w:rsidRDefault="00797B8B" w:rsidP="00797B8B">
      <w:pPr>
        <w:pStyle w:val="RKnormal"/>
      </w:pPr>
    </w:p>
    <w:p w:rsidR="00797B8B" w:rsidRPr="00332DD3" w:rsidRDefault="00797B8B" w:rsidP="00797B8B">
      <w:pPr>
        <w:pStyle w:val="RKnormal"/>
      </w:pPr>
      <w:r w:rsidRPr="00332DD3">
        <w:t>Då kommittén har överlämnat sitt förslag till rådet p.g.a. icke-beslut i kommittén kan rådet anta eller motsätta sig kommissionens förslag med kvalificerad majoritet. Detta ska ske inom tre månader annars får kommissionen själv anta sitt förslag. Om rådet motsätter sig förslaget ska kommissionen ompröva sitt förslag. Kommissionen får förelägga rådet ett ändrat förslag, åter lägga fram sitt förslag eller lägga fram ett lagstiftningsförslag.</w:t>
      </w:r>
    </w:p>
    <w:p w:rsidR="00797B8B" w:rsidRPr="00332DD3" w:rsidRDefault="00797B8B" w:rsidP="00797B8B">
      <w:pPr>
        <w:pStyle w:val="RKnormal"/>
      </w:pPr>
    </w:p>
    <w:p w:rsidR="00797B8B" w:rsidRPr="00332DD3" w:rsidRDefault="00797B8B" w:rsidP="00797B8B">
      <w:pPr>
        <w:pStyle w:val="RKnormal"/>
      </w:pPr>
      <w:r w:rsidRPr="00332DD3">
        <w:t xml:space="preserve">Eftersom ärendet varit uppe för omröstning i en föreskrivande kommitté före ikraftträdandet av Lissabonfördraget så fortsätter handläggningen av ärendet i enlighet med den då gällande hanteringen. Detta medför att ärendet kommer upp till omröstning på rådet. </w:t>
      </w:r>
    </w:p>
    <w:p w:rsidR="00797B8B" w:rsidRPr="00332DD3" w:rsidRDefault="00797B8B" w:rsidP="00797B8B">
      <w:pPr>
        <w:pStyle w:val="RKnormal"/>
      </w:pPr>
    </w:p>
    <w:p w:rsidR="00797B8B" w:rsidRPr="00332DD3" w:rsidRDefault="00797B8B" w:rsidP="00797B8B">
      <w:pPr>
        <w:pStyle w:val="RKnormal"/>
        <w:rPr>
          <w:lang w:eastAsia="sv-SE"/>
        </w:rPr>
      </w:pPr>
      <w:r w:rsidRPr="00332DD3">
        <w:rPr>
          <w:lang w:eastAsia="sv-SE"/>
        </w:rPr>
        <w:t xml:space="preserve">Den nya kommittologiförordningen som började gälla den första mars 2011 innebär att rådets roll i den här typen av ärenden kommer att övertas av en nyinrättad omprövningskommitté i kommissionen. </w:t>
      </w:r>
    </w:p>
    <w:p w:rsidR="00797B8B" w:rsidRPr="00332DD3" w:rsidRDefault="00797B8B" w:rsidP="00797B8B">
      <w:pPr>
        <w:pStyle w:val="RKnormal"/>
        <w:rPr>
          <w:i/>
          <w:iCs/>
        </w:rPr>
      </w:pPr>
    </w:p>
    <w:p w:rsidR="00797B8B" w:rsidRPr="00332DD3" w:rsidRDefault="00797B8B" w:rsidP="00797B8B">
      <w:pPr>
        <w:pStyle w:val="RKnormal"/>
        <w:rPr>
          <w:i/>
          <w:iCs/>
        </w:rPr>
      </w:pPr>
      <w:r w:rsidRPr="00332DD3">
        <w:rPr>
          <w:i/>
          <w:iCs/>
        </w:rPr>
        <w:t>Bakgrund</w:t>
      </w:r>
    </w:p>
    <w:p w:rsidR="00797B8B" w:rsidRPr="00332DD3" w:rsidRDefault="00797B8B" w:rsidP="00797B8B">
      <w:pPr>
        <w:pStyle w:val="RKnormal"/>
        <w:rPr>
          <w:iCs/>
        </w:rPr>
      </w:pPr>
      <w:r w:rsidRPr="00332DD3">
        <w:rPr>
          <w:iCs/>
        </w:rPr>
        <w:t xml:space="preserve">Företaget </w:t>
      </w:r>
      <w:r w:rsidRPr="00332DD3">
        <w:t>Dow AgroScenice</w:t>
      </w:r>
      <w:r w:rsidRPr="00332DD3">
        <w:rPr>
          <w:iCs/>
        </w:rPr>
        <w:t xml:space="preserve"> har ansökt om tillstånd för att släppa ut den genetiskt modifierade bomullen </w:t>
      </w:r>
      <w:r w:rsidRPr="00332DD3">
        <w:t xml:space="preserve">DAS-24236-5xDAS-21Ø23-5 </w:t>
      </w:r>
      <w:r w:rsidRPr="00332DD3">
        <w:rPr>
          <w:iCs/>
        </w:rPr>
        <w:t>på marknaden. Ansökan gäller användning i livsmedel och foder och för import och bearbetning. Bomullen är genetiskt modifierad för att vara tolerant mot ogräsmedlet glufonsinatammonium och resistent mot vissa skadeinsekter.</w:t>
      </w:r>
    </w:p>
    <w:p w:rsidR="00797B8B" w:rsidRPr="00332DD3" w:rsidRDefault="00797B8B" w:rsidP="00797B8B">
      <w:pPr>
        <w:pStyle w:val="RKnormal"/>
        <w:rPr>
          <w:iCs/>
        </w:rPr>
      </w:pPr>
    </w:p>
    <w:p w:rsidR="00797B8B" w:rsidRPr="00332DD3" w:rsidRDefault="00797B8B" w:rsidP="00797B8B">
      <w:pPr>
        <w:pStyle w:val="RKnormal"/>
        <w:rPr>
          <w:iCs/>
        </w:rPr>
      </w:pPr>
      <w:r w:rsidRPr="00332DD3">
        <w:rPr>
          <w:iCs/>
        </w:rPr>
        <w:t>Europeiska myndigheten för livsmedelssäkerhet (EFSA) har yttrat sig om den genetiskt modifierade bomullen</w:t>
      </w:r>
      <w:r w:rsidRPr="00332DD3">
        <w:t>. EFSA</w:t>
      </w:r>
      <w:r w:rsidRPr="00332DD3">
        <w:rPr>
          <w:iCs/>
        </w:rPr>
        <w:t xml:space="preserve"> bedömer att den är lika säker för människa, djur och miljö som vanlig majs. Livsmedelsverket och Statens jordbruksverk delar EFSA:s bedömning.</w:t>
      </w:r>
    </w:p>
    <w:p w:rsidR="00797B8B" w:rsidRPr="00332DD3" w:rsidRDefault="00797B8B" w:rsidP="00797B8B">
      <w:pPr>
        <w:pStyle w:val="RKnormal"/>
        <w:rPr>
          <w:iCs/>
        </w:rPr>
      </w:pPr>
    </w:p>
    <w:p w:rsidR="00797B8B" w:rsidRPr="00332DD3" w:rsidRDefault="00797B8B" w:rsidP="00797B8B">
      <w:pPr>
        <w:pStyle w:val="RKnormal"/>
        <w:rPr>
          <w:iCs/>
        </w:rPr>
      </w:pPr>
      <w:r w:rsidRPr="00332DD3">
        <w:rPr>
          <w:iCs/>
        </w:rPr>
        <w:t xml:space="preserve">Kommissionen har lagt fram förslaget för beslut i Ständiga kommittén för livsmedelskedjan och djurhälsa (SKLD). Vid omröstningen kunde kommittén inte avge ett yttrande med kvalificerad majoritet varken för eller emot kommissionens förslag. </w:t>
      </w:r>
      <w:r w:rsidRPr="00332DD3">
        <w:t xml:space="preserve">Eftersom ärendet varit uppe för omröstning i föreskrivande kommitté före ikraftträdandet av Lissabonfördraget så fortsätter handläggningen av ärendet i enlighet med då gällande hantering. </w:t>
      </w:r>
      <w:r w:rsidRPr="00332DD3">
        <w:rPr>
          <w:iCs/>
        </w:rPr>
        <w:t>Förslaget underställs därför Jordbruks- och fiskerådet för beslut.</w:t>
      </w:r>
    </w:p>
    <w:p w:rsidR="00797B8B" w:rsidRPr="00332DD3" w:rsidRDefault="00797B8B" w:rsidP="00797B8B">
      <w:pPr>
        <w:pStyle w:val="RKnormal"/>
        <w:rPr>
          <w:iCs/>
        </w:rPr>
      </w:pPr>
    </w:p>
    <w:p w:rsidR="00797B8B" w:rsidRPr="00332DD3" w:rsidRDefault="00797B8B" w:rsidP="00797B8B">
      <w:pPr>
        <w:pStyle w:val="RKnormal"/>
        <w:rPr>
          <w:i/>
          <w:iCs/>
        </w:rPr>
      </w:pPr>
      <w:r w:rsidRPr="00332DD3">
        <w:rPr>
          <w:i/>
          <w:iCs/>
        </w:rPr>
        <w:t>Förslag till svensk ståndpunkt</w:t>
      </w:r>
    </w:p>
    <w:p w:rsidR="00797B8B" w:rsidRPr="00332DD3" w:rsidRDefault="00797B8B" w:rsidP="00797B8B">
      <w:pPr>
        <w:pStyle w:val="RKnormal"/>
      </w:pPr>
      <w:r w:rsidRPr="00332DD3">
        <w:t>Regeringen anser att Sverige ska rösta för ett godkännande</w:t>
      </w:r>
      <w:r w:rsidRPr="00332DD3">
        <w:rPr>
          <w:b/>
        </w:rPr>
        <w:t xml:space="preserve"> </w:t>
      </w:r>
      <w:r w:rsidRPr="00332DD3">
        <w:t>av produkter framställda av den genetiskt modifierade bomullen DAS-24236-5xDAS-21Ø23-5</w:t>
      </w:r>
      <w:r w:rsidRPr="00332DD3">
        <w:rPr>
          <w:b/>
        </w:rPr>
        <w:t xml:space="preserve"> </w:t>
      </w:r>
      <w:r w:rsidRPr="00332DD3">
        <w:t xml:space="preserve">eftersom den bedömts som lika säker </w:t>
      </w:r>
      <w:r w:rsidRPr="00332DD3">
        <w:rPr>
          <w:iCs/>
        </w:rPr>
        <w:t>för människa, djur och miljö som sin konventionella motsvarighet.</w:t>
      </w:r>
    </w:p>
    <w:p w:rsidR="00797B8B" w:rsidRPr="00332DD3" w:rsidRDefault="00797B8B" w:rsidP="00797B8B">
      <w:pPr>
        <w:pStyle w:val="RKnormal"/>
        <w:rPr>
          <w:i/>
          <w:iCs/>
        </w:rPr>
      </w:pPr>
    </w:p>
    <w:p w:rsidR="00797B8B" w:rsidRPr="00332DD3" w:rsidRDefault="00797B8B" w:rsidP="00797B8B">
      <w:pPr>
        <w:pStyle w:val="RKnormal"/>
        <w:rPr>
          <w:i/>
          <w:iCs/>
        </w:rPr>
      </w:pPr>
      <w:r w:rsidRPr="00332DD3">
        <w:rPr>
          <w:i/>
          <w:iCs/>
        </w:rPr>
        <w:t>EU-nämnden och MJU</w:t>
      </w:r>
    </w:p>
    <w:p w:rsidR="00797B8B" w:rsidRPr="00332DD3" w:rsidRDefault="00797B8B" w:rsidP="00797B8B">
      <w:pPr>
        <w:pStyle w:val="RKnormal"/>
      </w:pPr>
      <w:r w:rsidRPr="00332DD3">
        <w:t>Frågan har inte tidigare varit föremål för samråd med EU-nämnden eller information i MJU.</w:t>
      </w:r>
    </w:p>
    <w:p w:rsidR="00797B8B" w:rsidRPr="00332DD3" w:rsidRDefault="00797B8B" w:rsidP="00797B8B">
      <w:pPr>
        <w:spacing w:line="240" w:lineRule="auto"/>
      </w:pPr>
    </w:p>
    <w:p w:rsidR="00797B8B" w:rsidRPr="00332DD3" w:rsidRDefault="00797B8B" w:rsidP="00797B8B">
      <w:pPr>
        <w:pStyle w:val="RKrubrik"/>
      </w:pPr>
      <w:r w:rsidRPr="00332DD3">
        <w:t>(b)Förslag till rådets beslut om godkännande för utsläppande på marknaden av produkter som innehåller, består av eller har framställts av den genetiskt modifierade majsen Bt11xMIR604xGA21 (SYN-BTØ11-1xSYN-IR6Ø4-5xMON-ØØØ21-9) enligt Europaparlamentets och rådets förordning (EG) nr 1829/2003</w:t>
      </w:r>
    </w:p>
    <w:p w:rsidR="00797B8B" w:rsidRPr="00332DD3" w:rsidRDefault="00797B8B" w:rsidP="00797B8B">
      <w:pPr>
        <w:pStyle w:val="RKnormal"/>
        <w:rPr>
          <w:b/>
          <w:i/>
          <w:iCs/>
        </w:rPr>
      </w:pPr>
      <w:r w:rsidRPr="00332DD3">
        <w:rPr>
          <w:b/>
          <w:i/>
          <w:iCs/>
        </w:rPr>
        <w:t xml:space="preserve">- Antagande </w:t>
      </w:r>
    </w:p>
    <w:p w:rsidR="00797B8B" w:rsidRPr="00332DD3" w:rsidRDefault="00797B8B" w:rsidP="00797B8B">
      <w:pPr>
        <w:pStyle w:val="RKnormal"/>
        <w:rPr>
          <w:i/>
          <w:iCs/>
        </w:rPr>
      </w:pPr>
    </w:p>
    <w:p w:rsidR="00797B8B" w:rsidRPr="00332DD3" w:rsidRDefault="00797B8B" w:rsidP="00797B8B">
      <w:pPr>
        <w:pStyle w:val="RKnormal"/>
        <w:rPr>
          <w:i/>
          <w:iCs/>
        </w:rPr>
      </w:pPr>
      <w:r w:rsidRPr="00332DD3">
        <w:rPr>
          <w:i/>
          <w:iCs/>
        </w:rPr>
        <w:t>Dokumentbeteckning</w:t>
      </w:r>
    </w:p>
    <w:p w:rsidR="00797B8B" w:rsidRPr="00332DD3" w:rsidRDefault="00797B8B" w:rsidP="00797B8B">
      <w:pPr>
        <w:pStyle w:val="RKnormal"/>
      </w:pPr>
      <w:r w:rsidRPr="00332DD3">
        <w:t>17412/1/11 REV 1 AGRILEG 134 SEMENCES 18</w:t>
      </w:r>
    </w:p>
    <w:p w:rsidR="00797B8B" w:rsidRPr="00332DD3" w:rsidRDefault="00797B8B" w:rsidP="00797B8B">
      <w:pPr>
        <w:pStyle w:val="RKnormal"/>
        <w:rPr>
          <w:i/>
          <w:iCs/>
        </w:rPr>
      </w:pPr>
    </w:p>
    <w:p w:rsidR="00797B8B" w:rsidRPr="00332DD3" w:rsidRDefault="00797B8B" w:rsidP="00797B8B">
      <w:pPr>
        <w:pStyle w:val="RKnormal"/>
        <w:rPr>
          <w:i/>
          <w:iCs/>
        </w:rPr>
      </w:pPr>
      <w:r w:rsidRPr="00332DD3">
        <w:rPr>
          <w:i/>
          <w:iCs/>
        </w:rPr>
        <w:t>Rättslig grund</w:t>
      </w:r>
    </w:p>
    <w:p w:rsidR="00797B8B" w:rsidRPr="00332DD3" w:rsidRDefault="00797B8B" w:rsidP="00797B8B">
      <w:pPr>
        <w:pStyle w:val="RKnormal"/>
        <w:rPr>
          <w:lang w:eastAsia="sv-SE"/>
        </w:rPr>
      </w:pPr>
      <w:r w:rsidRPr="00332DD3">
        <w:t xml:space="preserve">Samma som i punkt 6 a. </w:t>
      </w:r>
    </w:p>
    <w:p w:rsidR="00797B8B" w:rsidRPr="00332DD3" w:rsidRDefault="00797B8B" w:rsidP="00797B8B">
      <w:pPr>
        <w:pStyle w:val="RKnormal"/>
        <w:rPr>
          <w:i/>
          <w:iCs/>
        </w:rPr>
      </w:pPr>
    </w:p>
    <w:p w:rsidR="00797B8B" w:rsidRPr="00332DD3" w:rsidRDefault="00797B8B" w:rsidP="00797B8B">
      <w:pPr>
        <w:pStyle w:val="RKnormal"/>
        <w:rPr>
          <w:i/>
          <w:iCs/>
        </w:rPr>
      </w:pPr>
      <w:r w:rsidRPr="00332DD3">
        <w:rPr>
          <w:i/>
          <w:iCs/>
        </w:rPr>
        <w:t>Bakgrund</w:t>
      </w:r>
    </w:p>
    <w:p w:rsidR="00797B8B" w:rsidRPr="00332DD3" w:rsidRDefault="00797B8B" w:rsidP="00797B8B">
      <w:pPr>
        <w:pStyle w:val="RKnormal"/>
        <w:rPr>
          <w:iCs/>
        </w:rPr>
      </w:pPr>
      <w:r w:rsidRPr="00332DD3">
        <w:rPr>
          <w:iCs/>
        </w:rPr>
        <w:t xml:space="preserve">Företaget </w:t>
      </w:r>
      <w:r w:rsidRPr="00332DD3">
        <w:t>Syngenta</w:t>
      </w:r>
      <w:r w:rsidRPr="00332DD3">
        <w:rPr>
          <w:iCs/>
        </w:rPr>
        <w:t xml:space="preserve"> har ansökt om tillstånd för att släppa ut den genetiskt modifierade majsen </w:t>
      </w:r>
      <w:r w:rsidRPr="00332DD3">
        <w:t xml:space="preserve">SYN-BTØ11-1xSYN-IR6Ø4-5xMON-ØØØ21-9 </w:t>
      </w:r>
      <w:r w:rsidRPr="00332DD3">
        <w:rPr>
          <w:iCs/>
        </w:rPr>
        <w:t>på marknaden. Ansökan gäller användning i livsmedel och foder och för import och bearbetning. Majsen är genetiskt modifierad för att vara tolerant mot ogräsmedlen glyfosat och glufonsinatammonium samt resistent mot vissa skadeinsekter.</w:t>
      </w:r>
    </w:p>
    <w:p w:rsidR="00797B8B" w:rsidRPr="00332DD3" w:rsidRDefault="00797B8B" w:rsidP="00797B8B">
      <w:pPr>
        <w:pStyle w:val="RKnormal"/>
        <w:rPr>
          <w:iCs/>
        </w:rPr>
      </w:pPr>
    </w:p>
    <w:p w:rsidR="00797B8B" w:rsidRPr="00332DD3" w:rsidRDefault="00797B8B" w:rsidP="00797B8B">
      <w:pPr>
        <w:pStyle w:val="RKnormal"/>
        <w:rPr>
          <w:iCs/>
        </w:rPr>
      </w:pPr>
      <w:r w:rsidRPr="00332DD3">
        <w:rPr>
          <w:iCs/>
        </w:rPr>
        <w:t>Europeiska myndigheten för livsmedelssäkerhet (EFSA) har yttrat sig om den genetiskt modifierade majsen</w:t>
      </w:r>
      <w:r w:rsidRPr="00332DD3">
        <w:t>. EFSA</w:t>
      </w:r>
      <w:r w:rsidRPr="00332DD3">
        <w:rPr>
          <w:iCs/>
        </w:rPr>
        <w:t xml:space="preserve"> bedömer att den är lika säker för människa, djur och miljö som vanlig majs. Livsmedelsverket och Statens jordbruksverk delar EFSA:s bedömning.</w:t>
      </w:r>
    </w:p>
    <w:p w:rsidR="00797B8B" w:rsidRPr="00332DD3" w:rsidRDefault="00797B8B" w:rsidP="00797B8B">
      <w:pPr>
        <w:pStyle w:val="RKnormal"/>
        <w:rPr>
          <w:iCs/>
        </w:rPr>
      </w:pPr>
    </w:p>
    <w:p w:rsidR="00797B8B" w:rsidRPr="00332DD3" w:rsidRDefault="00797B8B" w:rsidP="00797B8B">
      <w:pPr>
        <w:pStyle w:val="RKnormal"/>
        <w:rPr>
          <w:iCs/>
        </w:rPr>
      </w:pPr>
      <w:r w:rsidRPr="00332DD3">
        <w:rPr>
          <w:iCs/>
        </w:rPr>
        <w:t xml:space="preserve">Kommissionen har lagt fram förslaget för beslut i Ständiga kommittén för livsmedelskedjan och djurhälsa (SKLD). Vid omröstningen kunde kommittén inte avge ett yttrande med kvalificerad majoritet varken för eller emot kommissionens förslag. </w:t>
      </w:r>
      <w:r w:rsidRPr="00332DD3">
        <w:t xml:space="preserve">Eftersom ärendet varit uppe för omröstning i föreskrivande kommitté före ikraftträdandet av Lissabonfördraget så fortsätter handläggningen av ärendet i enlighet med då gällande hantering. </w:t>
      </w:r>
      <w:r w:rsidRPr="00332DD3">
        <w:rPr>
          <w:iCs/>
        </w:rPr>
        <w:t>Förslaget underställs därför Jordbruks- och fiskerådet för beslut.</w:t>
      </w:r>
    </w:p>
    <w:p w:rsidR="00797B8B" w:rsidRPr="00332DD3" w:rsidRDefault="00797B8B" w:rsidP="00797B8B">
      <w:pPr>
        <w:pStyle w:val="RKnormal"/>
        <w:rPr>
          <w:i/>
          <w:iCs/>
        </w:rPr>
      </w:pPr>
    </w:p>
    <w:p w:rsidR="00797B8B" w:rsidRPr="00332DD3" w:rsidRDefault="00797B8B" w:rsidP="00797B8B">
      <w:pPr>
        <w:pStyle w:val="RKnormal"/>
        <w:rPr>
          <w:i/>
          <w:iCs/>
        </w:rPr>
      </w:pPr>
      <w:r w:rsidRPr="00332DD3">
        <w:rPr>
          <w:i/>
          <w:iCs/>
        </w:rPr>
        <w:t>Förslag till svensk ståndpunkt</w:t>
      </w:r>
    </w:p>
    <w:p w:rsidR="00797B8B" w:rsidRPr="00332DD3" w:rsidRDefault="00797B8B" w:rsidP="00797B8B">
      <w:pPr>
        <w:pStyle w:val="RKnormal"/>
        <w:rPr>
          <w:i/>
          <w:iCs/>
        </w:rPr>
      </w:pPr>
      <w:r w:rsidRPr="00332DD3">
        <w:t>Regeringen anser att Sverige ska rösta för ett godkännande</w:t>
      </w:r>
      <w:r w:rsidRPr="00332DD3">
        <w:rPr>
          <w:b/>
        </w:rPr>
        <w:t xml:space="preserve"> </w:t>
      </w:r>
      <w:r w:rsidRPr="00332DD3">
        <w:t xml:space="preserve">av produkter framställda av den genetiskt modifierade majsen SYN-BTØ11-1xSYN-IR6Ø4-5xMON-ØØØ21-9 </w:t>
      </w:r>
      <w:r w:rsidRPr="00332DD3">
        <w:rPr>
          <w:b/>
        </w:rPr>
        <w:t xml:space="preserve"> </w:t>
      </w:r>
      <w:r w:rsidRPr="00332DD3">
        <w:t xml:space="preserve">eftersom den bedömts som lika säker </w:t>
      </w:r>
      <w:r w:rsidRPr="00332DD3">
        <w:rPr>
          <w:iCs/>
        </w:rPr>
        <w:t>för människa, djur och miljö som sin konventionella motsvarighet.</w:t>
      </w:r>
    </w:p>
    <w:p w:rsidR="00797B8B" w:rsidRPr="00332DD3" w:rsidRDefault="00797B8B" w:rsidP="00797B8B">
      <w:pPr>
        <w:pStyle w:val="RKnormal"/>
        <w:rPr>
          <w:i/>
          <w:iCs/>
        </w:rPr>
      </w:pPr>
    </w:p>
    <w:p w:rsidR="00797B8B" w:rsidRPr="00332DD3" w:rsidRDefault="00797B8B" w:rsidP="00797B8B">
      <w:pPr>
        <w:pStyle w:val="RKnormal"/>
        <w:rPr>
          <w:i/>
          <w:iCs/>
        </w:rPr>
      </w:pPr>
      <w:r w:rsidRPr="00332DD3">
        <w:rPr>
          <w:i/>
          <w:iCs/>
        </w:rPr>
        <w:t>EU-nämnden och MJU</w:t>
      </w:r>
    </w:p>
    <w:p w:rsidR="00797B8B" w:rsidRPr="00332DD3" w:rsidRDefault="00797B8B" w:rsidP="00797B8B">
      <w:pPr>
        <w:pStyle w:val="RKnormal"/>
      </w:pPr>
      <w:r w:rsidRPr="00332DD3">
        <w:t>Frågan har inte tidigare varit föremål för samråd med EU-nämnden eller information i MJU.</w:t>
      </w:r>
    </w:p>
    <w:p w:rsidR="00797B8B" w:rsidRPr="00332DD3" w:rsidRDefault="00797B8B" w:rsidP="00797B8B">
      <w:pPr>
        <w:spacing w:line="240" w:lineRule="auto"/>
      </w:pPr>
    </w:p>
    <w:p w:rsidR="00797B8B" w:rsidRPr="00332DD3" w:rsidRDefault="00797B8B" w:rsidP="00797B8B">
      <w:pPr>
        <w:pStyle w:val="RKrubrik"/>
      </w:pPr>
      <w:r w:rsidRPr="00332DD3">
        <w:t xml:space="preserve">(c) Förslag till rådets beslut om godkännande för utsläppande på marknaden av produkter som innehåller, består av eller har framställts av den genetiskt modifierade majsen MIR604xGA21 (SYN-IR6Ø4-5xMON-ØØØ21-9) i enlighet med Europaparlamentets och rådets förordning (EG) nr 1829/2003 </w:t>
      </w:r>
    </w:p>
    <w:p w:rsidR="00797B8B" w:rsidRPr="00332DD3" w:rsidRDefault="00797B8B" w:rsidP="00797B8B">
      <w:pPr>
        <w:pStyle w:val="RKnormal"/>
        <w:rPr>
          <w:b/>
          <w:i/>
          <w:iCs/>
        </w:rPr>
      </w:pPr>
      <w:r w:rsidRPr="00332DD3">
        <w:rPr>
          <w:b/>
          <w:i/>
          <w:iCs/>
        </w:rPr>
        <w:t xml:space="preserve">- Antagande </w:t>
      </w:r>
    </w:p>
    <w:p w:rsidR="00797B8B" w:rsidRPr="00332DD3" w:rsidRDefault="00797B8B" w:rsidP="00797B8B">
      <w:pPr>
        <w:pStyle w:val="RKnormal"/>
        <w:rPr>
          <w:i/>
          <w:iCs/>
        </w:rPr>
      </w:pPr>
    </w:p>
    <w:p w:rsidR="00797B8B" w:rsidRPr="00332DD3" w:rsidRDefault="00797B8B" w:rsidP="00797B8B">
      <w:pPr>
        <w:pStyle w:val="RKnormal"/>
        <w:rPr>
          <w:i/>
          <w:iCs/>
        </w:rPr>
      </w:pPr>
      <w:r w:rsidRPr="00332DD3">
        <w:rPr>
          <w:i/>
          <w:iCs/>
        </w:rPr>
        <w:t>Dokumentbeteckning</w:t>
      </w:r>
    </w:p>
    <w:p w:rsidR="00797B8B" w:rsidRPr="00332DD3" w:rsidRDefault="00797B8B" w:rsidP="00797B8B">
      <w:r w:rsidRPr="00332DD3">
        <w:t>17413/1/11 REV 1 AGRILEG 134 SEMENCES 18</w:t>
      </w:r>
    </w:p>
    <w:p w:rsidR="00797B8B" w:rsidRPr="00332DD3" w:rsidRDefault="00797B8B" w:rsidP="00797B8B"/>
    <w:p w:rsidR="00797B8B" w:rsidRPr="00332DD3" w:rsidRDefault="00797B8B" w:rsidP="00797B8B">
      <w:pPr>
        <w:pStyle w:val="RKnormal"/>
        <w:rPr>
          <w:i/>
          <w:iCs/>
        </w:rPr>
      </w:pPr>
      <w:r w:rsidRPr="00332DD3">
        <w:rPr>
          <w:i/>
          <w:iCs/>
        </w:rPr>
        <w:t>Rättslig grund</w:t>
      </w:r>
    </w:p>
    <w:p w:rsidR="00797B8B" w:rsidRPr="00332DD3" w:rsidRDefault="00797B8B" w:rsidP="00797B8B">
      <w:pPr>
        <w:pStyle w:val="RKnormal"/>
      </w:pPr>
      <w:r w:rsidRPr="00332DD3">
        <w:t>Samma som i punkt 6a</w:t>
      </w:r>
    </w:p>
    <w:p w:rsidR="00797B8B" w:rsidRPr="00332DD3" w:rsidRDefault="00797B8B" w:rsidP="00797B8B">
      <w:pPr>
        <w:tabs>
          <w:tab w:val="left" w:pos="851"/>
        </w:tabs>
        <w:spacing w:line="240" w:lineRule="auto"/>
        <w:ind w:left="851"/>
      </w:pPr>
    </w:p>
    <w:p w:rsidR="00797B8B" w:rsidRPr="00332DD3" w:rsidRDefault="00797B8B" w:rsidP="00797B8B">
      <w:pPr>
        <w:pStyle w:val="RKnormal"/>
        <w:rPr>
          <w:i/>
          <w:iCs/>
        </w:rPr>
      </w:pPr>
      <w:r w:rsidRPr="00332DD3">
        <w:rPr>
          <w:i/>
          <w:iCs/>
        </w:rPr>
        <w:t>Bakgrund</w:t>
      </w:r>
    </w:p>
    <w:p w:rsidR="00797B8B" w:rsidRPr="00332DD3" w:rsidRDefault="00797B8B" w:rsidP="00797B8B">
      <w:pPr>
        <w:pStyle w:val="RKnormal"/>
        <w:rPr>
          <w:iCs/>
        </w:rPr>
      </w:pPr>
      <w:r w:rsidRPr="00332DD3">
        <w:rPr>
          <w:iCs/>
        </w:rPr>
        <w:t xml:space="preserve">Företaget </w:t>
      </w:r>
      <w:r w:rsidRPr="00332DD3">
        <w:t>Syngenta</w:t>
      </w:r>
      <w:r w:rsidRPr="00332DD3">
        <w:rPr>
          <w:iCs/>
        </w:rPr>
        <w:t xml:space="preserve"> har ansökt om tillstånd för att släppa ut den genetiskt modifierade majsen </w:t>
      </w:r>
      <w:r w:rsidRPr="00332DD3">
        <w:t xml:space="preserve">SYN-IR6Ø4-5xMON-ØØØ21-9 </w:t>
      </w:r>
      <w:r w:rsidRPr="00332DD3">
        <w:rPr>
          <w:iCs/>
        </w:rPr>
        <w:t>på marknaden. Ansökan gäller användning i livsmedel och foder och för import och bearbetning. Majsen är genetiskt modifierad för att vara tolerant mot ogräsmedlet glyfosat och resistent mot vissa skadeinsekter.</w:t>
      </w:r>
    </w:p>
    <w:p w:rsidR="00797B8B" w:rsidRPr="00332DD3" w:rsidRDefault="00797B8B" w:rsidP="00797B8B">
      <w:pPr>
        <w:pStyle w:val="RKnormal"/>
        <w:rPr>
          <w:iCs/>
        </w:rPr>
      </w:pPr>
    </w:p>
    <w:p w:rsidR="00797B8B" w:rsidRPr="00332DD3" w:rsidRDefault="00797B8B" w:rsidP="00797B8B">
      <w:pPr>
        <w:pStyle w:val="RKnormal"/>
        <w:rPr>
          <w:iCs/>
        </w:rPr>
      </w:pPr>
      <w:r w:rsidRPr="00332DD3">
        <w:rPr>
          <w:iCs/>
        </w:rPr>
        <w:t>Europeiska myndigheten för livsmedelssäkerhet (EFSA) har yttrat sig om den genetiskt modifierade majsen</w:t>
      </w:r>
      <w:r w:rsidRPr="00332DD3">
        <w:t>. EFSA</w:t>
      </w:r>
      <w:r w:rsidRPr="00332DD3">
        <w:rPr>
          <w:iCs/>
        </w:rPr>
        <w:t xml:space="preserve"> bedömer att den är lika säker för människa, djur och miljö som vanlig majs. Livsmedelsverket och Statens jordbruksverk delar EFSA:s bedömning.</w:t>
      </w:r>
    </w:p>
    <w:p w:rsidR="00797B8B" w:rsidRPr="00332DD3" w:rsidRDefault="00797B8B" w:rsidP="00797B8B">
      <w:pPr>
        <w:pStyle w:val="RKnormal"/>
        <w:rPr>
          <w:iCs/>
        </w:rPr>
      </w:pPr>
    </w:p>
    <w:p w:rsidR="00797B8B" w:rsidRPr="00332DD3" w:rsidRDefault="00797B8B" w:rsidP="00797B8B">
      <w:pPr>
        <w:pStyle w:val="RKnormal"/>
        <w:rPr>
          <w:iCs/>
        </w:rPr>
      </w:pPr>
      <w:r w:rsidRPr="00332DD3">
        <w:rPr>
          <w:iCs/>
        </w:rPr>
        <w:t xml:space="preserve">Kommissionen har lagt fram förslaget för beslut i Ständiga kommittén för livsmedelskedjan och djurhälsa (SKLD). Vid omröstningen kunde kommittén inte avge ett yttrande med kvalificerad majoritet varken för eller emot kommissionens förslag. </w:t>
      </w:r>
      <w:r w:rsidRPr="00332DD3">
        <w:t xml:space="preserve">Eftersom ärendet varit uppe för omröstning i föreskrivande kommitté före ikraftträdandet av Lissabonfördraget så fortsätter handläggningen av ärendet i enlighet med då gällande hantering. </w:t>
      </w:r>
      <w:r w:rsidRPr="00332DD3">
        <w:rPr>
          <w:iCs/>
        </w:rPr>
        <w:t>Förslaget underställs därför Jordbruks- och fiskerådet för beslut.</w:t>
      </w:r>
    </w:p>
    <w:p w:rsidR="00797B8B" w:rsidRPr="00332DD3" w:rsidRDefault="00797B8B" w:rsidP="00797B8B">
      <w:pPr>
        <w:pStyle w:val="RKnormal"/>
      </w:pPr>
    </w:p>
    <w:p w:rsidR="00797B8B" w:rsidRPr="00332DD3" w:rsidRDefault="00797B8B" w:rsidP="00797B8B">
      <w:pPr>
        <w:pStyle w:val="RKnormal"/>
        <w:rPr>
          <w:i/>
          <w:iCs/>
        </w:rPr>
      </w:pPr>
      <w:r w:rsidRPr="00332DD3">
        <w:rPr>
          <w:i/>
          <w:iCs/>
        </w:rPr>
        <w:t>Förslag till svensk ståndpunkt</w:t>
      </w:r>
    </w:p>
    <w:p w:rsidR="00797B8B" w:rsidRPr="00332DD3" w:rsidRDefault="00797B8B" w:rsidP="00797B8B">
      <w:pPr>
        <w:pStyle w:val="RKnormal"/>
      </w:pPr>
      <w:r w:rsidRPr="00332DD3">
        <w:t>Regeringen anser att Sverige ska rösta för ett godkännande</w:t>
      </w:r>
      <w:r w:rsidRPr="00332DD3">
        <w:rPr>
          <w:b/>
        </w:rPr>
        <w:t xml:space="preserve"> </w:t>
      </w:r>
      <w:r w:rsidRPr="00332DD3">
        <w:t>av produkter framställda av den genetiskt modifierade majsen SYN-IR6Ø4-5xMON-ØØØ21-9</w:t>
      </w:r>
      <w:r w:rsidRPr="00332DD3">
        <w:rPr>
          <w:b/>
        </w:rPr>
        <w:t xml:space="preserve"> </w:t>
      </w:r>
      <w:r w:rsidRPr="00332DD3">
        <w:t xml:space="preserve">eftersom den bedömts som lika säker </w:t>
      </w:r>
      <w:r w:rsidRPr="00332DD3">
        <w:rPr>
          <w:iCs/>
        </w:rPr>
        <w:t>för människa, djur och miljö som sin konventionella motsvarighet.</w:t>
      </w:r>
    </w:p>
    <w:p w:rsidR="00797B8B" w:rsidRPr="00332DD3" w:rsidRDefault="00797B8B" w:rsidP="00797B8B">
      <w:pPr>
        <w:pStyle w:val="RKnormal"/>
        <w:rPr>
          <w:i/>
          <w:iCs/>
        </w:rPr>
      </w:pPr>
    </w:p>
    <w:p w:rsidR="00797B8B" w:rsidRPr="00332DD3" w:rsidRDefault="00797B8B" w:rsidP="00797B8B">
      <w:pPr>
        <w:pStyle w:val="RKnormal"/>
        <w:rPr>
          <w:i/>
          <w:iCs/>
        </w:rPr>
      </w:pPr>
      <w:r w:rsidRPr="00332DD3">
        <w:rPr>
          <w:i/>
          <w:iCs/>
        </w:rPr>
        <w:t>EU-nämnden och MJU</w:t>
      </w:r>
    </w:p>
    <w:p w:rsidR="00797B8B" w:rsidRPr="00332DD3" w:rsidRDefault="00797B8B" w:rsidP="00797B8B">
      <w:pPr>
        <w:pStyle w:val="RKnormal"/>
      </w:pPr>
      <w:r w:rsidRPr="00332DD3">
        <w:t>Frågan har inte tidigare varit föremål för samråd med EU-nämnden eller information i MJU</w:t>
      </w:r>
    </w:p>
    <w:p w:rsidR="00797B8B" w:rsidRPr="00332DD3" w:rsidRDefault="00797B8B" w:rsidP="00797B8B">
      <w:pPr>
        <w:pStyle w:val="RKrubrik"/>
      </w:pPr>
      <w:r w:rsidRPr="00332DD3">
        <w:t xml:space="preserve"> (d) Förslag till rådets beslut om godkännande för utsläppande på marknaden av produkter som innehåller, består av eller har framställts av den genetiskt modifierade majsen Bt11xMIR604 (SYN-BTØ11-1xSYN-IR6Ø4-5) i enlighet med Europaparlamentets och rådets förordning (EG) nr 1829/2003 </w:t>
      </w:r>
    </w:p>
    <w:p w:rsidR="00797B8B" w:rsidRPr="00332DD3" w:rsidRDefault="00797B8B" w:rsidP="00797B8B">
      <w:pPr>
        <w:tabs>
          <w:tab w:val="left" w:pos="851"/>
        </w:tabs>
        <w:spacing w:line="240" w:lineRule="auto"/>
        <w:ind w:left="851" w:hanging="425"/>
      </w:pPr>
    </w:p>
    <w:p w:rsidR="00797B8B" w:rsidRPr="00332DD3" w:rsidRDefault="00797B8B" w:rsidP="00797B8B">
      <w:pPr>
        <w:pStyle w:val="RKnormal"/>
        <w:rPr>
          <w:b/>
          <w:i/>
          <w:iCs/>
        </w:rPr>
      </w:pPr>
      <w:r w:rsidRPr="00332DD3">
        <w:rPr>
          <w:b/>
          <w:i/>
          <w:iCs/>
        </w:rPr>
        <w:t xml:space="preserve">- Antagande </w:t>
      </w:r>
    </w:p>
    <w:p w:rsidR="00797B8B" w:rsidRPr="00332DD3" w:rsidRDefault="00797B8B" w:rsidP="00797B8B">
      <w:pPr>
        <w:pStyle w:val="RKnormal"/>
      </w:pPr>
    </w:p>
    <w:p w:rsidR="00797B8B" w:rsidRPr="00332DD3" w:rsidRDefault="00797B8B" w:rsidP="00797B8B">
      <w:pPr>
        <w:pStyle w:val="RKnormal"/>
      </w:pPr>
    </w:p>
    <w:p w:rsidR="00797B8B" w:rsidRPr="00332DD3" w:rsidRDefault="00797B8B" w:rsidP="00797B8B">
      <w:pPr>
        <w:pStyle w:val="RKnormal"/>
        <w:rPr>
          <w:i/>
          <w:iCs/>
        </w:rPr>
      </w:pPr>
      <w:r w:rsidRPr="00332DD3">
        <w:rPr>
          <w:i/>
          <w:iCs/>
        </w:rPr>
        <w:t>Dokumentbeteckning</w:t>
      </w:r>
    </w:p>
    <w:p w:rsidR="00797B8B" w:rsidRPr="00332DD3" w:rsidRDefault="00797B8B" w:rsidP="00797B8B">
      <w:pPr>
        <w:pStyle w:val="RKnormal"/>
      </w:pPr>
      <w:r w:rsidRPr="00332DD3">
        <w:t>17414/1/11 REV 1 AGRILEG 134 SEMENCES 18</w:t>
      </w:r>
    </w:p>
    <w:p w:rsidR="00797B8B" w:rsidRPr="00332DD3" w:rsidRDefault="00797B8B" w:rsidP="00797B8B">
      <w:pPr>
        <w:pStyle w:val="RKnormal"/>
        <w:rPr>
          <w:i/>
          <w:iCs/>
        </w:rPr>
      </w:pPr>
    </w:p>
    <w:p w:rsidR="00797B8B" w:rsidRPr="00332DD3" w:rsidRDefault="00797B8B" w:rsidP="00797B8B">
      <w:pPr>
        <w:pStyle w:val="RKnormal"/>
        <w:rPr>
          <w:i/>
          <w:iCs/>
        </w:rPr>
      </w:pPr>
      <w:r w:rsidRPr="00332DD3">
        <w:rPr>
          <w:i/>
          <w:iCs/>
        </w:rPr>
        <w:t>Rättslig grund</w:t>
      </w:r>
    </w:p>
    <w:p w:rsidR="00797B8B" w:rsidRPr="00332DD3" w:rsidRDefault="00797B8B" w:rsidP="00797B8B">
      <w:pPr>
        <w:pStyle w:val="RKnormal"/>
        <w:rPr>
          <w:i/>
          <w:iCs/>
        </w:rPr>
      </w:pPr>
      <w:r w:rsidRPr="00332DD3">
        <w:t xml:space="preserve">Samma som i punkt 6a. </w:t>
      </w:r>
    </w:p>
    <w:p w:rsidR="00797B8B" w:rsidRPr="00332DD3" w:rsidRDefault="00797B8B" w:rsidP="00797B8B">
      <w:pPr>
        <w:pStyle w:val="RKnormal"/>
        <w:rPr>
          <w:i/>
          <w:iCs/>
        </w:rPr>
      </w:pPr>
    </w:p>
    <w:p w:rsidR="00797B8B" w:rsidRPr="00332DD3" w:rsidRDefault="00797B8B" w:rsidP="00797B8B">
      <w:pPr>
        <w:pStyle w:val="RKnormal"/>
        <w:rPr>
          <w:i/>
          <w:iCs/>
        </w:rPr>
      </w:pPr>
      <w:r w:rsidRPr="00332DD3">
        <w:rPr>
          <w:i/>
          <w:iCs/>
        </w:rPr>
        <w:t>Bakgrund</w:t>
      </w:r>
    </w:p>
    <w:p w:rsidR="00797B8B" w:rsidRPr="00332DD3" w:rsidRDefault="00797B8B" w:rsidP="00797B8B">
      <w:pPr>
        <w:pStyle w:val="RKnormal"/>
        <w:rPr>
          <w:iCs/>
        </w:rPr>
      </w:pPr>
      <w:r w:rsidRPr="00332DD3">
        <w:rPr>
          <w:iCs/>
        </w:rPr>
        <w:t>Företaget Syngenta har ansökt om tillstånd för att släppa ut den genetiskt modifierade majsen SYN-BTØ11-1xSYN-IR6Ø4-5 på marknaden. Ansökan gäller användning i livsmedel och foder och för import och bearbetning. Majsen är genetiskt modifierad för att vara tolerant mot ogräsmedlet glyfosinatammonium och resistent mot vissa skadeinsekter.</w:t>
      </w:r>
    </w:p>
    <w:p w:rsidR="00797B8B" w:rsidRPr="00332DD3" w:rsidRDefault="00797B8B" w:rsidP="00797B8B">
      <w:pPr>
        <w:pStyle w:val="RKnormal"/>
        <w:rPr>
          <w:iCs/>
        </w:rPr>
      </w:pPr>
    </w:p>
    <w:p w:rsidR="00797B8B" w:rsidRPr="00332DD3" w:rsidRDefault="00797B8B" w:rsidP="00797B8B">
      <w:pPr>
        <w:pStyle w:val="RKnormal"/>
        <w:rPr>
          <w:iCs/>
        </w:rPr>
      </w:pPr>
      <w:r w:rsidRPr="00332DD3">
        <w:rPr>
          <w:iCs/>
        </w:rPr>
        <w:t>Europeiska myndigheten för livsmedelssäkerhet (EFSA) har yttrat sig om den genetiskt modifierade majsen. EFSA bedömer att den är lika säker för människa, djur och miljö som vanlig majs. Livsmedelsverket och Statens jordbruksverk delar EFSA:s bedömning.</w:t>
      </w:r>
    </w:p>
    <w:p w:rsidR="00797B8B" w:rsidRPr="00332DD3" w:rsidRDefault="00797B8B" w:rsidP="00797B8B">
      <w:pPr>
        <w:pStyle w:val="RKnormal"/>
        <w:rPr>
          <w:iCs/>
        </w:rPr>
      </w:pPr>
    </w:p>
    <w:p w:rsidR="00797B8B" w:rsidRPr="00332DD3" w:rsidRDefault="00797B8B" w:rsidP="00797B8B">
      <w:pPr>
        <w:pStyle w:val="RKnormal"/>
        <w:rPr>
          <w:iCs/>
        </w:rPr>
      </w:pPr>
      <w:r w:rsidRPr="00332DD3">
        <w:rPr>
          <w:iCs/>
        </w:rPr>
        <w:t xml:space="preserve">Kommissionen har lagt fram förslaget för beslut i Ständiga kommittén för livsmedelskedjan och djurhälsa (SKLD). Vid omröstningen kunde kommittén inte avge ett yttrande med kvalificerad majoritet varken för eller emot kommissionens förslag. </w:t>
      </w:r>
      <w:r w:rsidRPr="00332DD3">
        <w:t xml:space="preserve">Eftersom ärendet varit uppe för omröstning i föreskrivande kommitté före ikraftträdandet av Lissabonfördraget så fortsätter handläggningen av ärendet i enlighet med då gällande hantering. </w:t>
      </w:r>
      <w:r w:rsidRPr="00332DD3">
        <w:rPr>
          <w:iCs/>
        </w:rPr>
        <w:t>Förslaget underställs därför Jordbruks- och fiskerådet för beslut.</w:t>
      </w:r>
    </w:p>
    <w:p w:rsidR="00797B8B" w:rsidRPr="00332DD3" w:rsidRDefault="00797B8B" w:rsidP="00797B8B">
      <w:pPr>
        <w:pStyle w:val="RKnormal"/>
        <w:rPr>
          <w:i/>
          <w:iCs/>
        </w:rPr>
      </w:pPr>
    </w:p>
    <w:p w:rsidR="00797B8B" w:rsidRPr="00332DD3" w:rsidRDefault="00797B8B" w:rsidP="00797B8B">
      <w:pPr>
        <w:pStyle w:val="RKnormal"/>
        <w:rPr>
          <w:i/>
          <w:iCs/>
        </w:rPr>
      </w:pPr>
      <w:r w:rsidRPr="00332DD3">
        <w:rPr>
          <w:i/>
          <w:iCs/>
        </w:rPr>
        <w:t>Förslag till svensk ståndpunkt</w:t>
      </w:r>
    </w:p>
    <w:p w:rsidR="00797B8B" w:rsidRPr="00332DD3" w:rsidRDefault="00797B8B" w:rsidP="00797B8B">
      <w:pPr>
        <w:pStyle w:val="RKnormal"/>
      </w:pPr>
      <w:r w:rsidRPr="00332DD3">
        <w:t>Regeringen anser att Sverige ska rösta för ett godkännande</w:t>
      </w:r>
      <w:r w:rsidRPr="00332DD3">
        <w:rPr>
          <w:b/>
        </w:rPr>
        <w:t xml:space="preserve"> </w:t>
      </w:r>
      <w:r w:rsidRPr="00332DD3">
        <w:t xml:space="preserve">av produkter framställda av den genetiskt modifierade majsen </w:t>
      </w:r>
      <w:r w:rsidRPr="00332DD3">
        <w:rPr>
          <w:iCs/>
        </w:rPr>
        <w:t xml:space="preserve">SYN-BTØ11-1xSYN-IR6Ø4-5 </w:t>
      </w:r>
      <w:r w:rsidRPr="00332DD3">
        <w:t xml:space="preserve">eftersom den bedömts som lika säker </w:t>
      </w:r>
      <w:r w:rsidRPr="00332DD3">
        <w:rPr>
          <w:iCs/>
        </w:rPr>
        <w:t>för människa, djur och miljö som sin konventionella motsvarighet.</w:t>
      </w:r>
    </w:p>
    <w:p w:rsidR="00797B8B" w:rsidRPr="00332DD3" w:rsidRDefault="00797B8B" w:rsidP="00797B8B">
      <w:pPr>
        <w:pStyle w:val="RKnormal"/>
        <w:rPr>
          <w:i/>
          <w:iCs/>
        </w:rPr>
      </w:pPr>
    </w:p>
    <w:p w:rsidR="00797B8B" w:rsidRPr="00332DD3" w:rsidRDefault="00797B8B" w:rsidP="00797B8B">
      <w:pPr>
        <w:pStyle w:val="RKnormal"/>
        <w:rPr>
          <w:i/>
          <w:iCs/>
        </w:rPr>
      </w:pPr>
      <w:r w:rsidRPr="00332DD3">
        <w:rPr>
          <w:i/>
          <w:iCs/>
        </w:rPr>
        <w:t>EU-nämnden och MJU</w:t>
      </w:r>
    </w:p>
    <w:p w:rsidR="00797B8B" w:rsidRPr="00332DD3" w:rsidRDefault="00797B8B" w:rsidP="00797B8B">
      <w:pPr>
        <w:pStyle w:val="RKnormal"/>
      </w:pPr>
      <w:r w:rsidRPr="00332DD3">
        <w:t>Frågan har inte tidigare varit föremål för samråd med EU-nämnden eller information i MJU</w:t>
      </w:r>
    </w:p>
    <w:p w:rsidR="00233307" w:rsidRPr="00332DD3" w:rsidRDefault="00233307" w:rsidP="00233307">
      <w:pPr>
        <w:pStyle w:val="RKrubrik"/>
        <w:tabs>
          <w:tab w:val="clear" w:pos="1134"/>
          <w:tab w:val="left" w:pos="0"/>
        </w:tabs>
        <w:ind w:right="-1149"/>
      </w:pPr>
      <w:r w:rsidRPr="00332DD3">
        <w:t>Lagstiftningsöverläggningar</w:t>
      </w:r>
    </w:p>
    <w:p w:rsidR="00233307" w:rsidRPr="00332DD3" w:rsidRDefault="00233307" w:rsidP="00233307">
      <w:pPr>
        <w:pStyle w:val="RKrubrik"/>
        <w:ind w:right="-1149"/>
      </w:pPr>
      <w:r w:rsidRPr="00332DD3">
        <w:t>(Offentlig överläggning i enlighet med artikel 16.8 i fördraget om Europeiska unionen)</w:t>
      </w:r>
    </w:p>
    <w:p w:rsidR="00233307" w:rsidRPr="00332DD3" w:rsidRDefault="00233307" w:rsidP="00233307"/>
    <w:p w:rsidR="00233307" w:rsidRPr="00332DD3" w:rsidRDefault="00233307" w:rsidP="00233307">
      <w:pPr>
        <w:pStyle w:val="RKrubrik"/>
        <w:ind w:right="-1149"/>
        <w:rPr>
          <w:bCs/>
        </w:rPr>
      </w:pPr>
      <w:r w:rsidRPr="00332DD3">
        <w:rPr>
          <w:bCs/>
        </w:rPr>
        <w:t>7. Godkännande av A-punktslistan</w:t>
      </w:r>
    </w:p>
    <w:p w:rsidR="00233307" w:rsidRPr="00332DD3" w:rsidRDefault="00233307" w:rsidP="00233307">
      <w:pPr>
        <w:pStyle w:val="Rubrik2"/>
        <w:rPr>
          <w:u w:val="single"/>
        </w:rPr>
      </w:pPr>
      <w:r w:rsidRPr="00332DD3">
        <w:rPr>
          <w:u w:val="single"/>
        </w:rPr>
        <w:t>SJK-frågor</w:t>
      </w:r>
    </w:p>
    <w:p w:rsidR="00233307" w:rsidRPr="00332DD3" w:rsidRDefault="00233307" w:rsidP="00233307">
      <w:pPr>
        <w:pStyle w:val="RKrubrik"/>
      </w:pPr>
      <w:r w:rsidRPr="00332DD3">
        <w:t>8. Reformpaketet för GJP: Förslag till Europaparlamentets och rådets förordning om stöd till landsbygdsutveckling från Europeiska jordbruksfonden för landsbygdsutveckling (EJFLU) (förordningen om landsbygdsutveckling)</w:t>
      </w:r>
    </w:p>
    <w:p w:rsidR="00233307" w:rsidRPr="00332DD3" w:rsidRDefault="00233307" w:rsidP="00233307">
      <w:pPr>
        <w:pStyle w:val="RKnormal"/>
        <w:rPr>
          <w:b/>
          <w:i/>
        </w:rPr>
      </w:pPr>
      <w:r w:rsidRPr="00332DD3">
        <w:rPr>
          <w:b/>
          <w:i/>
        </w:rPr>
        <w:t>– Meningsutbyte</w:t>
      </w:r>
    </w:p>
    <w:p w:rsidR="00233307" w:rsidRPr="00332DD3" w:rsidRDefault="00233307" w:rsidP="00233307">
      <w:pPr>
        <w:pStyle w:val="RKnormal"/>
        <w:rPr>
          <w:i/>
          <w:iCs/>
        </w:rPr>
      </w:pPr>
    </w:p>
    <w:p w:rsidR="00233307" w:rsidRPr="00332DD3" w:rsidRDefault="00233307" w:rsidP="00233307">
      <w:pPr>
        <w:pStyle w:val="RKnormal"/>
        <w:rPr>
          <w:i/>
          <w:iCs/>
        </w:rPr>
      </w:pPr>
      <w:r w:rsidRPr="00332DD3">
        <w:rPr>
          <w:i/>
          <w:iCs/>
        </w:rPr>
        <w:t>Dokumentbeteckning</w:t>
      </w:r>
    </w:p>
    <w:p w:rsidR="00233307" w:rsidRPr="00332DD3" w:rsidRDefault="001237DC" w:rsidP="00233307">
      <w:pPr>
        <w:pStyle w:val="RKnormal"/>
        <w:rPr>
          <w:iCs/>
        </w:rPr>
      </w:pPr>
      <w:r w:rsidRPr="00332DD3">
        <w:rPr>
          <w:iCs/>
        </w:rPr>
        <w:t>-</w:t>
      </w:r>
    </w:p>
    <w:p w:rsidR="00233307" w:rsidRPr="00332DD3" w:rsidRDefault="00233307" w:rsidP="00233307">
      <w:pPr>
        <w:pStyle w:val="RKnormal"/>
        <w:rPr>
          <w:i/>
          <w:iCs/>
        </w:rPr>
      </w:pPr>
    </w:p>
    <w:p w:rsidR="00233307" w:rsidRPr="00332DD3" w:rsidRDefault="00233307" w:rsidP="00233307">
      <w:pPr>
        <w:pStyle w:val="RKnormal"/>
        <w:rPr>
          <w:i/>
          <w:iCs/>
        </w:rPr>
      </w:pPr>
      <w:r w:rsidRPr="00332DD3">
        <w:rPr>
          <w:i/>
          <w:iCs/>
        </w:rPr>
        <w:t>Rättslig grund</w:t>
      </w:r>
    </w:p>
    <w:p w:rsidR="00233307" w:rsidRPr="00332DD3" w:rsidRDefault="00233307" w:rsidP="00233307">
      <w:pPr>
        <w:pStyle w:val="RKnormal"/>
        <w:rPr>
          <w:iCs/>
        </w:rPr>
      </w:pPr>
      <w:r w:rsidRPr="00332DD3">
        <w:rPr>
          <w:iCs/>
        </w:rPr>
        <w:t>Artikel 43.2 i fördraget om Europeiska unionens funktionssätt, ordinarie lagstiftningsförfarande. I rådet tas beslut med kvalificerad majoritet.</w:t>
      </w:r>
    </w:p>
    <w:p w:rsidR="00233307" w:rsidRPr="00332DD3" w:rsidRDefault="00233307" w:rsidP="00233307">
      <w:pPr>
        <w:pStyle w:val="RKnormal"/>
        <w:rPr>
          <w:i/>
          <w:iCs/>
        </w:rPr>
      </w:pPr>
    </w:p>
    <w:p w:rsidR="00233307" w:rsidRPr="00332DD3" w:rsidRDefault="00233307" w:rsidP="00233307">
      <w:pPr>
        <w:pStyle w:val="RKnormal"/>
        <w:rPr>
          <w:i/>
          <w:iCs/>
        </w:rPr>
      </w:pPr>
      <w:r w:rsidRPr="00332DD3">
        <w:rPr>
          <w:i/>
          <w:iCs/>
        </w:rPr>
        <w:t>Bakgrund</w:t>
      </w:r>
    </w:p>
    <w:p w:rsidR="00233307" w:rsidRPr="00332DD3" w:rsidRDefault="00233307" w:rsidP="00233307">
      <w:pPr>
        <w:pStyle w:val="RKnormal"/>
      </w:pPr>
      <w:r w:rsidRPr="00332DD3">
        <w:t xml:space="preserve">Kommissionen presenterade den 12 oktober 2011 lagförslag för den framtida inriktningen av den gemensamma jordbrukspolitiken. Lagstiftningspaketet består av fyra huvudförordningar som inbegriper direktstöd, marknadsinstrument och politiken för landsbygdsutveckling. På rådsmötet i oktober skedde en första föredragning av kommissionen och på rådsmötet i november diskuterades direktstödet. Lagstiftningspaketet kommer att förhandlas under kommande år och beslut väntas fattas i början av 2013.  </w:t>
      </w:r>
    </w:p>
    <w:p w:rsidR="00233307" w:rsidRPr="00332DD3" w:rsidRDefault="00233307" w:rsidP="00233307">
      <w:pPr>
        <w:pStyle w:val="RKnormal"/>
      </w:pPr>
    </w:p>
    <w:p w:rsidR="00233307" w:rsidRPr="00332DD3" w:rsidRDefault="00233307" w:rsidP="00233307">
      <w:pPr>
        <w:pStyle w:val="RKnormal"/>
      </w:pPr>
      <w:r w:rsidRPr="00332DD3">
        <w:t xml:space="preserve">Ordförandeskapet har uppgett att diskussionen på kommande rådsmöte ska fokusera på politiken för landsbygdsutveckling. </w:t>
      </w:r>
    </w:p>
    <w:p w:rsidR="00233307" w:rsidRPr="00332DD3" w:rsidRDefault="00233307" w:rsidP="00233307">
      <w:pPr>
        <w:pStyle w:val="RKnormal"/>
      </w:pPr>
    </w:p>
    <w:p w:rsidR="00233307" w:rsidRPr="00332DD3" w:rsidRDefault="00233307" w:rsidP="00233307">
      <w:pPr>
        <w:pStyle w:val="RKnormal"/>
        <w:rPr>
          <w:iCs/>
        </w:rPr>
      </w:pPr>
      <w:r w:rsidRPr="00332DD3">
        <w:t>I förslaget föreslår kommissionen t</w:t>
      </w:r>
      <w:r w:rsidRPr="00332DD3">
        <w:rPr>
          <w:iCs/>
        </w:rPr>
        <w:t xml:space="preserve">re övergripande mål, vilket överensstämmer med nuvarande mål, för landsbygdsfonden; förbättrad konkurrenskraft inom jordbruket, hållbar förvaltning av naturresurser och klimatinsatser samt en balanserad territoriell utveckling. Tidigare programstruktur med fyra axlar och med krav på fördelning av EU-medlen på respektive axel försvinner. Istället föreslås sex obligatoriska EU-prioriteringar för att bättre överensstämma med Europa 2020-strategi. Dessa är: </w:t>
      </w:r>
    </w:p>
    <w:p w:rsidR="00233307" w:rsidRPr="00332DD3" w:rsidRDefault="00233307" w:rsidP="00233307">
      <w:pPr>
        <w:pStyle w:val="RKnormal"/>
        <w:numPr>
          <w:ilvl w:val="0"/>
          <w:numId w:val="4"/>
        </w:numPr>
        <w:rPr>
          <w:iCs/>
        </w:rPr>
      </w:pPr>
      <w:r w:rsidRPr="00332DD3">
        <w:rPr>
          <w:iCs/>
        </w:rPr>
        <w:t>främja kunskapsöverföring och innovation inom jord- och skogsbruket,</w:t>
      </w:r>
    </w:p>
    <w:p w:rsidR="00233307" w:rsidRPr="00332DD3" w:rsidRDefault="00233307" w:rsidP="00233307">
      <w:pPr>
        <w:pStyle w:val="RKnormal"/>
        <w:numPr>
          <w:ilvl w:val="0"/>
          <w:numId w:val="4"/>
        </w:numPr>
        <w:rPr>
          <w:iCs/>
        </w:rPr>
      </w:pPr>
      <w:r w:rsidRPr="00332DD3">
        <w:rPr>
          <w:iCs/>
        </w:rPr>
        <w:t>öka konkurrenskraften inom alla typer av jordbruk och öka jordbruksföretagets möjlighet att överleva,</w:t>
      </w:r>
    </w:p>
    <w:p w:rsidR="00233307" w:rsidRPr="00332DD3" w:rsidRDefault="00233307" w:rsidP="00233307">
      <w:pPr>
        <w:pStyle w:val="RKnormal"/>
        <w:numPr>
          <w:ilvl w:val="0"/>
          <w:numId w:val="4"/>
        </w:numPr>
        <w:rPr>
          <w:iCs/>
        </w:rPr>
      </w:pPr>
      <w:r w:rsidRPr="00332DD3">
        <w:rPr>
          <w:iCs/>
        </w:rPr>
        <w:t>främja organisationen av livsmedelskedjan och riskhantering inom jordbruket,</w:t>
      </w:r>
    </w:p>
    <w:p w:rsidR="00233307" w:rsidRPr="00332DD3" w:rsidRDefault="00233307" w:rsidP="00233307">
      <w:pPr>
        <w:pStyle w:val="RKnormal"/>
        <w:numPr>
          <w:ilvl w:val="0"/>
          <w:numId w:val="4"/>
        </w:numPr>
        <w:rPr>
          <w:iCs/>
        </w:rPr>
      </w:pPr>
      <w:r w:rsidRPr="00332DD3">
        <w:rPr>
          <w:iCs/>
        </w:rPr>
        <w:t>återställa, bevara och förbättra jord- och skogsbruksberoende ekosystem,</w:t>
      </w:r>
    </w:p>
    <w:p w:rsidR="00233307" w:rsidRPr="00332DD3" w:rsidRDefault="00233307" w:rsidP="00233307">
      <w:pPr>
        <w:pStyle w:val="RKnormal"/>
        <w:numPr>
          <w:ilvl w:val="0"/>
          <w:numId w:val="4"/>
        </w:numPr>
        <w:rPr>
          <w:iCs/>
        </w:rPr>
      </w:pPr>
      <w:r w:rsidRPr="00332DD3">
        <w:rPr>
          <w:iCs/>
        </w:rPr>
        <w:t xml:space="preserve">främja resurseffektivitet och omställning till en koldioxidsnål och klimatanpassad ekonomi inom jordbruks-, livsmedels- och skogsbrukssektorn, </w:t>
      </w:r>
    </w:p>
    <w:p w:rsidR="00233307" w:rsidRPr="00332DD3" w:rsidRDefault="00233307" w:rsidP="00233307">
      <w:pPr>
        <w:pStyle w:val="RKnormal"/>
        <w:numPr>
          <w:ilvl w:val="0"/>
          <w:numId w:val="4"/>
        </w:numPr>
        <w:rPr>
          <w:iCs/>
        </w:rPr>
      </w:pPr>
      <w:r w:rsidRPr="00332DD3">
        <w:rPr>
          <w:iCs/>
        </w:rPr>
        <w:t>främja social sammanhållning, fattigdomsbekämpning och ekonomisk utveckling i landsbygdsområden.</w:t>
      </w:r>
    </w:p>
    <w:p w:rsidR="00233307" w:rsidRPr="00332DD3" w:rsidRDefault="00233307" w:rsidP="00233307">
      <w:pPr>
        <w:pStyle w:val="RKnormal"/>
        <w:rPr>
          <w:iCs/>
        </w:rPr>
      </w:pPr>
    </w:p>
    <w:p w:rsidR="00233307" w:rsidRPr="00332DD3" w:rsidRDefault="00233307" w:rsidP="00233307">
      <w:pPr>
        <w:pStyle w:val="RKnormal"/>
        <w:rPr>
          <w:iCs/>
        </w:rPr>
      </w:pPr>
      <w:r w:rsidRPr="00332DD3">
        <w:rPr>
          <w:iCs/>
        </w:rPr>
        <w:t>Dessa ovanstående sex prioriteringar ska gemensamt bidra till mål om ökad innovation samt miljö- och klimatanpassning. Alla landsbygdsprogram ska innehålla insatser för att möta de sex EU-prioriteringarna.</w:t>
      </w:r>
    </w:p>
    <w:p w:rsidR="00233307" w:rsidRPr="00332DD3" w:rsidRDefault="00233307" w:rsidP="00233307">
      <w:pPr>
        <w:pStyle w:val="RKnormal"/>
        <w:rPr>
          <w:iCs/>
        </w:rPr>
      </w:pPr>
    </w:p>
    <w:p w:rsidR="00233307" w:rsidRPr="00332DD3" w:rsidRDefault="00233307" w:rsidP="00233307">
      <w:pPr>
        <w:pStyle w:val="RKnormal"/>
        <w:rPr>
          <w:iCs/>
        </w:rPr>
      </w:pPr>
      <w:r w:rsidRPr="00332DD3">
        <w:rPr>
          <w:iCs/>
        </w:rPr>
        <w:t xml:space="preserve">En särskild horisontell förordning, gemensam för landsbygds-, fiskeri- och strukturfonderna har presenterats av kommissionen. Syftet med denna förordning är att öka samordningen mellan fonderna bl.a. med hjälp av en gemensam strategi. Ett partnerskapskontrakt ska upprättas mellan medlemsstaterna och kommissionen om användningen av fondernas medel. En s.k. resultatreserv inrättas där 5 procent av tilldelningen från respektive fond avsätts. Under 2019 ska en översyn genomföras av programmens måluppfyllelse i förhållande till milstolparna och reserven fördelas till de program eller prioriteter i respektive medlemsstat som kan visa goda resultat. </w:t>
      </w:r>
    </w:p>
    <w:p w:rsidR="00233307" w:rsidRPr="00332DD3" w:rsidRDefault="00233307" w:rsidP="00233307">
      <w:pPr>
        <w:pStyle w:val="RKnormal"/>
        <w:rPr>
          <w:iCs/>
        </w:rPr>
      </w:pPr>
    </w:p>
    <w:p w:rsidR="00233307" w:rsidRPr="00332DD3" w:rsidRDefault="00233307" w:rsidP="00233307">
      <w:pPr>
        <w:pStyle w:val="RKnormal"/>
        <w:rPr>
          <w:iCs/>
        </w:rPr>
      </w:pPr>
      <w:r w:rsidRPr="00332DD3">
        <w:rPr>
          <w:iCs/>
        </w:rPr>
        <w:t>Den stora nyheten vad gäller landsbygdsprogrammet är en verktygslåda för riskhantering. Kraftiga prisvariationer anses vara ett hinder för jordbrukssektorns investeringar och riskerar därmed att försämra konkurrenskraften. Riskhanteringsinstrumenten innehåller åtgärder för både produktions- och inkomstrisker och omfattar såväl ett nytt verktyg för inkomststabilisering som stöd för försäkringslösningar och gemensamma fonder. Riskhanteringsinstrumenten är frivilliga för medlemsstaterna att tillämpa, men ingår i den obligatoriska EU-prioriteringen ”främjande av livsmedelskedjans funktionssätt och riskhantering inom jordbruket”.</w:t>
      </w:r>
    </w:p>
    <w:p w:rsidR="00233307" w:rsidRPr="00332DD3" w:rsidRDefault="00233307" w:rsidP="00233307">
      <w:pPr>
        <w:pStyle w:val="RKnormal"/>
        <w:rPr>
          <w:i/>
          <w:iCs/>
        </w:rPr>
      </w:pPr>
    </w:p>
    <w:p w:rsidR="00233307" w:rsidRPr="00332DD3" w:rsidRDefault="00233307" w:rsidP="00233307">
      <w:pPr>
        <w:pStyle w:val="RKnormal"/>
        <w:rPr>
          <w:i/>
          <w:iCs/>
        </w:rPr>
      </w:pPr>
    </w:p>
    <w:p w:rsidR="00233307" w:rsidRPr="00332DD3" w:rsidRDefault="00233307" w:rsidP="00233307">
      <w:pPr>
        <w:pStyle w:val="RKnormal"/>
        <w:rPr>
          <w:i/>
          <w:iCs/>
        </w:rPr>
      </w:pPr>
      <w:r w:rsidRPr="00332DD3">
        <w:rPr>
          <w:i/>
          <w:iCs/>
        </w:rPr>
        <w:t>Förslag till svensk ståndpunkt</w:t>
      </w:r>
    </w:p>
    <w:p w:rsidR="00233307" w:rsidRPr="00332DD3" w:rsidRDefault="00233307" w:rsidP="00233307">
      <w:pPr>
        <w:pStyle w:val="RKnormal"/>
        <w:rPr>
          <w:iCs/>
        </w:rPr>
      </w:pPr>
      <w:r w:rsidRPr="00332DD3">
        <w:rPr>
          <w:iCs/>
        </w:rPr>
        <w:t xml:space="preserve">Regeringen anser att det krävs fortsatt kraftfulla reformer av den gemensamma jordbrukspolitiken som leder till väsentligt lägre utgifter, ökad marknadsorientering och ett ökat relativt fokus på politiken för landsbygdsutveckling. Regeringens främsta målsättning är att minska utgifterna inom såväl pelare I som pelare II. Sverige ska vara en konstruktiv förhandlingspart i syfte att få så stort inflytande som möjligt över slutresultatet. </w:t>
      </w:r>
    </w:p>
    <w:p w:rsidR="00233307" w:rsidRPr="00332DD3" w:rsidRDefault="00233307" w:rsidP="00233307">
      <w:pPr>
        <w:pStyle w:val="RKnormal"/>
        <w:rPr>
          <w:iCs/>
        </w:rPr>
      </w:pPr>
    </w:p>
    <w:p w:rsidR="00233307" w:rsidRPr="00332DD3" w:rsidRDefault="00233307" w:rsidP="00233307">
      <w:pPr>
        <w:pStyle w:val="RKnormal"/>
        <w:rPr>
          <w:iCs/>
        </w:rPr>
      </w:pPr>
      <w:r w:rsidRPr="00332DD3">
        <w:rPr>
          <w:iCs/>
        </w:rPr>
        <w:t xml:space="preserve">Regeringen anser att GJP ska förbli ett gemensamt politikområde och utformas i linje med principerna om subsidiaritet, proportionalitet och en sund ekonomisk förvaltning. Jordbrukspolitiken ska vara förenlig med politiken för global utveckling och ta hänsyn till utvecklingsländernas förutsättningar att förbättra tillväxten i jordbruket genom att bland annat bedriva handel och konkurrera på internationella marknader. </w:t>
      </w:r>
    </w:p>
    <w:p w:rsidR="00233307" w:rsidRPr="00332DD3" w:rsidRDefault="00233307" w:rsidP="00233307">
      <w:pPr>
        <w:pStyle w:val="RKnormal"/>
        <w:rPr>
          <w:iCs/>
        </w:rPr>
      </w:pPr>
    </w:p>
    <w:p w:rsidR="00233307" w:rsidRPr="00332DD3" w:rsidRDefault="00233307" w:rsidP="00233307">
      <w:pPr>
        <w:pStyle w:val="RKnormal"/>
        <w:rPr>
          <w:iCs/>
        </w:rPr>
      </w:pPr>
      <w:r w:rsidRPr="00332DD3">
        <w:rPr>
          <w:iCs/>
        </w:rPr>
        <w:t>Regeringen förespråkar en högre ambitionsnivå vad gäller förenklingar av jordbrukspolitiken. Systemet är komplext och svårbegripligt i nuläget och detta utgör en börda för jordbrukarna.</w:t>
      </w:r>
    </w:p>
    <w:p w:rsidR="00233307" w:rsidRPr="00332DD3" w:rsidRDefault="00233307" w:rsidP="00233307">
      <w:pPr>
        <w:pStyle w:val="RKnormal"/>
        <w:rPr>
          <w:iCs/>
        </w:rPr>
      </w:pPr>
    </w:p>
    <w:p w:rsidR="00233307" w:rsidRPr="00332DD3" w:rsidRDefault="00233307" w:rsidP="00233307">
      <w:pPr>
        <w:pStyle w:val="RKnormal"/>
        <w:rPr>
          <w:iCs/>
        </w:rPr>
      </w:pPr>
      <w:r w:rsidRPr="00332DD3">
        <w:rPr>
          <w:iCs/>
        </w:rPr>
        <w:t xml:space="preserve">Inom ramen för en minskning av jordbruksbudgeten förespråkar regeringen åtgärder för landsbygdsutveckling som bidrar till att tillhandahålla kollektiva nyttigheter. Tillhandahållandet av gränsöverskridande kollektiva nyttigheter genom riktade åtgärder kommer även i fortsättningen att vara ett viktigt mål för EU och medlemsstaterna. Politiken ska utformas för att möta nuvarande och framtida utmaningar och gemensamma insatser ska ge ett tydligt europeiskt mervärde. </w:t>
      </w:r>
    </w:p>
    <w:p w:rsidR="00233307" w:rsidRPr="00332DD3" w:rsidRDefault="00233307" w:rsidP="00233307">
      <w:pPr>
        <w:pStyle w:val="RKnormal"/>
        <w:rPr>
          <w:iCs/>
        </w:rPr>
      </w:pPr>
    </w:p>
    <w:p w:rsidR="00233307" w:rsidRPr="00332DD3" w:rsidRDefault="00233307" w:rsidP="00233307">
      <w:pPr>
        <w:pStyle w:val="RKnormal"/>
        <w:rPr>
          <w:iCs/>
        </w:rPr>
      </w:pPr>
      <w:r w:rsidRPr="00332DD3">
        <w:rPr>
          <w:iCs/>
        </w:rPr>
        <w:t>Kommissionen förordar ökade satsningar på miljö, hållbar utveckling och innovation. Regeringen välkomnar denna inriktning och anser att styrning av medel inom landsbygdsprogrammet till miljöinsatser såsom biologisk mångfald, vattenkvalitet och klimat ska öka. Åtgärder inom landsbygdsprogrammet bör också bidra till att främja konkurrenskraft och tillväxt genom att stimulera innovationer samt till att stärka sambandet mellan forskning och tillämpning, vilket kan bidra till en ökad marknadsanpassning inom jordbrukssektorn. Regeringen anser att landsbygdsprogrammet ska få ett ökat fokus på sund djurhållning. Regeringen anser också att det finns skäl till att bibehålla jordbruksverksamhet i områden med naturliga begränsningar.</w:t>
      </w:r>
    </w:p>
    <w:p w:rsidR="00233307" w:rsidRPr="00332DD3" w:rsidRDefault="00233307" w:rsidP="00233307">
      <w:pPr>
        <w:pStyle w:val="RKnormal"/>
        <w:rPr>
          <w:iCs/>
        </w:rPr>
      </w:pPr>
    </w:p>
    <w:p w:rsidR="00233307" w:rsidRPr="00332DD3" w:rsidRDefault="00233307" w:rsidP="00233307">
      <w:pPr>
        <w:pStyle w:val="RKnormal"/>
        <w:rPr>
          <w:iCs/>
        </w:rPr>
      </w:pPr>
      <w:r w:rsidRPr="00332DD3">
        <w:rPr>
          <w:iCs/>
        </w:rPr>
        <w:t>Regeringen anser att EU-prioriteringen ”främjande av livsmedelskedjans funktionssätt och riskhantering inom jordbruket” bör strykas eftersom kopplingen till Europa 2020-strategin är mycket svag. Regeringen är negativ till det föreslagna inkomststabiliseringsinstrumentet inom ramen för pelare II och förutsätter att åtgärden är förenlig med WTO:s regelverk för gröna boxen, begränsade i omfattning och frivillig för medlemsstaterna att tillämpa.</w:t>
      </w:r>
    </w:p>
    <w:p w:rsidR="00233307" w:rsidRPr="00332DD3" w:rsidRDefault="00233307" w:rsidP="00233307">
      <w:pPr>
        <w:pStyle w:val="RKnormal"/>
        <w:rPr>
          <w:iCs/>
        </w:rPr>
      </w:pPr>
    </w:p>
    <w:p w:rsidR="00233307" w:rsidRPr="00332DD3" w:rsidRDefault="00233307" w:rsidP="00233307">
      <w:pPr>
        <w:pStyle w:val="RKnormal"/>
        <w:rPr>
          <w:iCs/>
        </w:rPr>
      </w:pPr>
      <w:r w:rsidRPr="00332DD3">
        <w:rPr>
          <w:iCs/>
        </w:rPr>
        <w:t xml:space="preserve">Regeringen välkomnar kommissionens förslag om ett gemensamt strategiskt ramverk för struktur-, fiske- och landsbygdsutvecklingsfonderna, vilket bör öka synergierna och minska överlappning. Det är dock mycket viktigt att framtagandet av partnerskapskontrakt inte leder till en orimlig administration. </w:t>
      </w:r>
    </w:p>
    <w:p w:rsidR="00233307" w:rsidRPr="00332DD3" w:rsidRDefault="00233307" w:rsidP="00233307">
      <w:pPr>
        <w:pStyle w:val="RKnormal"/>
        <w:rPr>
          <w:i/>
          <w:iCs/>
        </w:rPr>
      </w:pPr>
    </w:p>
    <w:p w:rsidR="00233307" w:rsidRPr="00332DD3" w:rsidRDefault="00233307" w:rsidP="00233307">
      <w:pPr>
        <w:pStyle w:val="RKnormal"/>
        <w:rPr>
          <w:i/>
          <w:iCs/>
        </w:rPr>
      </w:pPr>
      <w:r w:rsidRPr="00332DD3">
        <w:rPr>
          <w:i/>
          <w:iCs/>
        </w:rPr>
        <w:t>EU-nämnden och MJU</w:t>
      </w:r>
    </w:p>
    <w:p w:rsidR="00233307" w:rsidRPr="00332DD3" w:rsidRDefault="00233307" w:rsidP="00233307">
      <w:pPr>
        <w:pStyle w:val="RKnormal"/>
      </w:pPr>
      <w:r w:rsidRPr="00332DD3">
        <w:t>Frågan var senast föremål för information i MJU och samråd med EU-nämnden inför Jordbruks- och fiskeråden i oktober och november 2011.</w:t>
      </w:r>
    </w:p>
    <w:p w:rsidR="00233307" w:rsidRPr="00332DD3" w:rsidRDefault="00233307" w:rsidP="00233307"/>
    <w:p w:rsidR="00592854" w:rsidRPr="00332DD3" w:rsidRDefault="00592854" w:rsidP="00EA7F79">
      <w:pPr>
        <w:pStyle w:val="RKrubrik"/>
      </w:pPr>
      <w:r w:rsidRPr="00332DD3">
        <w:t xml:space="preserve">9. </w:t>
      </w:r>
      <w:r w:rsidR="001229C7" w:rsidRPr="00332DD3">
        <w:t xml:space="preserve">Grönbok om säljfrämjande åtgärder och informationskampanjer för jordbruksprodukter – en strategi med stort europeiskt mervärde för att främja Europas smaker </w:t>
      </w:r>
    </w:p>
    <w:p w:rsidR="00592854" w:rsidRPr="00332DD3" w:rsidRDefault="00592854" w:rsidP="00592854">
      <w:pPr>
        <w:pStyle w:val="RKnormal"/>
        <w:rPr>
          <w:b/>
          <w:i/>
          <w:iCs/>
        </w:rPr>
      </w:pPr>
      <w:r w:rsidRPr="00332DD3">
        <w:rPr>
          <w:b/>
          <w:i/>
          <w:iCs/>
        </w:rPr>
        <w:t xml:space="preserve">- </w:t>
      </w:r>
      <w:r w:rsidR="001229C7" w:rsidRPr="00332DD3">
        <w:rPr>
          <w:b/>
          <w:i/>
          <w:iCs/>
        </w:rPr>
        <w:t>Rådets slutsatser</w:t>
      </w:r>
    </w:p>
    <w:p w:rsidR="00592854" w:rsidRPr="00332DD3" w:rsidRDefault="00592854" w:rsidP="00592854">
      <w:pPr>
        <w:pStyle w:val="RKnormal"/>
        <w:rPr>
          <w:i/>
          <w:iCs/>
        </w:rPr>
      </w:pPr>
    </w:p>
    <w:p w:rsidR="00EA7F79" w:rsidRPr="00332DD3" w:rsidRDefault="00EA7F79" w:rsidP="00592854">
      <w:pPr>
        <w:pStyle w:val="RKnormal"/>
        <w:rPr>
          <w:i/>
          <w:iCs/>
        </w:rPr>
      </w:pPr>
    </w:p>
    <w:p w:rsidR="00592854" w:rsidRPr="00332DD3" w:rsidRDefault="00592854" w:rsidP="00592854">
      <w:pPr>
        <w:pStyle w:val="RKnormal"/>
        <w:rPr>
          <w:i/>
          <w:iCs/>
        </w:rPr>
      </w:pPr>
      <w:r w:rsidRPr="00332DD3">
        <w:rPr>
          <w:i/>
          <w:iCs/>
        </w:rPr>
        <w:t>Dokumentbeteckning</w:t>
      </w:r>
    </w:p>
    <w:p w:rsidR="00592854" w:rsidRPr="00332DD3" w:rsidRDefault="002F18AA" w:rsidP="00592854">
      <w:pPr>
        <w:pStyle w:val="RKnormal"/>
        <w:rPr>
          <w:i/>
          <w:iCs/>
        </w:rPr>
      </w:pPr>
      <w:r w:rsidRPr="00332DD3">
        <w:t>-</w:t>
      </w:r>
    </w:p>
    <w:p w:rsidR="00764C9C" w:rsidRPr="00332DD3" w:rsidRDefault="00764C9C" w:rsidP="00592854">
      <w:pPr>
        <w:pStyle w:val="RKnormal"/>
        <w:rPr>
          <w:i/>
          <w:iCs/>
        </w:rPr>
      </w:pPr>
    </w:p>
    <w:p w:rsidR="00592854" w:rsidRPr="00332DD3" w:rsidRDefault="00592854" w:rsidP="00592854">
      <w:pPr>
        <w:pStyle w:val="RKnormal"/>
        <w:rPr>
          <w:i/>
          <w:iCs/>
        </w:rPr>
      </w:pPr>
      <w:r w:rsidRPr="00332DD3">
        <w:rPr>
          <w:i/>
          <w:iCs/>
        </w:rPr>
        <w:t>Rättslig grund</w:t>
      </w:r>
    </w:p>
    <w:p w:rsidR="00592854" w:rsidRPr="00332DD3" w:rsidRDefault="00951ED0" w:rsidP="00592854">
      <w:pPr>
        <w:pStyle w:val="RKnormal"/>
        <w:rPr>
          <w:iCs/>
        </w:rPr>
      </w:pPr>
      <w:r w:rsidRPr="00332DD3">
        <w:rPr>
          <w:iCs/>
        </w:rPr>
        <w:t>-</w:t>
      </w:r>
    </w:p>
    <w:p w:rsidR="00592854" w:rsidRPr="00332DD3" w:rsidRDefault="00592854" w:rsidP="00592854">
      <w:pPr>
        <w:pStyle w:val="RKnormal"/>
        <w:rPr>
          <w:i/>
          <w:iCs/>
        </w:rPr>
      </w:pPr>
    </w:p>
    <w:p w:rsidR="002F18AA" w:rsidRPr="00332DD3" w:rsidRDefault="002F18AA" w:rsidP="002F18AA">
      <w:pPr>
        <w:pStyle w:val="RKnormal"/>
        <w:rPr>
          <w:i/>
          <w:iCs/>
        </w:rPr>
      </w:pPr>
      <w:r w:rsidRPr="00332DD3">
        <w:rPr>
          <w:i/>
          <w:iCs/>
        </w:rPr>
        <w:t>Bakgrund</w:t>
      </w:r>
    </w:p>
    <w:p w:rsidR="002F18AA" w:rsidRPr="00332DD3" w:rsidRDefault="002F18AA" w:rsidP="002F18AA">
      <w:pPr>
        <w:pStyle w:val="RKnormal"/>
      </w:pPr>
      <w:r w:rsidRPr="00332DD3">
        <w:t>I juli 2011 offentliggjorde kommissionen</w:t>
      </w:r>
      <w:r w:rsidR="00744BC9" w:rsidRPr="00332DD3">
        <w:t xml:space="preserve"> en</w:t>
      </w:r>
      <w:r w:rsidRPr="00332DD3">
        <w:t xml:space="preserve"> Grönbok om säljfrämjande åtgärder och informationskampanjer för jordbruksprodukter. Syftet med grönboken är att inleda en översyn av EU:s politik för säljfrämjande åtgärder och informationskampanjer, samt initiera en diskussion om hur nuvarande system skulle kunna förbättras och utvecklas som ett instrument i den gemensamma jordbrukspolitiken (GJP). </w:t>
      </w:r>
    </w:p>
    <w:p w:rsidR="002F18AA" w:rsidRPr="00332DD3" w:rsidRDefault="002F18AA" w:rsidP="002F18AA">
      <w:pPr>
        <w:pStyle w:val="RKnormal"/>
      </w:pPr>
    </w:p>
    <w:p w:rsidR="002F18AA" w:rsidRPr="00332DD3" w:rsidRDefault="002F18AA" w:rsidP="002F18AA">
      <w:pPr>
        <w:pStyle w:val="RKnormal"/>
      </w:pPr>
      <w:r w:rsidRPr="00332DD3">
        <w:t>Politiken för säljfrämjande åtgärder och informationskampanjer till stöd för jordbruksprodukter skapades i början av 1980-talet. Den har successivt utvidgats till att omfatta de flesta av jordbrukets och livsmedelsindustrins produkter i första förädlingsledet. Enligt kommissionen har den förda politiken fungerat väl på flera sätt. Under senare år har emellertid vissa begränsningar och brister blivit tydliga. Kommissionen anser till exempel att politiken i alltför liten utsträckning varit inriktad på främjandeåtgärder i länder utanför EU, inte minst med tanke på den starka tillväxt som skett på många globala marknader. Kommissionen menar vidare att politiken inte i tillräckligt hög grad har uppmuntrat till samarbete över landsgränser eller omfattat alla medlemsstaters produkter och sakkunskap. Revisionsrätten konstaterade också brister i samband med en effektivitetsgranskning år 2009.</w:t>
      </w:r>
    </w:p>
    <w:p w:rsidR="002F18AA" w:rsidRPr="00332DD3" w:rsidRDefault="002F18AA" w:rsidP="002F18AA">
      <w:pPr>
        <w:pStyle w:val="RKnormal"/>
      </w:pPr>
    </w:p>
    <w:p w:rsidR="002F18AA" w:rsidRPr="00332DD3" w:rsidRDefault="002F18AA" w:rsidP="002F18AA">
      <w:pPr>
        <w:pStyle w:val="RKnormal"/>
      </w:pPr>
      <w:r w:rsidRPr="00332DD3">
        <w:t xml:space="preserve">Grönboken presenterades för första gången vid Jordbruks- och fiskerådet den 19 juli 2011. Därefter fördes diskussioner vid det informella Jordbruks- och fiskerådet i Wroclaw den 11-13 september. I oktober avslutades kommissionens offentliga samråd och till sommaren 2012 planeras ett meddelande. Ett förslag till ny rådsförordning planeras till slutet av 2012. </w:t>
      </w:r>
    </w:p>
    <w:p w:rsidR="002F18AA" w:rsidRPr="00332DD3" w:rsidRDefault="002F18AA" w:rsidP="002F18AA">
      <w:pPr>
        <w:pStyle w:val="RKnormal"/>
      </w:pPr>
    </w:p>
    <w:p w:rsidR="002F18AA" w:rsidRPr="00332DD3" w:rsidRDefault="002F18AA" w:rsidP="002F18AA">
      <w:pPr>
        <w:pStyle w:val="RKnormal"/>
      </w:pPr>
      <w:r w:rsidRPr="00332DD3">
        <w:t>Det polska ordförandeskapets ambition är att rådet ska anta slutsatser vid Jordbruks- och fiskerådet den 15-16 december.</w:t>
      </w:r>
    </w:p>
    <w:p w:rsidR="002F18AA" w:rsidRPr="00332DD3" w:rsidRDefault="002F18AA" w:rsidP="002F18AA">
      <w:pPr>
        <w:pStyle w:val="RKnormal"/>
      </w:pPr>
    </w:p>
    <w:p w:rsidR="002F18AA" w:rsidRPr="00332DD3" w:rsidRDefault="002F18AA" w:rsidP="002F18AA">
      <w:pPr>
        <w:pStyle w:val="RKnormal"/>
        <w:rPr>
          <w:i/>
          <w:iCs/>
        </w:rPr>
      </w:pPr>
      <w:r w:rsidRPr="00332DD3">
        <w:rPr>
          <w:i/>
          <w:iCs/>
        </w:rPr>
        <w:t>Förslag till svensk ståndpunkt</w:t>
      </w:r>
    </w:p>
    <w:p w:rsidR="002F18AA" w:rsidRPr="00332DD3" w:rsidRDefault="002F18AA" w:rsidP="002F18AA">
      <w:pPr>
        <w:pStyle w:val="RKnormal"/>
      </w:pPr>
      <w:r w:rsidRPr="00332DD3">
        <w:t>Regeringens övergripande ståndpunkt är att informationskampanjer och säljfrämjande åtgärder inte ska finansieras med offentliga medel. Företag och organisationer bör själva stå för kostnader som uppstår i samband med denna typ av åtgärder.</w:t>
      </w:r>
    </w:p>
    <w:p w:rsidR="002F18AA" w:rsidRPr="00332DD3" w:rsidRDefault="002F18AA" w:rsidP="002F18AA">
      <w:pPr>
        <w:pStyle w:val="RKnormal"/>
      </w:pPr>
    </w:p>
    <w:p w:rsidR="002F18AA" w:rsidRPr="00332DD3" w:rsidRDefault="002F18AA" w:rsidP="002F18AA">
      <w:pPr>
        <w:pStyle w:val="RKnormal"/>
      </w:pPr>
      <w:r w:rsidRPr="00332DD3">
        <w:t xml:space="preserve">Givet att systemet med offentligt stöd till informationskampanjer och säljfrämjande åtgärder redan finns, ligger det i svenskt intresse att säkerställa att gemenskapens medel används på ett så effektivt sätt som möjligt. </w:t>
      </w:r>
    </w:p>
    <w:p w:rsidR="002F18AA" w:rsidRPr="00332DD3" w:rsidRDefault="002F18AA" w:rsidP="002F18AA">
      <w:pPr>
        <w:pStyle w:val="RKnormal"/>
      </w:pPr>
    </w:p>
    <w:p w:rsidR="002F18AA" w:rsidRPr="00332DD3" w:rsidRDefault="002F18AA" w:rsidP="002F18AA">
      <w:pPr>
        <w:pStyle w:val="RKnormal"/>
      </w:pPr>
      <w:r w:rsidRPr="00332DD3">
        <w:t xml:space="preserve">Sverige bör aktivt verka för att utgifterna minskar och motverka att de ökar. Det svenska agerandet i diskussioner om främjandeåtgärder bör vara i linje med Sveriges övergripande målsättning för arbetet med EU:s fleråriga budgetram v.g. utgiftsrestriktivitet och modernisering av budgeten, vilket till stor del måste uppnås genom väsentligt lägre utgifter för GJP. </w:t>
      </w:r>
    </w:p>
    <w:p w:rsidR="002F18AA" w:rsidRPr="00332DD3" w:rsidRDefault="002F18AA" w:rsidP="002F18AA">
      <w:pPr>
        <w:pStyle w:val="RKnormal"/>
      </w:pPr>
    </w:p>
    <w:p w:rsidR="002F18AA" w:rsidRPr="00332DD3" w:rsidRDefault="002F18AA" w:rsidP="002F18AA">
      <w:pPr>
        <w:pStyle w:val="RKnormal"/>
      </w:pPr>
      <w:r w:rsidRPr="00332DD3">
        <w:t>Vidare är det viktigt att regelförenkling eftersträvas; att regelverket kan tillämpas på ett sätt som innebär att alla medlemsstater behandlas lika; att stöd till marknadsföring av produkter som kan vara skadliga för hälsan motverkas; att åtgärderna är förenliga med gröna boxens kriterier i WTO:s jordbruksavtal; samt att medlemsstaternas deltagande med finansiering förblir frivilligt.</w:t>
      </w:r>
    </w:p>
    <w:p w:rsidR="002F18AA" w:rsidRPr="00332DD3" w:rsidRDefault="002F18AA" w:rsidP="002F18AA">
      <w:pPr>
        <w:pStyle w:val="RKnormal"/>
      </w:pPr>
    </w:p>
    <w:p w:rsidR="002F18AA" w:rsidRPr="00332DD3" w:rsidRDefault="002F18AA" w:rsidP="002F18AA">
      <w:pPr>
        <w:pStyle w:val="RKnormal"/>
      </w:pPr>
      <w:r w:rsidRPr="00332DD3">
        <w:t>Regeringen är positivt till initiativ som syftar till att förbättra och effektivisera dagens system för informationskampanjer och säljfrämjande. Sverige bör uppmuntra en diskussion om hur informationskampanjer och säljfrämjande åtgärder kan bidra till att minska nyttjandet av mer marknadsstörande stödformer, t.ex. exportbidrag, offentlig intervention och stöd till privat lagring.</w:t>
      </w:r>
    </w:p>
    <w:p w:rsidR="002F18AA" w:rsidRPr="00332DD3" w:rsidRDefault="002F18AA" w:rsidP="002F18AA">
      <w:pPr>
        <w:pStyle w:val="RKnormal"/>
      </w:pPr>
    </w:p>
    <w:p w:rsidR="002F18AA" w:rsidRPr="00332DD3" w:rsidRDefault="002F18AA" w:rsidP="002F18AA">
      <w:pPr>
        <w:pStyle w:val="RKnormal"/>
      </w:pPr>
      <w:r w:rsidRPr="00332DD3">
        <w:t>Sverige bör verka för att rådsslutsatserna, så långt det är möjligt, utformas på ett sätt som överensstämmer med Sveriges övergripande ståndpunkt. Det kan dock konstateras att slutsatserna presenteras i ett mycket tidigt skede samt att förhandlingarna och beslutet om innehållet i politiken ligger långt fram i tiden.</w:t>
      </w:r>
    </w:p>
    <w:p w:rsidR="002F18AA" w:rsidRPr="00332DD3" w:rsidRDefault="002F18AA" w:rsidP="002F18AA">
      <w:pPr>
        <w:pStyle w:val="RKnormal"/>
      </w:pPr>
    </w:p>
    <w:p w:rsidR="002F18AA" w:rsidRPr="00332DD3" w:rsidRDefault="002F18AA" w:rsidP="002F18AA">
      <w:pPr>
        <w:pStyle w:val="RKnormal"/>
        <w:rPr>
          <w:i/>
          <w:iCs/>
        </w:rPr>
      </w:pPr>
      <w:r w:rsidRPr="00332DD3">
        <w:rPr>
          <w:i/>
          <w:iCs/>
        </w:rPr>
        <w:t>EU-nämnden och MJU</w:t>
      </w:r>
    </w:p>
    <w:p w:rsidR="002F18AA" w:rsidRPr="00332DD3" w:rsidRDefault="002F18AA" w:rsidP="002F18AA">
      <w:pPr>
        <w:pStyle w:val="RKnormal"/>
      </w:pPr>
      <w:r w:rsidRPr="00332DD3">
        <w:t>Grönboken har varit föremål för information i MJU och sam</w:t>
      </w:r>
      <w:r w:rsidR="005D1B53" w:rsidRPr="00332DD3">
        <w:t>råd med EU-nämnden</w:t>
      </w:r>
      <w:r w:rsidRPr="00332DD3">
        <w:t xml:space="preserve"> inför jordbruks- och fiskerådet i juli 2011. </w:t>
      </w:r>
    </w:p>
    <w:p w:rsidR="00A03B21" w:rsidRPr="00332DD3" w:rsidRDefault="00A03B21" w:rsidP="00D35D58">
      <w:pPr>
        <w:pStyle w:val="RKnormal"/>
      </w:pPr>
    </w:p>
    <w:p w:rsidR="00A03B21" w:rsidRPr="00332DD3" w:rsidRDefault="00A03B21" w:rsidP="00A03B21">
      <w:pPr>
        <w:pStyle w:val="RKrubrik"/>
      </w:pPr>
      <w:r w:rsidRPr="00332DD3">
        <w:t>10. ev. Ändrat förslag till Europaparlamentet och rådets förordning om ändring av rådets förordningar (EG) nr 1290/2005 och (EG) nr 1234/2007 när det gäller utdelning av livsmedel till de sämst ställda i unionen</w:t>
      </w:r>
    </w:p>
    <w:p w:rsidR="00A03B21" w:rsidRPr="00332DD3" w:rsidRDefault="00A03B21" w:rsidP="00A03B21">
      <w:pPr>
        <w:pStyle w:val="RKnormal"/>
        <w:rPr>
          <w:i/>
          <w:iCs/>
        </w:rPr>
      </w:pPr>
    </w:p>
    <w:p w:rsidR="00A03B21" w:rsidRPr="00332DD3" w:rsidRDefault="00A03B21" w:rsidP="00A03B21">
      <w:pPr>
        <w:pStyle w:val="RKnormal"/>
        <w:rPr>
          <w:i/>
          <w:iCs/>
        </w:rPr>
      </w:pPr>
      <w:r w:rsidRPr="00332DD3">
        <w:rPr>
          <w:i/>
          <w:iCs/>
        </w:rPr>
        <w:t>Dokumentbeteckning</w:t>
      </w:r>
    </w:p>
    <w:p w:rsidR="00A03B21" w:rsidRPr="00332DD3" w:rsidRDefault="00127D2B" w:rsidP="00A03B21">
      <w:pPr>
        <w:pStyle w:val="RKnormal"/>
        <w:rPr>
          <w:iCs/>
        </w:rPr>
      </w:pPr>
      <w:r w:rsidRPr="00332DD3">
        <w:rPr>
          <w:iCs/>
        </w:rPr>
        <w:t>-</w:t>
      </w:r>
    </w:p>
    <w:p w:rsidR="00A03B21" w:rsidRPr="00332DD3" w:rsidRDefault="00A03B21" w:rsidP="00A03B21">
      <w:pPr>
        <w:pStyle w:val="RKnormal"/>
        <w:rPr>
          <w:i/>
          <w:iCs/>
        </w:rPr>
      </w:pPr>
    </w:p>
    <w:p w:rsidR="00A03B21" w:rsidRPr="00332DD3" w:rsidRDefault="00A03B21" w:rsidP="00A03B21">
      <w:pPr>
        <w:pStyle w:val="RKnormal"/>
        <w:rPr>
          <w:i/>
          <w:iCs/>
        </w:rPr>
      </w:pPr>
      <w:r w:rsidRPr="00332DD3">
        <w:rPr>
          <w:i/>
          <w:iCs/>
        </w:rPr>
        <w:t>Rättslig grund</w:t>
      </w:r>
    </w:p>
    <w:p w:rsidR="00A03B21" w:rsidRPr="00332DD3" w:rsidRDefault="00A03B21" w:rsidP="00A03B21">
      <w:pPr>
        <w:pStyle w:val="RKnormal"/>
      </w:pPr>
      <w:r w:rsidRPr="00332DD3">
        <w:rPr>
          <w:iCs/>
        </w:rPr>
        <w:t>Artikel 42 och 43(2) i Fördraget om Europeiska unionens funktionssätt enligt det ordinarie beslutsförfarandet. B</w:t>
      </w:r>
      <w:r w:rsidRPr="00332DD3">
        <w:t xml:space="preserve">eslut fattas i rådet med kvalificerad majoritet. </w:t>
      </w:r>
    </w:p>
    <w:p w:rsidR="00A03B21" w:rsidRPr="00332DD3" w:rsidRDefault="00A03B21" w:rsidP="00A03B21">
      <w:pPr>
        <w:pStyle w:val="RKnormal"/>
        <w:rPr>
          <w:i/>
          <w:iCs/>
        </w:rPr>
      </w:pPr>
    </w:p>
    <w:p w:rsidR="00994D7A" w:rsidRPr="00332DD3" w:rsidRDefault="00994D7A" w:rsidP="00994D7A">
      <w:pPr>
        <w:pStyle w:val="RKnormal"/>
        <w:rPr>
          <w:i/>
          <w:iCs/>
        </w:rPr>
      </w:pPr>
      <w:r w:rsidRPr="00332DD3">
        <w:rPr>
          <w:i/>
          <w:iCs/>
        </w:rPr>
        <w:t>Bakgrund</w:t>
      </w:r>
    </w:p>
    <w:p w:rsidR="00994D7A" w:rsidRPr="00332DD3" w:rsidRDefault="00994D7A" w:rsidP="00994D7A">
      <w:pPr>
        <w:pStyle w:val="RKnormal"/>
      </w:pPr>
      <w:r w:rsidRPr="00332DD3">
        <w:t>EU har sedan tjugo år tillbaka, inom ramen för den gemensamma jordbrukspolitiken, ett årligt program för att förmedla mat till behövande inom unionen. Programmet startades vid en tidpunkt då det fanns stora interventionslager av jordbruksprodukter. Situationen har förändrats i och med att jordbrukspolitiken marknadsanpassats och möjligheten till att lagra råvaror för flera produkter har avskaffats.</w:t>
      </w:r>
      <w:r w:rsidRPr="00332DD3" w:rsidDel="00C806D4">
        <w:t xml:space="preserve"> </w:t>
      </w:r>
      <w:r w:rsidRPr="00332DD3">
        <w:t xml:space="preserve">Möjligheten att i undantagsfall göra marknadsuppköp har inkluderats i programmet för att komplettera användningen av interventionslager. </w:t>
      </w:r>
    </w:p>
    <w:p w:rsidR="00994D7A" w:rsidRPr="00332DD3" w:rsidRDefault="00994D7A" w:rsidP="00994D7A">
      <w:pPr>
        <w:pStyle w:val="RKnormal"/>
      </w:pPr>
      <w:r w:rsidRPr="00332DD3">
        <w:t xml:space="preserve">Sverige har hittills inte deltagit i programmet. </w:t>
      </w:r>
    </w:p>
    <w:p w:rsidR="00994D7A" w:rsidRPr="00332DD3" w:rsidRDefault="00994D7A" w:rsidP="00994D7A">
      <w:pPr>
        <w:pStyle w:val="RKnormal"/>
      </w:pPr>
    </w:p>
    <w:p w:rsidR="00994D7A" w:rsidRPr="00332DD3" w:rsidRDefault="00994D7A" w:rsidP="00994D7A">
      <w:pPr>
        <w:pStyle w:val="RKnormal"/>
      </w:pPr>
      <w:r w:rsidRPr="00332DD3">
        <w:t xml:space="preserve">Kommissionen presenterade 2008 ett förslag till ändringar av programmet som innebar att marknadsuppköp inte skulle begränsas till undantagsfall. </w:t>
      </w:r>
      <w:r w:rsidRPr="00332DD3">
        <w:rPr>
          <w:iCs/>
        </w:rPr>
        <w:t xml:space="preserve">En minoritet bestående av Storbritannien, Tyskland, Nederländerna, Danmark, Sverige och Tjeckien blockerade förslaget då, delvis på grund av ifrågasättande av den rättsliga grunden för förslaget. </w:t>
      </w:r>
    </w:p>
    <w:p w:rsidR="00994D7A" w:rsidRPr="00332DD3" w:rsidRDefault="00994D7A" w:rsidP="00994D7A">
      <w:pPr>
        <w:pStyle w:val="RKnormal"/>
      </w:pPr>
    </w:p>
    <w:p w:rsidR="00994D7A" w:rsidRPr="00332DD3" w:rsidRDefault="00994D7A" w:rsidP="00994D7A">
      <w:pPr>
        <w:pStyle w:val="RKnormal"/>
      </w:pPr>
      <w:r w:rsidRPr="00332DD3">
        <w:t xml:space="preserve">Den 3 oktober 2011 presenterade kommissionen ett nytt förslag för perioden 2012-2013 som innebar att livsmedelsprogrammet skulle bli helt EU-finansierat, med ett budgettak på 500 miljoner euro. Den blockerande minoriteten mot förslaget kvarstod även då. </w:t>
      </w:r>
    </w:p>
    <w:p w:rsidR="00994D7A" w:rsidRPr="00332DD3" w:rsidRDefault="00994D7A" w:rsidP="00994D7A">
      <w:pPr>
        <w:pStyle w:val="RKnormal"/>
      </w:pPr>
    </w:p>
    <w:p w:rsidR="00994D7A" w:rsidRPr="00332DD3" w:rsidRDefault="00994D7A" w:rsidP="00994D7A">
      <w:pPr>
        <w:pStyle w:val="RKnormal"/>
      </w:pPr>
      <w:r w:rsidRPr="00332DD3">
        <w:t>Inom ramen för förhandlingarna om EU:s nästa fleråriga budgetram har kommissionen föreslagit att stödet till livsmedelshjälp från</w:t>
      </w:r>
      <w:r w:rsidR="001B651A" w:rsidRPr="00332DD3">
        <w:t xml:space="preserve"> och med 2014 flyttas från utgi</w:t>
      </w:r>
      <w:r w:rsidRPr="00332DD3">
        <w:t>ftsrubrik 2 (</w:t>
      </w:r>
      <w:r w:rsidRPr="00332DD3">
        <w:rPr>
          <w:i/>
        </w:rPr>
        <w:t>Hållbar tillväxt: naturresurser</w:t>
      </w:r>
      <w:r w:rsidRPr="00332DD3">
        <w:t>) till utgiftsrubrik 1 (</w:t>
      </w:r>
      <w:r w:rsidRPr="00332DD3">
        <w:rPr>
          <w:i/>
        </w:rPr>
        <w:t>Smart tillväxt för alla</w:t>
      </w:r>
      <w:r w:rsidRPr="00332DD3">
        <w:t xml:space="preserve">). </w:t>
      </w:r>
    </w:p>
    <w:p w:rsidR="00994D7A" w:rsidRPr="00332DD3" w:rsidRDefault="00994D7A" w:rsidP="00994D7A">
      <w:pPr>
        <w:pStyle w:val="RKnormal"/>
      </w:pPr>
    </w:p>
    <w:p w:rsidR="00994D7A" w:rsidRPr="00332DD3" w:rsidRDefault="00994D7A" w:rsidP="00994D7A">
      <w:pPr>
        <w:pStyle w:val="RKnormal"/>
      </w:pPr>
      <w:r w:rsidRPr="00332DD3">
        <w:t>Frågan har diskuterats intensivt på flera nivåer under hösten. Tyskland har nu aviserat att det är berett att stödja ett ändrat förslag som innebär att programmet fortsätter under 2012-2013. En förutsättning är dock att livsmedelsprogrammet upphör efter 2013 samt att kommissionen försäkrar att den inte kommer att presentera något nytt förslag till livsmedelsprogram för perioden efter 2013, oavsett politikområde. Dessutom ska förslaget till livsmedelsprogram inom ramen för förhandlingarna om EU:s fleråriga budgetram 2014-2020 avskaffas.</w:t>
      </w:r>
    </w:p>
    <w:p w:rsidR="00994D7A" w:rsidRPr="00332DD3" w:rsidRDefault="00994D7A" w:rsidP="00994D7A">
      <w:pPr>
        <w:pStyle w:val="RKnormal"/>
        <w:rPr>
          <w:i/>
          <w:iCs/>
        </w:rPr>
      </w:pPr>
    </w:p>
    <w:p w:rsidR="00994D7A" w:rsidRPr="00332DD3" w:rsidRDefault="00994D7A" w:rsidP="00994D7A">
      <w:pPr>
        <w:pStyle w:val="RKnormal"/>
        <w:rPr>
          <w:i/>
          <w:iCs/>
        </w:rPr>
      </w:pPr>
      <w:r w:rsidRPr="00332DD3">
        <w:rPr>
          <w:i/>
          <w:iCs/>
        </w:rPr>
        <w:t>Förslag till svensk ståndpunkt</w:t>
      </w:r>
    </w:p>
    <w:p w:rsidR="00994D7A" w:rsidRPr="00332DD3" w:rsidRDefault="00994D7A" w:rsidP="00994D7A">
      <w:pPr>
        <w:pStyle w:val="RKnormal"/>
      </w:pPr>
      <w:r w:rsidRPr="00332DD3">
        <w:t xml:space="preserve">Regeringen anser att livsmedelsprogrammet är en socialpolitisk och inte en jordbrukspolitisk fråga och därför en nationell angelägenhet. </w:t>
      </w:r>
    </w:p>
    <w:p w:rsidR="00994D7A" w:rsidRPr="00332DD3" w:rsidRDefault="00994D7A" w:rsidP="00994D7A">
      <w:pPr>
        <w:pStyle w:val="RKnormal"/>
      </w:pPr>
    </w:p>
    <w:p w:rsidR="00994D7A" w:rsidRPr="00332DD3" w:rsidRDefault="00994D7A" w:rsidP="00994D7A">
      <w:pPr>
        <w:pStyle w:val="RKnormal"/>
      </w:pPr>
      <w:r w:rsidRPr="00332DD3">
        <w:t xml:space="preserve">Regeringen är emot förslaget om temporära åtgärder i form av uppköp på marknaden för att rädda medlen 2012 och 2013 (då låga interventionslager </w:t>
      </w:r>
      <w:r w:rsidR="00D4174F" w:rsidRPr="00332DD3">
        <w:t>prognostiseras</w:t>
      </w:r>
      <w:r w:rsidRPr="00332DD3">
        <w:t>).</w:t>
      </w:r>
    </w:p>
    <w:p w:rsidR="00994D7A" w:rsidRPr="00332DD3" w:rsidRDefault="00994D7A" w:rsidP="00994D7A">
      <w:pPr>
        <w:pStyle w:val="RKnormal"/>
      </w:pPr>
    </w:p>
    <w:p w:rsidR="00994D7A" w:rsidRPr="00332DD3" w:rsidRDefault="00994D7A" w:rsidP="00994D7A">
      <w:pPr>
        <w:pStyle w:val="RKnormal"/>
      </w:pPr>
      <w:r w:rsidRPr="00332DD3">
        <w:t>Regeringen har varit skeptisk till att stödet föreslås fortsätta efter 2013 samt att det föreslås flyttas till utgiftsrubrik 1 i förslaget till EU:s nästa fleråriga budgetram.</w:t>
      </w:r>
    </w:p>
    <w:p w:rsidR="00994D7A" w:rsidRPr="00332DD3" w:rsidRDefault="00994D7A" w:rsidP="00994D7A">
      <w:pPr>
        <w:pStyle w:val="RKnormal"/>
      </w:pPr>
    </w:p>
    <w:p w:rsidR="00994D7A" w:rsidRPr="00332DD3" w:rsidRDefault="00994D7A" w:rsidP="00994D7A">
      <w:pPr>
        <w:pStyle w:val="RKnormal"/>
      </w:pPr>
      <w:r w:rsidRPr="00332DD3">
        <w:t xml:space="preserve">Om ordförandeskapet presenterar ett förslag som uppfyller </w:t>
      </w:r>
      <w:r w:rsidR="000A1CC0" w:rsidRPr="00332DD3">
        <w:t xml:space="preserve">de av Tyskland </w:t>
      </w:r>
      <w:r w:rsidRPr="00332DD3">
        <w:t xml:space="preserve">ovan nämnda kriterier och om övriga medlemsstater i den blockerande minoriteten mot förslaget accepterar dessa anser regeringen att även Sverige bör kunna acceptera kompromissen i och med att det innebär ett definitivt slut på livsmedelsprogrammet.  </w:t>
      </w:r>
    </w:p>
    <w:p w:rsidR="00994D7A" w:rsidRPr="00332DD3" w:rsidRDefault="00994D7A" w:rsidP="00994D7A">
      <w:pPr>
        <w:pStyle w:val="RKnormal"/>
      </w:pPr>
    </w:p>
    <w:p w:rsidR="00994D7A" w:rsidRPr="00332DD3" w:rsidRDefault="00994D7A" w:rsidP="00994D7A">
      <w:pPr>
        <w:pStyle w:val="RKnormal"/>
        <w:rPr>
          <w:i/>
          <w:iCs/>
        </w:rPr>
      </w:pPr>
      <w:r w:rsidRPr="00332DD3">
        <w:rPr>
          <w:i/>
          <w:iCs/>
        </w:rPr>
        <w:t>EU-nämnden och MJU</w:t>
      </w:r>
    </w:p>
    <w:p w:rsidR="00994D7A" w:rsidRPr="00332DD3" w:rsidRDefault="00994D7A" w:rsidP="00994D7A">
      <w:pPr>
        <w:pStyle w:val="RKnormal"/>
      </w:pPr>
      <w:r w:rsidRPr="00332DD3">
        <w:t>Frågan var senast föremål för information i MJU och samråd med EU-nämnden inför Jordbruks- och fiskerådet i november 2011.</w:t>
      </w:r>
    </w:p>
    <w:p w:rsidR="00A03B21" w:rsidRPr="00332DD3" w:rsidRDefault="00A03B21" w:rsidP="00A03B21"/>
    <w:p w:rsidR="00D35D58" w:rsidRPr="00332DD3" w:rsidRDefault="00D35D58" w:rsidP="00592854">
      <w:pPr>
        <w:pStyle w:val="RKnormal"/>
      </w:pPr>
    </w:p>
    <w:p w:rsidR="00592854" w:rsidRPr="00332DD3" w:rsidRDefault="00592854" w:rsidP="00592854"/>
    <w:p w:rsidR="00471FC7" w:rsidRPr="00332DD3" w:rsidRDefault="00471FC7" w:rsidP="00471FC7">
      <w:pPr>
        <w:pStyle w:val="RKrubrik"/>
      </w:pPr>
      <w:r w:rsidRPr="00332DD3">
        <w:t>11. Övriga frågor</w:t>
      </w:r>
    </w:p>
    <w:p w:rsidR="00797B8B" w:rsidRPr="00332DD3" w:rsidRDefault="00797B8B" w:rsidP="00797B8B">
      <w:pPr>
        <w:pStyle w:val="RKrubrik"/>
      </w:pPr>
      <w:r w:rsidRPr="00332DD3">
        <w:t>a) Rapport om effekterna av förordning (EG) nr 1/2005 om skydd av djur under transport</w:t>
      </w:r>
    </w:p>
    <w:p w:rsidR="00797B8B" w:rsidRPr="00332DD3" w:rsidRDefault="00797B8B" w:rsidP="00797B8B">
      <w:pPr>
        <w:pStyle w:val="RKnormal"/>
        <w:rPr>
          <w:b/>
          <w:bCs/>
          <w:i/>
          <w:iCs/>
        </w:rPr>
      </w:pPr>
      <w:r w:rsidRPr="00332DD3">
        <w:rPr>
          <w:b/>
          <w:bCs/>
          <w:i/>
          <w:iCs/>
        </w:rPr>
        <w:t>- Föredragning av kommissionen</w:t>
      </w:r>
    </w:p>
    <w:p w:rsidR="00797B8B" w:rsidRPr="00332DD3" w:rsidRDefault="00797B8B" w:rsidP="00797B8B">
      <w:pPr>
        <w:pStyle w:val="RKnormal"/>
        <w:rPr>
          <w:i/>
          <w:iCs/>
        </w:rPr>
      </w:pPr>
    </w:p>
    <w:p w:rsidR="00797B8B" w:rsidRPr="00332DD3" w:rsidRDefault="00797B8B" w:rsidP="00797B8B">
      <w:pPr>
        <w:pStyle w:val="RKnormal"/>
      </w:pPr>
      <w:r w:rsidRPr="00332DD3">
        <w:rPr>
          <w:i/>
          <w:iCs/>
        </w:rPr>
        <w:t>Dokumentbeteckning</w:t>
      </w:r>
      <w:bookmarkStart w:id="0" w:name="CoteRev"/>
      <w:bookmarkStart w:id="1" w:name="CoteSec"/>
      <w:bookmarkEnd w:id="0"/>
      <w:bookmarkEnd w:id="1"/>
      <w:r w:rsidRPr="00332DD3">
        <w:t>16798/11 AGRILEG 127 VETER 51</w:t>
      </w:r>
    </w:p>
    <w:p w:rsidR="00797B8B" w:rsidRPr="00332DD3" w:rsidRDefault="00797B8B" w:rsidP="00797B8B">
      <w:pPr>
        <w:pStyle w:val="RKnormal"/>
      </w:pPr>
    </w:p>
    <w:p w:rsidR="00797B8B" w:rsidRPr="00332DD3" w:rsidRDefault="00797B8B" w:rsidP="00797B8B">
      <w:pPr>
        <w:pStyle w:val="RKnormal"/>
        <w:rPr>
          <w:i/>
          <w:iCs/>
        </w:rPr>
      </w:pPr>
      <w:r w:rsidRPr="00332DD3">
        <w:rPr>
          <w:i/>
          <w:iCs/>
        </w:rPr>
        <w:t>Bakgrund</w:t>
      </w:r>
    </w:p>
    <w:p w:rsidR="00797B8B" w:rsidRPr="00332DD3" w:rsidRDefault="00797B8B" w:rsidP="00797B8B">
      <w:pPr>
        <w:pStyle w:val="RKnormal"/>
      </w:pPr>
      <w:r w:rsidRPr="00332DD3">
        <w:t xml:space="preserve">De nu gällande bestämmelserna om djurtransporter började tillämpas i januari 2007 och återfinns i rådets förordning (EG) nr 1/2005 om skydd av djur under transport. Enligt artikel 32 i förordningen ska kommissionen, inom fyra år från det att förordningen började tillämpas, presentera en rapport för Europaparlamentet och rådet om förordningens effekter. Kommissionen antog sin rapport i enlighet med kraven i förordningen den 10 november 2011.  </w:t>
      </w:r>
    </w:p>
    <w:p w:rsidR="00797B8B" w:rsidRPr="00332DD3" w:rsidRDefault="00797B8B" w:rsidP="00797B8B">
      <w:pPr>
        <w:pStyle w:val="RKnormal"/>
      </w:pPr>
    </w:p>
    <w:p w:rsidR="00797B8B" w:rsidRPr="00332DD3" w:rsidRDefault="00797B8B" w:rsidP="00797B8B">
      <w:pPr>
        <w:pStyle w:val="RKnormal"/>
      </w:pPr>
      <w:r w:rsidRPr="00332DD3">
        <w:t xml:space="preserve">Av rapporten framgår att förordningen har haft vissa positiva effekter på djurskyddet men att det fortfarande finns allvarliga djurskyddsproblem i samband med att djur transporteras. Rapporten innehåller inte några förslag till lagändringar men kommissionen pekar ut ett antal åtgärder som man överväger för att se till att förordningen genomförs på ett riktigt sätt. Kommissionen överväger också att ge stöd till utarbetandet av riktlinjer för god praxis utifrån  de senaste vetenskapliga rönen. </w:t>
      </w:r>
    </w:p>
    <w:p w:rsidR="00797B8B" w:rsidRPr="00332DD3" w:rsidRDefault="00797B8B" w:rsidP="00797B8B">
      <w:pPr>
        <w:pStyle w:val="RKnormal"/>
        <w:rPr>
          <w:i/>
          <w:iCs/>
        </w:rPr>
      </w:pPr>
    </w:p>
    <w:p w:rsidR="00797B8B" w:rsidRPr="00332DD3" w:rsidRDefault="00797B8B" w:rsidP="00797B8B">
      <w:pPr>
        <w:pStyle w:val="RKnormal"/>
        <w:rPr>
          <w:i/>
          <w:iCs/>
        </w:rPr>
      </w:pPr>
      <w:r w:rsidRPr="00332DD3">
        <w:rPr>
          <w:i/>
          <w:iCs/>
        </w:rPr>
        <w:t>Förslag till svensk ståndpunkt</w:t>
      </w:r>
    </w:p>
    <w:p w:rsidR="00797B8B" w:rsidRPr="00332DD3" w:rsidRDefault="00797B8B" w:rsidP="00797B8B">
      <w:r w:rsidRPr="00332DD3">
        <w:t xml:space="preserve">För svenskt vidkommande är frågan om skydd av djur under transport mycket angelägen. Regeringen välkomnar kommissionens rapport och anser att det är glädjande att förordningen har inneburit positiva effekter för djurskyddet. </w:t>
      </w:r>
    </w:p>
    <w:p w:rsidR="00797B8B" w:rsidRPr="00332DD3" w:rsidRDefault="00797B8B" w:rsidP="00797B8B"/>
    <w:p w:rsidR="00797B8B" w:rsidRPr="00332DD3" w:rsidRDefault="00797B8B" w:rsidP="00797B8B">
      <w:r w:rsidRPr="00332DD3">
        <w:t xml:space="preserve">Det kvarstår dock allvarliga djurskyddsproblem på området och mot den bakgrunden är det viktigt att förbättra skyddet för djur under transport ytterligare. </w:t>
      </w:r>
    </w:p>
    <w:p w:rsidR="00797B8B" w:rsidRPr="00332DD3" w:rsidRDefault="00797B8B" w:rsidP="00797B8B"/>
    <w:p w:rsidR="00797B8B" w:rsidRPr="00332DD3" w:rsidRDefault="00797B8B" w:rsidP="00797B8B">
      <w:r w:rsidRPr="00332DD3">
        <w:t xml:space="preserve">Sverige ser positivt på initiativ till en förbättrad efterlevnad av EU-lagstiftningen och åtgärder som syftar till en enhetlig tolkning och tillämpning av förordningen. </w:t>
      </w:r>
    </w:p>
    <w:p w:rsidR="00797B8B" w:rsidRPr="00332DD3" w:rsidRDefault="00797B8B" w:rsidP="00797B8B">
      <w:pPr>
        <w:pStyle w:val="RKnormal"/>
        <w:rPr>
          <w:i/>
          <w:iCs/>
        </w:rPr>
      </w:pPr>
    </w:p>
    <w:p w:rsidR="00797B8B" w:rsidRPr="00332DD3" w:rsidRDefault="00797B8B" w:rsidP="00797B8B">
      <w:pPr>
        <w:pStyle w:val="RKrubrik"/>
      </w:pPr>
      <w:r w:rsidRPr="00332DD3">
        <w:t>11b. Utkast till strategisk plan för codexen 2014-2019 – Inledande diskussion om förberedelserna för den europeiska regionens ståndpunkt inför den 66:e sessionen i verkställande kommittén för Codex Alimentarius (Geneve 7-10 februari 2012)</w:t>
      </w:r>
    </w:p>
    <w:p w:rsidR="00797B8B" w:rsidRPr="00332DD3" w:rsidRDefault="00797B8B" w:rsidP="00797B8B">
      <w:pPr>
        <w:pStyle w:val="RKnormal"/>
      </w:pPr>
      <w:r w:rsidRPr="00332DD3">
        <w:rPr>
          <w:b/>
          <w:bCs/>
          <w:i/>
          <w:iCs/>
        </w:rPr>
        <w:t>- Information från ordförandeskapet</w:t>
      </w:r>
    </w:p>
    <w:p w:rsidR="00797B8B" w:rsidRPr="00332DD3" w:rsidRDefault="00797B8B" w:rsidP="00797B8B">
      <w:pPr>
        <w:pStyle w:val="RKnormal"/>
        <w:rPr>
          <w:b/>
        </w:rPr>
      </w:pPr>
    </w:p>
    <w:p w:rsidR="00797B8B" w:rsidRPr="00332DD3" w:rsidRDefault="00797B8B" w:rsidP="00797B8B">
      <w:pPr>
        <w:pStyle w:val="RKnormal"/>
        <w:rPr>
          <w:i/>
          <w:iCs/>
        </w:rPr>
      </w:pPr>
      <w:r w:rsidRPr="00332DD3">
        <w:rPr>
          <w:i/>
          <w:iCs/>
        </w:rPr>
        <w:t>Bakgrund</w:t>
      </w:r>
    </w:p>
    <w:p w:rsidR="00797B8B" w:rsidRPr="00332DD3" w:rsidRDefault="00797B8B" w:rsidP="00797B8B">
      <w:pPr>
        <w:pStyle w:val="RKnormal"/>
      </w:pPr>
      <w:r w:rsidRPr="00332DD3">
        <w:t>Ordförandeskapet ska informera om kommande diskussion inom Codex Alimentarius regionkommittén för Europa (CCEURO) angående synpunkter på den strategiska plan som tagits fram för Codex arbete under åren 2014-2019. Planen ska diskuteras vid Codex verkställande kommittés sammanträde i februari 2012. Polen är samordnare för CCEURO och kommer därmed representera Europa vid den verkställande kommitténs möte.</w:t>
      </w:r>
    </w:p>
    <w:p w:rsidR="00797B8B" w:rsidRPr="00332DD3" w:rsidRDefault="00797B8B" w:rsidP="00797B8B">
      <w:pPr>
        <w:pStyle w:val="RKnormal"/>
      </w:pPr>
    </w:p>
    <w:p w:rsidR="00797B8B" w:rsidRPr="00332DD3" w:rsidRDefault="00797B8B" w:rsidP="00797B8B">
      <w:pPr>
        <w:pStyle w:val="RKrubrik"/>
      </w:pPr>
      <w:r w:rsidRPr="00332DD3">
        <w:t xml:space="preserve">11c. Codex Alimentarius-förhandlingar </w:t>
      </w:r>
      <w:r w:rsidRPr="00332DD3">
        <w:softHyphen/>
        <w:t>– Framsteg och framtid</w:t>
      </w:r>
    </w:p>
    <w:p w:rsidR="00797B8B" w:rsidRPr="00332DD3" w:rsidRDefault="00797B8B" w:rsidP="00797B8B">
      <w:pPr>
        <w:pStyle w:val="RKnormal"/>
        <w:rPr>
          <w:b/>
          <w:bCs/>
          <w:i/>
          <w:iCs/>
        </w:rPr>
      </w:pPr>
      <w:r w:rsidRPr="00332DD3">
        <w:rPr>
          <w:b/>
          <w:bCs/>
          <w:i/>
          <w:iCs/>
        </w:rPr>
        <w:t>- Information från ordförandeskapet</w:t>
      </w:r>
    </w:p>
    <w:p w:rsidR="00797B8B" w:rsidRPr="00332DD3" w:rsidRDefault="00797B8B" w:rsidP="00797B8B">
      <w:pPr>
        <w:pStyle w:val="RKnormal"/>
      </w:pPr>
    </w:p>
    <w:p w:rsidR="00797B8B" w:rsidRPr="00332DD3" w:rsidRDefault="00797B8B" w:rsidP="00797B8B">
      <w:pPr>
        <w:pStyle w:val="RKnormal"/>
      </w:pPr>
    </w:p>
    <w:p w:rsidR="00797B8B" w:rsidRPr="00332DD3" w:rsidRDefault="00797B8B" w:rsidP="00797B8B">
      <w:pPr>
        <w:pStyle w:val="RKnormal"/>
        <w:rPr>
          <w:i/>
          <w:iCs/>
        </w:rPr>
      </w:pPr>
      <w:r w:rsidRPr="00332DD3">
        <w:rPr>
          <w:i/>
          <w:iCs/>
        </w:rPr>
        <w:t>Bakgrund</w:t>
      </w:r>
    </w:p>
    <w:p w:rsidR="00797B8B" w:rsidRPr="00332DD3" w:rsidRDefault="00797B8B" w:rsidP="00797B8B">
      <w:pPr>
        <w:pStyle w:val="RKnormal"/>
      </w:pPr>
      <w:r w:rsidRPr="00332DD3">
        <w:t>Ordförandeskapet ska troligen informera om de möten som hållits under det gångna halvåret och de framgångar som nåtts. Det gäller bl.a. Codex-kommissionens (CAC) möte i Genève i juli 2011, Codex-kommittén för import och exportinspektioner och certifieringssystem (CCFICS) i Cairns samt Codex-kommittén för näringsfrågor och livsmedel för särskilda näringsändamål (CCNFSDU) i tyska Bad Soden am Taunus och det ännu inte avslutade mötet med Codex-kommittén för livsmedelshygien (CCFH) i Miami.</w:t>
      </w:r>
    </w:p>
    <w:p w:rsidR="00797B8B" w:rsidRPr="00332DD3" w:rsidRDefault="00797B8B" w:rsidP="00797B8B">
      <w:pPr>
        <w:pStyle w:val="RKnormal"/>
      </w:pPr>
    </w:p>
    <w:p w:rsidR="00343151" w:rsidRPr="00332DD3" w:rsidRDefault="00343151">
      <w:pPr>
        <w:pStyle w:val="RKnormal"/>
      </w:pPr>
    </w:p>
    <w:sectPr w:rsidR="00343151" w:rsidRPr="00332DD3">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11E7" w:rsidRPr="00332DD3" w:rsidRDefault="00A811E7">
      <w:r w:rsidRPr="00332DD3">
        <w:separator/>
      </w:r>
    </w:p>
  </w:endnote>
  <w:endnote w:type="continuationSeparator" w:id="0">
    <w:p w:rsidR="00A811E7" w:rsidRPr="00332DD3" w:rsidRDefault="00A811E7">
      <w:r w:rsidRPr="00332D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11E7" w:rsidRPr="00332DD3" w:rsidRDefault="00A811E7">
      <w:r w:rsidRPr="00332DD3">
        <w:separator/>
      </w:r>
    </w:p>
  </w:footnote>
  <w:footnote w:type="continuationSeparator" w:id="0">
    <w:p w:rsidR="00A811E7" w:rsidRPr="00332DD3" w:rsidRDefault="00A811E7">
      <w:r w:rsidRPr="00332D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F79" w:rsidRPr="00332DD3" w:rsidRDefault="00EA7F79">
    <w:pPr>
      <w:pStyle w:val="Sidhuvud"/>
      <w:framePr w:wrap="around" w:vAnchor="text" w:hAnchor="margin" w:xAlign="right" w:y="1"/>
      <w:rPr>
        <w:rStyle w:val="Sidnummer"/>
      </w:rPr>
    </w:pPr>
    <w:r w:rsidRPr="00332DD3">
      <w:rPr>
        <w:rStyle w:val="Sidnummer"/>
      </w:rPr>
      <w:fldChar w:fldCharType="begin" w:fldLock="1"/>
    </w:r>
    <w:r w:rsidRPr="00332DD3">
      <w:rPr>
        <w:rStyle w:val="Sidnummer"/>
      </w:rPr>
      <w:instrText xml:space="preserve">PAGE  </w:instrText>
    </w:r>
    <w:r w:rsidRPr="00332DD3">
      <w:rPr>
        <w:rStyle w:val="Sidnummer"/>
      </w:rPr>
      <w:fldChar w:fldCharType="separate"/>
    </w:r>
    <w:r w:rsidR="00D1580A" w:rsidRPr="00332DD3">
      <w:rPr>
        <w:rStyle w:val="Sidnummer"/>
      </w:rPr>
      <w:t>18</w:t>
    </w:r>
    <w:r w:rsidRPr="00332DD3">
      <w:rPr>
        <w:rStyle w:val="Sidnummer"/>
      </w:rPr>
      <w:fldChar w:fldCharType="end"/>
    </w:r>
  </w:p>
  <w:p w:rsidR="00EA7F79" w:rsidRPr="00332DD3" w:rsidRDefault="00EA7F79">
    <w:pPr>
      <w:pStyle w:val="Sidhuvud"/>
      <w:ind w:right="360"/>
    </w:pPr>
  </w:p>
  <w:p w:rsidR="00EA7F79" w:rsidRPr="00332DD3" w:rsidRDefault="00EA7F7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F79" w:rsidRPr="00332DD3" w:rsidRDefault="00EA7F79">
    <w:pPr>
      <w:pStyle w:val="Sidhuvud"/>
      <w:framePr w:wrap="around" w:vAnchor="text" w:hAnchor="margin" w:xAlign="right" w:y="1"/>
      <w:rPr>
        <w:rStyle w:val="Sidnummer"/>
      </w:rPr>
    </w:pPr>
    <w:r w:rsidRPr="00332DD3">
      <w:rPr>
        <w:rStyle w:val="Sidnummer"/>
      </w:rPr>
      <w:fldChar w:fldCharType="begin" w:fldLock="1"/>
    </w:r>
    <w:r w:rsidRPr="00332DD3">
      <w:rPr>
        <w:rStyle w:val="Sidnummer"/>
      </w:rPr>
      <w:instrText xml:space="preserve">PAGE  </w:instrText>
    </w:r>
    <w:r w:rsidRPr="00332DD3">
      <w:rPr>
        <w:rStyle w:val="Sidnummer"/>
      </w:rPr>
      <w:fldChar w:fldCharType="separate"/>
    </w:r>
    <w:r w:rsidR="00D1580A" w:rsidRPr="00332DD3">
      <w:rPr>
        <w:rStyle w:val="Sidnummer"/>
      </w:rPr>
      <w:t>17</w:t>
    </w:r>
    <w:r w:rsidRPr="00332DD3">
      <w:rPr>
        <w:rStyle w:val="Sidnummer"/>
      </w:rPr>
      <w:fldChar w:fldCharType="end"/>
    </w:r>
  </w:p>
  <w:p w:rsidR="00EA7F79" w:rsidRPr="00332DD3" w:rsidRDefault="00EA7F79">
    <w:pPr>
      <w:pStyle w:val="Sidhuvud"/>
      <w:ind w:right="360"/>
    </w:pPr>
  </w:p>
  <w:p w:rsidR="00EA7F79" w:rsidRPr="00332DD3" w:rsidRDefault="00EA7F7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F79" w:rsidRPr="00332DD3" w:rsidRDefault="00332DD3">
    <w:pPr>
      <w:framePr w:w="2948" w:h="1321" w:hRule="exact" w:wrap="notBeside" w:vAnchor="page" w:hAnchor="page" w:x="1362" w:y="653"/>
    </w:pPr>
    <w:r w:rsidRPr="00332DD3">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EA7F79" w:rsidRPr="00332DD3" w:rsidRDefault="00EA7F79">
    <w:pPr>
      <w:pStyle w:val="RKrubrik"/>
      <w:keepNext w:val="0"/>
      <w:tabs>
        <w:tab w:val="clear" w:pos="1134"/>
        <w:tab w:val="clear" w:pos="2835"/>
      </w:tabs>
      <w:spacing w:before="0" w:after="0" w:line="320" w:lineRule="atLeast"/>
      <w:rPr>
        <w:bCs/>
      </w:rPr>
    </w:pPr>
  </w:p>
  <w:p w:rsidR="00EA7F79" w:rsidRPr="00332DD3" w:rsidRDefault="00EA7F79">
    <w:pPr>
      <w:rPr>
        <w:rFonts w:ascii="TradeGothic" w:hAnsi="TradeGothic"/>
        <w:b/>
        <w:bCs/>
        <w:spacing w:val="12"/>
        <w:sz w:val="22"/>
      </w:rPr>
    </w:pPr>
  </w:p>
  <w:p w:rsidR="00EA7F79" w:rsidRPr="00332DD3" w:rsidRDefault="00EA7F79">
    <w:pPr>
      <w:pStyle w:val="RKrubrik"/>
      <w:keepNext w:val="0"/>
      <w:tabs>
        <w:tab w:val="clear" w:pos="1134"/>
        <w:tab w:val="clear" w:pos="2835"/>
      </w:tabs>
      <w:spacing w:before="0" w:after="0" w:line="320" w:lineRule="atLeast"/>
      <w:rPr>
        <w:bCs/>
      </w:rPr>
    </w:pPr>
  </w:p>
  <w:p w:rsidR="00EA7F79" w:rsidRPr="00332DD3" w:rsidRDefault="00EA7F79">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322B"/>
    <w:multiLevelType w:val="hybridMultilevel"/>
    <w:tmpl w:val="947262C8"/>
    <w:lvl w:ilvl="0" w:tplc="041D000F">
      <w:start w:val="1"/>
      <w:numFmt w:val="decimal"/>
      <w:lvlText w:val="%1."/>
      <w:lvlJc w:val="left"/>
      <w:pPr>
        <w:tabs>
          <w:tab w:val="num" w:pos="720"/>
        </w:tabs>
        <w:ind w:left="72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CA606F"/>
    <w:multiLevelType w:val="hybridMultilevel"/>
    <w:tmpl w:val="7BE461D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560DE6"/>
    <w:multiLevelType w:val="hybridMultilevel"/>
    <w:tmpl w:val="B530687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89660D"/>
    <w:multiLevelType w:val="hybridMultilevel"/>
    <w:tmpl w:val="A2007B1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683BA0"/>
    <w:multiLevelType w:val="hybridMultilevel"/>
    <w:tmpl w:val="32404F82"/>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2126537404">
    <w:abstractNumId w:val="4"/>
  </w:num>
  <w:num w:numId="2" w16cid:durableId="277955616">
    <w:abstractNumId w:val="2"/>
  </w:num>
  <w:num w:numId="3" w16cid:durableId="1196430429">
    <w:abstractNumId w:val="3"/>
  </w:num>
  <w:num w:numId="4" w16cid:durableId="1933009724">
    <w:abstractNumId w:val="1"/>
  </w:num>
  <w:num w:numId="5" w16cid:durableId="1324426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20"/>
    <w:docVar w:name="docDep" w:val="8"/>
    <w:docVar w:name="docSprak" w:val="0"/>
  </w:docVars>
  <w:rsids>
    <w:rsidRoot w:val="00F05E90"/>
    <w:rsid w:val="0006025B"/>
    <w:rsid w:val="0006356E"/>
    <w:rsid w:val="00067ADE"/>
    <w:rsid w:val="000A1CC0"/>
    <w:rsid w:val="000D60DC"/>
    <w:rsid w:val="001229C7"/>
    <w:rsid w:val="001237DC"/>
    <w:rsid w:val="00127D2B"/>
    <w:rsid w:val="00154238"/>
    <w:rsid w:val="00193B61"/>
    <w:rsid w:val="001A6FFE"/>
    <w:rsid w:val="001B651A"/>
    <w:rsid w:val="001C6991"/>
    <w:rsid w:val="001D5DC3"/>
    <w:rsid w:val="00202200"/>
    <w:rsid w:val="00222DC5"/>
    <w:rsid w:val="002245D8"/>
    <w:rsid w:val="00233307"/>
    <w:rsid w:val="0027267B"/>
    <w:rsid w:val="002B5A68"/>
    <w:rsid w:val="002F18AA"/>
    <w:rsid w:val="00300322"/>
    <w:rsid w:val="00332DD3"/>
    <w:rsid w:val="00343151"/>
    <w:rsid w:val="003E538F"/>
    <w:rsid w:val="00441F43"/>
    <w:rsid w:val="004427B9"/>
    <w:rsid w:val="00471FC7"/>
    <w:rsid w:val="00483659"/>
    <w:rsid w:val="004B726F"/>
    <w:rsid w:val="005265F5"/>
    <w:rsid w:val="00556B9C"/>
    <w:rsid w:val="00592854"/>
    <w:rsid w:val="00597E6B"/>
    <w:rsid w:val="005C22F3"/>
    <w:rsid w:val="005D1B53"/>
    <w:rsid w:val="006010D3"/>
    <w:rsid w:val="0061768E"/>
    <w:rsid w:val="00647807"/>
    <w:rsid w:val="00654B9A"/>
    <w:rsid w:val="006944AB"/>
    <w:rsid w:val="00696264"/>
    <w:rsid w:val="006B36B4"/>
    <w:rsid w:val="006E624E"/>
    <w:rsid w:val="00713A62"/>
    <w:rsid w:val="00730B8A"/>
    <w:rsid w:val="00744BC9"/>
    <w:rsid w:val="0075224E"/>
    <w:rsid w:val="00760BB0"/>
    <w:rsid w:val="00764C9C"/>
    <w:rsid w:val="00797B8B"/>
    <w:rsid w:val="007B24BE"/>
    <w:rsid w:val="007D7E4D"/>
    <w:rsid w:val="00847F1A"/>
    <w:rsid w:val="00873397"/>
    <w:rsid w:val="00890AC0"/>
    <w:rsid w:val="008C7B7D"/>
    <w:rsid w:val="008E6F0E"/>
    <w:rsid w:val="009465C2"/>
    <w:rsid w:val="00951ED0"/>
    <w:rsid w:val="00994D7A"/>
    <w:rsid w:val="00A03B21"/>
    <w:rsid w:val="00A56356"/>
    <w:rsid w:val="00A811E7"/>
    <w:rsid w:val="00A97E3A"/>
    <w:rsid w:val="00AB0C3E"/>
    <w:rsid w:val="00AB0CD3"/>
    <w:rsid w:val="00AB145D"/>
    <w:rsid w:val="00B0664D"/>
    <w:rsid w:val="00B06AB3"/>
    <w:rsid w:val="00B12773"/>
    <w:rsid w:val="00B4767B"/>
    <w:rsid w:val="00B51D60"/>
    <w:rsid w:val="00B559E3"/>
    <w:rsid w:val="00B77D0D"/>
    <w:rsid w:val="00B93020"/>
    <w:rsid w:val="00BB29F9"/>
    <w:rsid w:val="00CB3C50"/>
    <w:rsid w:val="00CF3BA9"/>
    <w:rsid w:val="00D1580A"/>
    <w:rsid w:val="00D35D58"/>
    <w:rsid w:val="00D4174F"/>
    <w:rsid w:val="00DA6343"/>
    <w:rsid w:val="00E21E96"/>
    <w:rsid w:val="00E2472E"/>
    <w:rsid w:val="00E66CFD"/>
    <w:rsid w:val="00EA7F79"/>
    <w:rsid w:val="00EB0ADF"/>
    <w:rsid w:val="00F01258"/>
    <w:rsid w:val="00F05E90"/>
    <w:rsid w:val="00F33629"/>
    <w:rsid w:val="00F57364"/>
    <w:rsid w:val="00F750C5"/>
    <w:rsid w:val="00FA049B"/>
    <w:rsid w:val="00FD1544"/>
    <w:rsid w:val="00FF079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5189AD-8AC4-4A7D-801A-7C7B35C14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rsid w:val="00FD1544"/>
    <w:pPr>
      <w:overflowPunct/>
      <w:autoSpaceDE/>
      <w:autoSpaceDN/>
      <w:adjustRightInd/>
      <w:spacing w:line="320" w:lineRule="exact"/>
      <w:textAlignment w:val="auto"/>
    </w:pPr>
    <w:rPr>
      <w:rFonts w:ascii="Times New Roman" w:hAnsi="Times New Roman"/>
    </w:rPr>
  </w:style>
  <w:style w:type="character" w:customStyle="1" w:styleId="BrdtextChar">
    <w:name w:val="Brödtext Char"/>
    <w:basedOn w:val="Standardstycketeckensnitt"/>
    <w:link w:val="Brdtext"/>
    <w:rsid w:val="00FD1544"/>
    <w:rPr>
      <w:sz w:val="24"/>
      <w:lang w:val="sv-SE" w:eastAsia="en-US" w:bidi="ar-SA"/>
    </w:rPr>
  </w:style>
  <w:style w:type="character" w:customStyle="1" w:styleId="RKnormalChar">
    <w:name w:val="RKnormal Char"/>
    <w:basedOn w:val="Standardstycketeckensnitt"/>
    <w:link w:val="RKnormal"/>
    <w:rsid w:val="00CF3BA9"/>
    <w:rPr>
      <w:rFonts w:ascii="OrigGarmnd BT" w:hAnsi="OrigGarmnd BT"/>
      <w:sz w:val="24"/>
      <w:lang w:val="sv-SE" w:eastAsia="en-US" w:bidi="ar-SA"/>
    </w:rPr>
  </w:style>
  <w:style w:type="paragraph" w:styleId="Ballongtext">
    <w:name w:val="Balloon Text"/>
    <w:basedOn w:val="Normal"/>
    <w:semiHidden/>
    <w:rsid w:val="00CF3BA9"/>
    <w:rPr>
      <w:rFonts w:ascii="Tahoma" w:hAnsi="Tahoma" w:cs="Tahoma"/>
      <w:sz w:val="16"/>
      <w:szCs w:val="16"/>
    </w:rPr>
  </w:style>
  <w:style w:type="character" w:customStyle="1" w:styleId="RKrubrikChar">
    <w:name w:val="RKrubrik Char"/>
    <w:basedOn w:val="Standardstycketeckensnitt"/>
    <w:link w:val="RKrubrik"/>
    <w:locked/>
    <w:rsid w:val="008E6F0E"/>
    <w:rPr>
      <w:rFonts w:ascii="TradeGothic" w:hAnsi="TradeGothic"/>
      <w:b/>
      <w:sz w:val="22"/>
      <w:lang w:val="sv-SE" w:eastAsia="en-US" w:bidi="ar-SA"/>
    </w:rPr>
  </w:style>
  <w:style w:type="character" w:customStyle="1" w:styleId="CharChar">
    <w:name w:val=" Char Char"/>
    <w:basedOn w:val="Standardstycketeckensnitt"/>
    <w:rsid w:val="00BB29F9"/>
    <w:rPr>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4731</Words>
  <Characters>30898</Characters>
  <Application>Microsoft Office Word</Application>
  <DocSecurity>4</DocSecurity>
  <Lines>772</Lines>
  <Paragraphs>242</Paragraphs>
  <ScaleCrop>false</ScaleCrop>
  <HeadingPairs>
    <vt:vector size="2" baseType="variant">
      <vt:variant>
        <vt:lpstr>Rubrik</vt:lpstr>
      </vt:variant>
      <vt:variant>
        <vt:i4>1</vt:i4>
      </vt:variant>
    </vt:vector>
  </HeadingPairs>
  <TitlesOfParts>
    <vt:vector size="1" baseType="lpstr">
      <vt:lpstr>Kommenterad dagordning inför Jordbruks- och fiskerådet den XXXXXX</vt:lpstr>
    </vt:vector>
  </TitlesOfParts>
  <Company>Regeringskansliet</Company>
  <LinksUpToDate>false</LinksUpToDate>
  <CharactersWithSpaces>35387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inför Jordbruks- och fiskerådet den XXXXXX</dc:title>
  <dc:subject>Kommenterad dagordning inför Jordbruks- och fiskerådet den XXXXXX</dc:subject>
  <dc:creator>Riksdagen</dc:creator>
  <cp:keywords>Riksdagen</cp:keywords>
  <dc:description/>
  <cp:lastModifiedBy>Lars Brink</cp:lastModifiedBy>
  <cp:revision>2</cp:revision>
  <cp:lastPrinted>2011-12-05T13:40:00Z</cp:lastPrinted>
  <dcterms:created xsi:type="dcterms:W3CDTF">2025-12-17T21:39:00Z</dcterms:created>
  <dcterms:modified xsi:type="dcterms:W3CDTF">2025-12-17T21:39:00Z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8;0;0;275</vt:lpwstr>
  </property>
  <property fmtid="{D5CDD505-2E9C-101B-9397-08002B2CF9AE}" pid="3" name="Sprak">
    <vt:lpwstr>Svenska</vt:lpwstr>
  </property>
  <property fmtid="{D5CDD505-2E9C-101B-9397-08002B2CF9AE}" pid="4" name="DokID">
    <vt:i4>7</vt:i4>
  </property>
  <property fmtid="{D5CDD505-2E9C-101B-9397-08002B2CF9AE}" pid="5" name="RKOrdnaDepartement">
    <vt:lpwstr>Jordbruksdepartementet</vt:lpwstr>
  </property>
  <property fmtid="{D5CDD505-2E9C-101B-9397-08002B2CF9AE}" pid="6" name="RKOrdnaActivityCategory">
    <vt:lpwstr>4.1. Europeiska unionen</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ministerrådet, discard, bifångster, övrig fråga </vt:lpwstr>
  </property>
  <property fmtid="{D5CDD505-2E9C-101B-9397-08002B2CF9AE}" pid="10" name="RKOrdnaSarskildSkyddsvard">
    <vt:lpwstr>0</vt:lpwstr>
  </property>
  <property fmtid="{D5CDD505-2E9C-101B-9397-08002B2CF9AE}" pid="11" name="QFMSP source name">
    <vt:lpwstr/>
  </property>
</Properties>
</file>