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A52F91" w:rsidRPr="00740BA0">
        <w:tblPrEx>
          <w:tblCellMar>
            <w:top w:w="0" w:type="dxa"/>
            <w:bottom w:w="0" w:type="dxa"/>
          </w:tblCellMar>
        </w:tblPrEx>
        <w:tc>
          <w:tcPr>
            <w:tcW w:w="2268" w:type="dxa"/>
          </w:tcPr>
          <w:p w:rsidR="00A52F91" w:rsidRPr="00740BA0" w:rsidRDefault="00A52F91">
            <w:pPr>
              <w:framePr w:w="4400" w:h="1644" w:wrap="notBeside" w:vAnchor="page" w:hAnchor="page" w:x="6573" w:y="721"/>
              <w:rPr>
                <w:rFonts w:ascii="TradeGothic" w:hAnsi="TradeGothic"/>
                <w:i/>
                <w:sz w:val="18"/>
              </w:rPr>
            </w:pPr>
          </w:p>
        </w:tc>
        <w:tc>
          <w:tcPr>
            <w:tcW w:w="2347" w:type="dxa"/>
            <w:gridSpan w:val="2"/>
          </w:tcPr>
          <w:p w:rsidR="00A52F91" w:rsidRPr="00740BA0" w:rsidRDefault="00A52F91">
            <w:pPr>
              <w:framePr w:w="4400" w:h="1644" w:wrap="notBeside" w:vAnchor="page" w:hAnchor="page" w:x="6573" w:y="721"/>
              <w:rPr>
                <w:rFonts w:ascii="TradeGothic" w:hAnsi="TradeGothic"/>
                <w:i/>
                <w:sz w:val="18"/>
              </w:rPr>
            </w:pPr>
          </w:p>
        </w:tc>
      </w:tr>
      <w:tr w:rsidR="00A52F91" w:rsidRPr="00740BA0">
        <w:tblPrEx>
          <w:tblCellMar>
            <w:top w:w="0" w:type="dxa"/>
            <w:bottom w:w="0" w:type="dxa"/>
          </w:tblCellMar>
        </w:tblPrEx>
        <w:tc>
          <w:tcPr>
            <w:tcW w:w="2268" w:type="dxa"/>
          </w:tcPr>
          <w:p w:rsidR="00A52F91" w:rsidRPr="00740BA0" w:rsidRDefault="006B2948">
            <w:pPr>
              <w:framePr w:w="4400" w:h="1644" w:wrap="notBeside" w:vAnchor="page" w:hAnchor="page" w:x="6573" w:y="721"/>
              <w:rPr>
                <w:rFonts w:ascii="TradeGothic" w:hAnsi="TradeGothic"/>
                <w:b/>
                <w:sz w:val="22"/>
              </w:rPr>
            </w:pPr>
            <w:r w:rsidRPr="00740BA0">
              <w:rPr>
                <w:rFonts w:ascii="TradeGothic" w:hAnsi="TradeGothic"/>
                <w:b/>
                <w:sz w:val="22"/>
              </w:rPr>
              <w:t>Promemoria</w:t>
            </w:r>
          </w:p>
        </w:tc>
        <w:tc>
          <w:tcPr>
            <w:tcW w:w="2347" w:type="dxa"/>
            <w:gridSpan w:val="2"/>
          </w:tcPr>
          <w:p w:rsidR="00A52F91" w:rsidRPr="00740BA0" w:rsidRDefault="00210734">
            <w:pPr>
              <w:framePr w:w="4400" w:h="1644" w:wrap="notBeside" w:vAnchor="page" w:hAnchor="page" w:x="6573" w:y="721"/>
              <w:rPr>
                <w:rFonts w:ascii="TradeGothic" w:hAnsi="TradeGothic"/>
                <w:bCs/>
                <w:sz w:val="22"/>
              </w:rPr>
            </w:pPr>
            <w:r w:rsidRPr="00740BA0">
              <w:rPr>
                <w:rFonts w:ascii="TradeGothic" w:hAnsi="TradeGothic"/>
                <w:bCs/>
                <w:sz w:val="22"/>
              </w:rPr>
              <w:t>Fi2010/695</w:t>
            </w:r>
          </w:p>
        </w:tc>
      </w:tr>
      <w:tr w:rsidR="00A52F91" w:rsidRPr="00740BA0">
        <w:tblPrEx>
          <w:tblCellMar>
            <w:top w:w="0" w:type="dxa"/>
            <w:bottom w:w="0" w:type="dxa"/>
          </w:tblCellMar>
        </w:tblPrEx>
        <w:tc>
          <w:tcPr>
            <w:tcW w:w="3402" w:type="dxa"/>
            <w:gridSpan w:val="2"/>
          </w:tcPr>
          <w:p w:rsidR="00A52F91" w:rsidRPr="00740BA0" w:rsidRDefault="00A52F91">
            <w:pPr>
              <w:framePr w:w="4400" w:h="1644" w:wrap="notBeside" w:vAnchor="page" w:hAnchor="page" w:x="6573" w:y="721"/>
            </w:pPr>
          </w:p>
        </w:tc>
        <w:tc>
          <w:tcPr>
            <w:tcW w:w="1213" w:type="dxa"/>
          </w:tcPr>
          <w:p w:rsidR="00A52F91" w:rsidRPr="00740BA0" w:rsidRDefault="00A52F91">
            <w:pPr>
              <w:framePr w:w="4400" w:h="1644" w:wrap="notBeside" w:vAnchor="page" w:hAnchor="page" w:x="6573" w:y="721"/>
            </w:pPr>
          </w:p>
        </w:tc>
      </w:tr>
      <w:tr w:rsidR="00A52F91" w:rsidRPr="00740BA0">
        <w:tblPrEx>
          <w:tblCellMar>
            <w:top w:w="0" w:type="dxa"/>
            <w:bottom w:w="0" w:type="dxa"/>
          </w:tblCellMar>
        </w:tblPrEx>
        <w:tc>
          <w:tcPr>
            <w:tcW w:w="2268" w:type="dxa"/>
          </w:tcPr>
          <w:p w:rsidR="00A52F91" w:rsidRPr="00740BA0" w:rsidRDefault="00210734">
            <w:pPr>
              <w:framePr w:w="4400" w:h="1644" w:wrap="notBeside" w:vAnchor="page" w:hAnchor="page" w:x="6573" w:y="721"/>
            </w:pPr>
            <w:r w:rsidRPr="00740BA0">
              <w:t>2010-10-</w:t>
            </w:r>
            <w:r w:rsidR="00880E68" w:rsidRPr="00740BA0">
              <w:t>25</w:t>
            </w:r>
          </w:p>
        </w:tc>
        <w:tc>
          <w:tcPr>
            <w:tcW w:w="2347" w:type="dxa"/>
            <w:gridSpan w:val="2"/>
          </w:tcPr>
          <w:p w:rsidR="00A52F91" w:rsidRPr="00740BA0" w:rsidRDefault="00A52F91">
            <w:pPr>
              <w:framePr w:w="4400" w:h="1644" w:wrap="notBeside" w:vAnchor="page" w:hAnchor="page" w:x="6573" w:y="721"/>
            </w:pPr>
          </w:p>
        </w:tc>
      </w:tr>
      <w:tr w:rsidR="00A52F91" w:rsidRPr="00740BA0">
        <w:tblPrEx>
          <w:tblCellMar>
            <w:top w:w="0" w:type="dxa"/>
            <w:bottom w:w="0" w:type="dxa"/>
          </w:tblCellMar>
        </w:tblPrEx>
        <w:tc>
          <w:tcPr>
            <w:tcW w:w="2268" w:type="dxa"/>
          </w:tcPr>
          <w:p w:rsidR="00A52F91" w:rsidRPr="00740BA0" w:rsidRDefault="00A52F91">
            <w:pPr>
              <w:framePr w:w="4400" w:h="1644" w:wrap="notBeside" w:vAnchor="page" w:hAnchor="page" w:x="6573" w:y="721"/>
            </w:pPr>
          </w:p>
        </w:tc>
        <w:tc>
          <w:tcPr>
            <w:tcW w:w="2347" w:type="dxa"/>
            <w:gridSpan w:val="2"/>
          </w:tcPr>
          <w:p w:rsidR="00A52F91" w:rsidRPr="00740BA0" w:rsidRDefault="00A52F91">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A52F91" w:rsidRPr="00740BA0">
        <w:tblPrEx>
          <w:tblCellMar>
            <w:top w:w="0" w:type="dxa"/>
            <w:bottom w:w="0" w:type="dxa"/>
          </w:tblCellMar>
        </w:tblPrEx>
        <w:trPr>
          <w:trHeight w:val="284"/>
        </w:trPr>
        <w:tc>
          <w:tcPr>
            <w:tcW w:w="4911" w:type="dxa"/>
          </w:tcPr>
          <w:p w:rsidR="00A52F91" w:rsidRPr="00740BA0" w:rsidRDefault="00A52F91">
            <w:pPr>
              <w:pStyle w:val="Avsndare"/>
              <w:framePr w:h="2483" w:wrap="notBeside" w:x="1504"/>
              <w:rPr>
                <w:b/>
                <w:i w:val="0"/>
                <w:sz w:val="22"/>
              </w:rPr>
            </w:pPr>
            <w:r w:rsidRPr="00740BA0">
              <w:rPr>
                <w:b/>
                <w:i w:val="0"/>
                <w:sz w:val="22"/>
              </w:rPr>
              <w:t>Finansdepartementet</w:t>
            </w:r>
          </w:p>
        </w:tc>
      </w:tr>
      <w:tr w:rsidR="00A52F91" w:rsidRPr="00740BA0">
        <w:tblPrEx>
          <w:tblCellMar>
            <w:top w:w="0" w:type="dxa"/>
            <w:bottom w:w="0" w:type="dxa"/>
          </w:tblCellMar>
        </w:tblPrEx>
        <w:trPr>
          <w:trHeight w:val="284"/>
        </w:trPr>
        <w:tc>
          <w:tcPr>
            <w:tcW w:w="4911" w:type="dxa"/>
          </w:tcPr>
          <w:p w:rsidR="00A52F91" w:rsidRPr="00740BA0" w:rsidRDefault="00A52F91">
            <w:pPr>
              <w:pStyle w:val="Avsndare"/>
              <w:framePr w:h="2483" w:wrap="notBeside" w:x="1504"/>
              <w:rPr>
                <w:bCs/>
                <w:iCs/>
              </w:rPr>
            </w:pPr>
          </w:p>
        </w:tc>
      </w:tr>
      <w:tr w:rsidR="00A52F91" w:rsidRPr="00740BA0">
        <w:tblPrEx>
          <w:tblCellMar>
            <w:top w:w="0" w:type="dxa"/>
            <w:bottom w:w="0" w:type="dxa"/>
          </w:tblCellMar>
        </w:tblPrEx>
        <w:trPr>
          <w:trHeight w:val="284"/>
        </w:trPr>
        <w:tc>
          <w:tcPr>
            <w:tcW w:w="4911" w:type="dxa"/>
          </w:tcPr>
          <w:p w:rsidR="00A52F91" w:rsidRPr="00740BA0" w:rsidRDefault="00A52F91">
            <w:pPr>
              <w:pStyle w:val="Avsndare"/>
              <w:framePr w:h="2483" w:wrap="notBeside" w:x="1504"/>
              <w:rPr>
                <w:bCs/>
                <w:iCs/>
              </w:rPr>
            </w:pPr>
            <w:r w:rsidRPr="00740BA0">
              <w:rPr>
                <w:bCs/>
                <w:iCs/>
              </w:rPr>
              <w:t>Budgetavdelningen</w:t>
            </w:r>
          </w:p>
        </w:tc>
      </w:tr>
      <w:tr w:rsidR="00A52F91" w:rsidRPr="00740BA0">
        <w:tblPrEx>
          <w:tblCellMar>
            <w:top w:w="0" w:type="dxa"/>
            <w:bottom w:w="0" w:type="dxa"/>
          </w:tblCellMar>
        </w:tblPrEx>
        <w:trPr>
          <w:trHeight w:val="284"/>
        </w:trPr>
        <w:tc>
          <w:tcPr>
            <w:tcW w:w="4911" w:type="dxa"/>
          </w:tcPr>
          <w:p w:rsidR="00A52F91" w:rsidRPr="00740BA0" w:rsidRDefault="00A52F91">
            <w:pPr>
              <w:pStyle w:val="Avsndare"/>
              <w:framePr w:h="2483" w:wrap="notBeside" w:x="1504"/>
              <w:rPr>
                <w:bCs/>
                <w:iCs/>
              </w:rPr>
            </w:pPr>
            <w:r w:rsidRPr="00740BA0">
              <w:rPr>
                <w:bCs/>
                <w:iCs/>
              </w:rPr>
              <w:t>EU-budgetenheten</w:t>
            </w:r>
          </w:p>
        </w:tc>
      </w:tr>
      <w:tr w:rsidR="00A52F91" w:rsidRPr="00740BA0">
        <w:tblPrEx>
          <w:tblCellMar>
            <w:top w:w="0" w:type="dxa"/>
            <w:bottom w:w="0" w:type="dxa"/>
          </w:tblCellMar>
        </w:tblPrEx>
        <w:trPr>
          <w:trHeight w:val="284"/>
        </w:trPr>
        <w:tc>
          <w:tcPr>
            <w:tcW w:w="4911" w:type="dxa"/>
          </w:tcPr>
          <w:p w:rsidR="00A52F91" w:rsidRPr="00740BA0" w:rsidRDefault="00A52F91">
            <w:pPr>
              <w:pStyle w:val="Avsndare"/>
              <w:framePr w:h="2483" w:wrap="notBeside" w:x="1504"/>
              <w:rPr>
                <w:bCs/>
                <w:iCs/>
              </w:rPr>
            </w:pPr>
          </w:p>
        </w:tc>
      </w:tr>
      <w:tr w:rsidR="00A52F91" w:rsidRPr="00740BA0">
        <w:tblPrEx>
          <w:tblCellMar>
            <w:top w:w="0" w:type="dxa"/>
            <w:bottom w:w="0" w:type="dxa"/>
          </w:tblCellMar>
        </w:tblPrEx>
        <w:trPr>
          <w:trHeight w:val="284"/>
        </w:trPr>
        <w:tc>
          <w:tcPr>
            <w:tcW w:w="4911" w:type="dxa"/>
          </w:tcPr>
          <w:p w:rsidR="00A52F91" w:rsidRPr="00740BA0" w:rsidRDefault="00A52F91">
            <w:pPr>
              <w:pStyle w:val="Avsndare"/>
              <w:framePr w:h="2483" w:wrap="notBeside" w:x="1504"/>
              <w:rPr>
                <w:bCs/>
                <w:iCs/>
              </w:rPr>
            </w:pPr>
          </w:p>
        </w:tc>
      </w:tr>
      <w:tr w:rsidR="00A52F91" w:rsidRPr="00740BA0">
        <w:tblPrEx>
          <w:tblCellMar>
            <w:top w:w="0" w:type="dxa"/>
            <w:bottom w:w="0" w:type="dxa"/>
          </w:tblCellMar>
        </w:tblPrEx>
        <w:trPr>
          <w:trHeight w:val="284"/>
        </w:trPr>
        <w:tc>
          <w:tcPr>
            <w:tcW w:w="4911" w:type="dxa"/>
          </w:tcPr>
          <w:p w:rsidR="00A52F91" w:rsidRPr="00740BA0" w:rsidRDefault="00A52F91">
            <w:pPr>
              <w:pStyle w:val="Avsndare"/>
              <w:framePr w:h="2483" w:wrap="notBeside" w:x="1504"/>
              <w:rPr>
                <w:bCs/>
                <w:iCs/>
              </w:rPr>
            </w:pPr>
          </w:p>
        </w:tc>
      </w:tr>
      <w:tr w:rsidR="00A52F91" w:rsidRPr="00740BA0">
        <w:tblPrEx>
          <w:tblCellMar>
            <w:top w:w="0" w:type="dxa"/>
            <w:bottom w:w="0" w:type="dxa"/>
          </w:tblCellMar>
        </w:tblPrEx>
        <w:trPr>
          <w:trHeight w:val="284"/>
        </w:trPr>
        <w:tc>
          <w:tcPr>
            <w:tcW w:w="4911" w:type="dxa"/>
          </w:tcPr>
          <w:p w:rsidR="00A52F91" w:rsidRPr="00740BA0" w:rsidRDefault="00A52F91">
            <w:pPr>
              <w:pStyle w:val="Avsndare"/>
              <w:framePr w:h="2483" w:wrap="notBeside" w:x="1504"/>
              <w:rPr>
                <w:bCs/>
                <w:iCs/>
              </w:rPr>
            </w:pPr>
          </w:p>
        </w:tc>
      </w:tr>
      <w:tr w:rsidR="00A52F91" w:rsidRPr="00740BA0">
        <w:tblPrEx>
          <w:tblCellMar>
            <w:top w:w="0" w:type="dxa"/>
            <w:bottom w:w="0" w:type="dxa"/>
          </w:tblCellMar>
        </w:tblPrEx>
        <w:trPr>
          <w:trHeight w:val="284"/>
        </w:trPr>
        <w:tc>
          <w:tcPr>
            <w:tcW w:w="4911" w:type="dxa"/>
          </w:tcPr>
          <w:p w:rsidR="00A52F91" w:rsidRPr="00740BA0" w:rsidRDefault="00A52F91">
            <w:pPr>
              <w:pStyle w:val="Avsndare"/>
              <w:framePr w:h="2483" w:wrap="notBeside" w:x="1504"/>
              <w:rPr>
                <w:bCs/>
                <w:iCs/>
              </w:rPr>
            </w:pPr>
          </w:p>
        </w:tc>
      </w:tr>
      <w:tr w:rsidR="00A52F91" w:rsidRPr="00740BA0">
        <w:tblPrEx>
          <w:tblCellMar>
            <w:top w:w="0" w:type="dxa"/>
            <w:bottom w:w="0" w:type="dxa"/>
          </w:tblCellMar>
        </w:tblPrEx>
        <w:trPr>
          <w:trHeight w:val="284"/>
        </w:trPr>
        <w:tc>
          <w:tcPr>
            <w:tcW w:w="4911" w:type="dxa"/>
          </w:tcPr>
          <w:p w:rsidR="00A52F91" w:rsidRPr="00740BA0" w:rsidRDefault="00A52F91">
            <w:pPr>
              <w:pStyle w:val="Avsndare"/>
              <w:framePr w:h="2483" w:wrap="notBeside" w:x="1504"/>
              <w:rPr>
                <w:bCs/>
                <w:iCs/>
              </w:rPr>
            </w:pPr>
          </w:p>
        </w:tc>
      </w:tr>
    </w:tbl>
    <w:p w:rsidR="00A52F91" w:rsidRPr="00740BA0" w:rsidRDefault="003F39FA">
      <w:pPr>
        <w:framePr w:w="4400" w:h="2523" w:wrap="notBeside" w:vAnchor="page" w:hAnchor="page" w:x="6453" w:y="2445"/>
        <w:ind w:left="142"/>
      </w:pPr>
      <w:r w:rsidRPr="00740BA0">
        <w:t>EU-nämnden</w:t>
      </w:r>
    </w:p>
    <w:p w:rsidR="00A52F91" w:rsidRPr="00740BA0" w:rsidRDefault="00A52F91">
      <w:pPr>
        <w:framePr w:w="4400" w:h="2523" w:wrap="notBeside" w:vAnchor="page" w:hAnchor="page" w:x="6453" w:y="2445"/>
        <w:ind w:left="142"/>
      </w:pPr>
    </w:p>
    <w:p w:rsidR="00AA294B" w:rsidRPr="00740BA0" w:rsidRDefault="00A52F91">
      <w:pPr>
        <w:framePr w:w="4400" w:h="2523" w:wrap="notBeside" w:vAnchor="page" w:hAnchor="page" w:x="6453" w:y="2445"/>
        <w:ind w:left="142"/>
      </w:pPr>
      <w:r w:rsidRPr="00740BA0">
        <w:t xml:space="preserve">Inför </w:t>
      </w:r>
      <w:r w:rsidR="008F111F" w:rsidRPr="00740BA0">
        <w:t xml:space="preserve">Ekofinrådet den </w:t>
      </w:r>
      <w:r w:rsidR="00210734" w:rsidRPr="00740BA0">
        <w:t xml:space="preserve">11 </w:t>
      </w:r>
      <w:r w:rsidR="00E137FF" w:rsidRPr="00740BA0">
        <w:t>november 20</w:t>
      </w:r>
      <w:r w:rsidR="00210734" w:rsidRPr="00740BA0">
        <w:t>10</w:t>
      </w:r>
    </w:p>
    <w:p w:rsidR="00A52F91" w:rsidRPr="00740BA0" w:rsidRDefault="00210734">
      <w:pPr>
        <w:pStyle w:val="RKrubrik"/>
        <w:pBdr>
          <w:bottom w:val="single" w:sz="4" w:space="1" w:color="000000"/>
        </w:pBdr>
        <w:spacing w:before="0" w:after="0"/>
      </w:pPr>
      <w:r w:rsidRPr="00740BA0">
        <w:t xml:space="preserve">Ekofin Budget med förlikningsmöte om </w:t>
      </w:r>
      <w:r w:rsidR="00E137FF" w:rsidRPr="00740BA0">
        <w:t xml:space="preserve">EU:s budget för </w:t>
      </w:r>
      <w:r w:rsidR="00AA294B" w:rsidRPr="00740BA0">
        <w:t xml:space="preserve">år </w:t>
      </w:r>
      <w:r w:rsidR="00E137FF" w:rsidRPr="00740BA0">
        <w:t>20</w:t>
      </w:r>
      <w:r w:rsidR="008F111F" w:rsidRPr="00740BA0">
        <w:t>1</w:t>
      </w:r>
      <w:r w:rsidRPr="00740BA0">
        <w:t>1</w:t>
      </w:r>
    </w:p>
    <w:p w:rsidR="008F111F" w:rsidRPr="00740BA0" w:rsidRDefault="008F111F" w:rsidP="008F111F">
      <w:pPr>
        <w:pStyle w:val="RKrubrik"/>
      </w:pPr>
      <w:r w:rsidRPr="00740BA0">
        <w:t>EU:s budgetprocess</w:t>
      </w:r>
    </w:p>
    <w:p w:rsidR="00210734" w:rsidRPr="00740BA0" w:rsidRDefault="00210734" w:rsidP="00210734">
      <w:pPr>
        <w:pStyle w:val="RKnormal"/>
        <w:numPr>
          <w:ilvl w:val="0"/>
          <w:numId w:val="1"/>
        </w:numPr>
      </w:pPr>
      <w:r w:rsidRPr="00740BA0">
        <w:t xml:space="preserve">Kommissionen fattade beslut som sitt budgetförslag för </w:t>
      </w:r>
      <w:r w:rsidR="00AA294B" w:rsidRPr="00740BA0">
        <w:t xml:space="preserve">år </w:t>
      </w:r>
      <w:r w:rsidRPr="00740BA0">
        <w:t>2011 den 27 april i år</w:t>
      </w:r>
      <w:r w:rsidR="00AA294B" w:rsidRPr="00740BA0">
        <w:t>.</w:t>
      </w:r>
    </w:p>
    <w:p w:rsidR="00210734" w:rsidRPr="00740BA0" w:rsidRDefault="00210734" w:rsidP="00210734">
      <w:pPr>
        <w:pStyle w:val="RKnormal"/>
        <w:numPr>
          <w:ilvl w:val="0"/>
          <w:numId w:val="1"/>
        </w:numPr>
      </w:pPr>
      <w:r w:rsidRPr="00740BA0">
        <w:t xml:space="preserve">Rådet </w:t>
      </w:r>
      <w:r w:rsidR="007C7325" w:rsidRPr="00740BA0">
        <w:t>antog</w:t>
      </w:r>
      <w:r w:rsidRPr="00740BA0">
        <w:t xml:space="preserve"> sin läsning av kommissionens budgetförslag genom skriftligt förfarande som avslutades </w:t>
      </w:r>
      <w:r w:rsidR="00286CCA" w:rsidRPr="00740BA0">
        <w:t>12 augusti</w:t>
      </w:r>
      <w:r w:rsidRPr="00740BA0">
        <w:t xml:space="preserve">. </w:t>
      </w:r>
    </w:p>
    <w:p w:rsidR="00210734" w:rsidRPr="00740BA0" w:rsidRDefault="00210734" w:rsidP="00210734">
      <w:pPr>
        <w:pStyle w:val="RKnormal"/>
        <w:numPr>
          <w:ilvl w:val="0"/>
          <w:numId w:val="1"/>
        </w:numPr>
      </w:pPr>
      <w:r w:rsidRPr="00740BA0">
        <w:t xml:space="preserve">Europaparlamentet </w:t>
      </w:r>
      <w:r w:rsidR="007C7325" w:rsidRPr="00740BA0">
        <w:t>antog</w:t>
      </w:r>
      <w:r w:rsidRPr="00740BA0">
        <w:t xml:space="preserve"> s</w:t>
      </w:r>
      <w:r w:rsidR="007C7325" w:rsidRPr="00740BA0">
        <w:t>in läsning av budgetförslaget 20</w:t>
      </w:r>
      <w:r w:rsidRPr="00740BA0">
        <w:t xml:space="preserve"> oktober. </w:t>
      </w:r>
    </w:p>
    <w:p w:rsidR="00492F31" w:rsidRPr="00740BA0" w:rsidRDefault="007C7325" w:rsidP="00210734">
      <w:pPr>
        <w:pStyle w:val="RKnormal"/>
        <w:numPr>
          <w:ilvl w:val="0"/>
          <w:numId w:val="1"/>
        </w:numPr>
      </w:pPr>
      <w:r w:rsidRPr="00740BA0">
        <w:t>Med start den 2</w:t>
      </w:r>
      <w:r w:rsidR="00491BA6" w:rsidRPr="00740BA0">
        <w:t>7</w:t>
      </w:r>
      <w:r w:rsidRPr="00740BA0">
        <w:t xml:space="preserve"> oktober genomförs e</w:t>
      </w:r>
      <w:r w:rsidR="00210734" w:rsidRPr="00740BA0">
        <w:t xml:space="preserve">tt förlikningsförfarande </w:t>
      </w:r>
      <w:r w:rsidR="00262840" w:rsidRPr="00740BA0">
        <w:t xml:space="preserve">som pågår </w:t>
      </w:r>
      <w:r w:rsidR="00210734" w:rsidRPr="00740BA0">
        <w:t xml:space="preserve">under 21 dagar </w:t>
      </w:r>
      <w:r w:rsidR="00262840" w:rsidRPr="00740BA0">
        <w:t>och som</w:t>
      </w:r>
      <w:r w:rsidR="00210734" w:rsidRPr="00740BA0">
        <w:t xml:space="preserve"> kulminerar </w:t>
      </w:r>
      <w:r w:rsidR="00262840" w:rsidRPr="00740BA0">
        <w:t xml:space="preserve">med ett </w:t>
      </w:r>
      <w:r w:rsidR="00210734" w:rsidRPr="00740BA0">
        <w:t>förlikningsmöte med Europaparlamentet</w:t>
      </w:r>
      <w:r w:rsidR="00AA294B" w:rsidRPr="00740BA0">
        <w:t xml:space="preserve">. </w:t>
      </w:r>
    </w:p>
    <w:p w:rsidR="00210734" w:rsidRPr="00740BA0" w:rsidRDefault="00AA294B" w:rsidP="00210734">
      <w:pPr>
        <w:pStyle w:val="RKnormal"/>
        <w:numPr>
          <w:ilvl w:val="0"/>
          <w:numId w:val="1"/>
        </w:numPr>
      </w:pPr>
      <w:r w:rsidRPr="00740BA0">
        <w:t>Förlikningsmötet</w:t>
      </w:r>
      <w:r w:rsidR="00210734" w:rsidRPr="00740BA0">
        <w:t xml:space="preserve"> </w:t>
      </w:r>
      <w:r w:rsidR="00286CCA" w:rsidRPr="00740BA0">
        <w:t xml:space="preserve">genomförs parallellt med Ekofin Budget den </w:t>
      </w:r>
      <w:r w:rsidR="00210734" w:rsidRPr="00740BA0">
        <w:t>11 november.</w:t>
      </w:r>
    </w:p>
    <w:p w:rsidR="00210734" w:rsidRPr="00740BA0" w:rsidRDefault="00210734" w:rsidP="00210734">
      <w:pPr>
        <w:pStyle w:val="RKnormal"/>
        <w:numPr>
          <w:ilvl w:val="0"/>
          <w:numId w:val="1"/>
        </w:numPr>
      </w:pPr>
      <w:r w:rsidRPr="00740BA0">
        <w:t>Europaparlamentet fastställer budgeten senast 25 november.</w:t>
      </w:r>
    </w:p>
    <w:p w:rsidR="00492F31" w:rsidRPr="00740BA0" w:rsidRDefault="008F111F" w:rsidP="00492F31">
      <w:pPr>
        <w:pStyle w:val="RKrubrik"/>
      </w:pPr>
      <w:r w:rsidRPr="00740BA0">
        <w:t>K</w:t>
      </w:r>
      <w:r w:rsidR="00B066F8" w:rsidRPr="00740BA0">
        <w:t xml:space="preserve">ommissionens </w:t>
      </w:r>
      <w:r w:rsidR="00492F31" w:rsidRPr="00740BA0">
        <w:t xml:space="preserve">budgetförslag för </w:t>
      </w:r>
      <w:r w:rsidR="00AA294B" w:rsidRPr="00740BA0">
        <w:t>2011</w:t>
      </w:r>
    </w:p>
    <w:p w:rsidR="003A6C3D" w:rsidRPr="00740BA0" w:rsidRDefault="00286CCA" w:rsidP="005F1CF2">
      <w:pPr>
        <w:pStyle w:val="RKnormal"/>
      </w:pPr>
      <w:r w:rsidRPr="00740BA0">
        <w:t xml:space="preserve">Kommissionen </w:t>
      </w:r>
      <w:r w:rsidR="007C7325" w:rsidRPr="00740BA0">
        <w:t>antog</w:t>
      </w:r>
      <w:r w:rsidRPr="00740BA0">
        <w:t xml:space="preserve"> den 27 april sitt förslag (Draft Budget – DB) till EU:s årsbudget för 2011.</w:t>
      </w:r>
      <w:r w:rsidR="00492F31" w:rsidRPr="00740BA0">
        <w:t xml:space="preserve"> </w:t>
      </w:r>
      <w:r w:rsidRPr="00740BA0">
        <w:t xml:space="preserve">Förslaget innebär en ökning av åtagandeanslagen med </w:t>
      </w:r>
      <w:r w:rsidR="003A6C3D" w:rsidRPr="00740BA0">
        <w:t>totalt 1 073 miljoner euro till 142 565 miljoner euro</w:t>
      </w:r>
      <w:r w:rsidRPr="00740BA0">
        <w:t xml:space="preserve">, vilket motsvarar en ökning med 0,8% jämfört </w:t>
      </w:r>
      <w:r w:rsidR="000E7409" w:rsidRPr="00740BA0">
        <w:t>med budgeten för 2010. Åtagandeanslagen</w:t>
      </w:r>
      <w:r w:rsidRPr="00740BA0">
        <w:t xml:space="preserve"> motsvarar 1,1</w:t>
      </w:r>
      <w:r w:rsidR="00492F31" w:rsidRPr="00740BA0">
        <w:t>4</w:t>
      </w:r>
      <w:r w:rsidRPr="00740BA0">
        <w:t xml:space="preserve">% av medlemsstaternas samlade BNI, vilket kan jämföras med 1,18% i budgeten för 2010. </w:t>
      </w:r>
      <w:r w:rsidR="003A6C3D" w:rsidRPr="00740BA0">
        <w:t>Förslaget lämnar en marginal på 1 236 miljoner euro under den fleråriga budgetramen</w:t>
      </w:r>
      <w:r w:rsidRPr="00740BA0">
        <w:t xml:space="preserve">. Betalningsanslagen föreslås öka med </w:t>
      </w:r>
      <w:r w:rsidR="003A6C3D" w:rsidRPr="00740BA0">
        <w:t>7 179 miljoner euro till totalt 130 136 miljoner euro</w:t>
      </w:r>
      <w:r w:rsidRPr="00740BA0">
        <w:t>, vilket motsvarar en ökning med 5,8% jämfört med budgeten för 2010. Betalningsnivån motsvarar 1,0</w:t>
      </w:r>
      <w:r w:rsidR="00492F31" w:rsidRPr="00740BA0">
        <w:t>4</w:t>
      </w:r>
      <w:r w:rsidRPr="00740BA0">
        <w:t xml:space="preserve">% av medlemsstaternas samlade BNI, vilket kan jämföras med 1,02% för budgeten 2010. </w:t>
      </w:r>
    </w:p>
    <w:p w:rsidR="003A6C3D" w:rsidRPr="00740BA0" w:rsidRDefault="003A6C3D" w:rsidP="005F1CF2">
      <w:pPr>
        <w:pStyle w:val="RKnormal"/>
      </w:pPr>
    </w:p>
    <w:p w:rsidR="00286CCA" w:rsidRPr="00740BA0" w:rsidRDefault="00AA294B" w:rsidP="005F1CF2">
      <w:pPr>
        <w:pStyle w:val="RKnormal"/>
      </w:pPr>
      <w:r w:rsidRPr="00740BA0">
        <w:t>Kommissionens</w:t>
      </w:r>
      <w:r w:rsidR="00286CCA" w:rsidRPr="00740BA0">
        <w:t xml:space="preserve"> budgetförslag ligger inom de utgiftsramar som rådet, Europaparlamentet och </w:t>
      </w:r>
      <w:r w:rsidRPr="00740BA0">
        <w:t xml:space="preserve">kommissionen </w:t>
      </w:r>
      <w:r w:rsidR="00286CCA" w:rsidRPr="00740BA0">
        <w:t>beslutat om i den fleråriga budgetramen. Take</w:t>
      </w:r>
      <w:r w:rsidR="005D1F61" w:rsidRPr="00740BA0">
        <w:t>n</w:t>
      </w:r>
      <w:r w:rsidR="00286CCA" w:rsidRPr="00740BA0">
        <w:t xml:space="preserve"> för åtaganden i budgetra</w:t>
      </w:r>
      <w:r w:rsidR="007C7325" w:rsidRPr="00740BA0">
        <w:t>men för år 2011 uppgår till 1,15</w:t>
      </w:r>
      <w:r w:rsidR="00286CCA" w:rsidRPr="00740BA0">
        <w:t xml:space="preserve">% av medlemsstaternas BNI och </w:t>
      </w:r>
      <w:r w:rsidR="007C7325" w:rsidRPr="00740BA0">
        <w:t>betalningsnivån uppgår till 1,08</w:t>
      </w:r>
      <w:r w:rsidR="00286CCA" w:rsidRPr="00740BA0">
        <w:t xml:space="preserve"> % av medlemsstaternas BNI. </w:t>
      </w:r>
    </w:p>
    <w:p w:rsidR="00286CCA" w:rsidRPr="00740BA0" w:rsidRDefault="00286CCA" w:rsidP="008F111F">
      <w:pPr>
        <w:pStyle w:val="RKnormal"/>
      </w:pPr>
    </w:p>
    <w:p w:rsidR="00492F31" w:rsidRPr="00740BA0" w:rsidRDefault="00492F31" w:rsidP="008F111F">
      <w:pPr>
        <w:pStyle w:val="RKnormal"/>
      </w:pPr>
    </w:p>
    <w:p w:rsidR="00492F31" w:rsidRPr="00740BA0" w:rsidRDefault="00492F31" w:rsidP="00AE60C7">
      <w:pPr>
        <w:pStyle w:val="RKrubrik"/>
      </w:pPr>
      <w:r w:rsidRPr="00740BA0">
        <w:lastRenderedPageBreak/>
        <w:t>Ändringsskrivelser till kommissionens budgetförslag</w:t>
      </w:r>
    </w:p>
    <w:p w:rsidR="00492F31" w:rsidRPr="00740BA0" w:rsidRDefault="00492F31" w:rsidP="00492F31">
      <w:pPr>
        <w:pStyle w:val="RKnormal"/>
      </w:pPr>
      <w:r w:rsidRPr="00740BA0">
        <w:t xml:space="preserve">Under årsbudgetprocessen har kommissionen även presenterat tre ändringsskrivelser till budgetförslaget. </w:t>
      </w:r>
    </w:p>
    <w:p w:rsidR="00AE60C7" w:rsidRPr="00740BA0" w:rsidRDefault="00492F31" w:rsidP="00AE60C7">
      <w:pPr>
        <w:pStyle w:val="Rubrik3"/>
      </w:pPr>
      <w:r w:rsidRPr="00740BA0">
        <w:t xml:space="preserve">Ändringsskrivelse nr. </w:t>
      </w:r>
      <w:r w:rsidR="007C7325" w:rsidRPr="00740BA0">
        <w:t>1 – Europeiska utrikestjänsten</w:t>
      </w:r>
    </w:p>
    <w:p w:rsidR="00492F31" w:rsidRPr="00740BA0" w:rsidRDefault="00AE60C7" w:rsidP="00492F31">
      <w:pPr>
        <w:pStyle w:val="RKnormal"/>
      </w:pPr>
      <w:r w:rsidRPr="00740BA0">
        <w:t xml:space="preserve">Kommissionen föreslår utökade utgifter för den </w:t>
      </w:r>
      <w:r w:rsidR="00492F31" w:rsidRPr="00740BA0">
        <w:t xml:space="preserve">Europeiska utrikestjänsten (EEAS) </w:t>
      </w:r>
      <w:r w:rsidRPr="00740BA0">
        <w:t xml:space="preserve">inom </w:t>
      </w:r>
      <w:r w:rsidR="00492F31" w:rsidRPr="00740BA0">
        <w:t xml:space="preserve">rubrik 5 Administration med totalt 34,5 miljoner euro. </w:t>
      </w:r>
      <w:r w:rsidR="005D1F61" w:rsidRPr="00740BA0">
        <w:t>Ökningen</w:t>
      </w:r>
      <w:r w:rsidR="00492F31" w:rsidRPr="00740BA0">
        <w:t xml:space="preserve"> ska framförallt finansiera totalt 118 nya tjänster inom EEAS. </w:t>
      </w:r>
    </w:p>
    <w:p w:rsidR="00AE60C7" w:rsidRPr="00740BA0" w:rsidRDefault="00492F31" w:rsidP="00AE60C7">
      <w:pPr>
        <w:pStyle w:val="Rubrik3"/>
      </w:pPr>
      <w:r w:rsidRPr="00740BA0">
        <w:t>Ändringsskrivelse nr. 2</w:t>
      </w:r>
      <w:r w:rsidR="007C7325" w:rsidRPr="00740BA0">
        <w:t xml:space="preserve"> – Europol och tillsynsmyndigheterna</w:t>
      </w:r>
    </w:p>
    <w:p w:rsidR="00492F31" w:rsidRPr="00740BA0" w:rsidRDefault="00AE60C7" w:rsidP="00492F31">
      <w:pPr>
        <w:pStyle w:val="RKnormal"/>
      </w:pPr>
      <w:r w:rsidRPr="00740BA0">
        <w:t xml:space="preserve">Kommissionen föreslår en </w:t>
      </w:r>
      <w:r w:rsidR="00492F31" w:rsidRPr="00740BA0">
        <w:t>ökning av EU:s bidrag till Europol med 0,6 miljoner euro och till de tre tillsynsmyndigheter</w:t>
      </w:r>
      <w:r w:rsidR="007C7325" w:rsidRPr="00740BA0">
        <w:t>na</w:t>
      </w:r>
      <w:r w:rsidR="00492F31" w:rsidRPr="00740BA0">
        <w:t xml:space="preserve"> inom finansområdet, Europeiska bankmyndigheten (EBA), Europeiska försäkrings- och tjänstepensionsmyndigheten (EIOPA) och Europeiska värdepappers- och marknadsmyndigheten (ESMA) med sammanlagt 1,2 miljoner euro samt en ökning av antalet tjänster i </w:t>
      </w:r>
      <w:r w:rsidR="005D1F61" w:rsidRPr="00740BA0">
        <w:t>dessa</w:t>
      </w:r>
      <w:r w:rsidR="00492F31" w:rsidRPr="00740BA0">
        <w:t xml:space="preserve"> myndigheters tjänste</w:t>
      </w:r>
      <w:r w:rsidR="00492F31" w:rsidRPr="00740BA0">
        <w:softHyphen/>
        <w:t xml:space="preserve">förteckningar. </w:t>
      </w:r>
      <w:r w:rsidR="007C7325" w:rsidRPr="00740BA0">
        <w:t>Utgiftsökningarna</w:t>
      </w:r>
      <w:r w:rsidR="00492F31" w:rsidRPr="00740BA0">
        <w:t xml:space="preserve"> av ändringsskrivelse</w:t>
      </w:r>
      <w:r w:rsidR="007C7325" w:rsidRPr="00740BA0">
        <w:t>n</w:t>
      </w:r>
      <w:r w:rsidR="00492F31" w:rsidRPr="00740BA0">
        <w:t xml:space="preserve"> uppgår till samm</w:t>
      </w:r>
      <w:r w:rsidR="007C7325" w:rsidRPr="00740BA0">
        <w:t xml:space="preserve">anlagt 1,8 miljoner euro netto i åtagande- och betalningsanslag </w:t>
      </w:r>
      <w:r w:rsidR="00492F31" w:rsidRPr="00740BA0">
        <w:t>för år 2011</w:t>
      </w:r>
      <w:r w:rsidRPr="00740BA0">
        <w:t>.</w:t>
      </w:r>
    </w:p>
    <w:p w:rsidR="007C7325" w:rsidRPr="00740BA0" w:rsidRDefault="007C7325" w:rsidP="007C7325">
      <w:pPr>
        <w:pStyle w:val="Rubrik3"/>
      </w:pPr>
      <w:r w:rsidRPr="00740BA0">
        <w:t>Ändringsskrivelse nr. 3 – Jordbrukspolitiken</w:t>
      </w:r>
    </w:p>
    <w:p w:rsidR="00286CCA" w:rsidRPr="00740BA0" w:rsidRDefault="00AE60C7" w:rsidP="008F111F">
      <w:pPr>
        <w:pStyle w:val="RKnormal"/>
      </w:pPr>
      <w:r w:rsidRPr="00740BA0">
        <w:t xml:space="preserve">Kommissionen föreslår minskningar i </w:t>
      </w:r>
      <w:r w:rsidR="00492F31" w:rsidRPr="00740BA0">
        <w:t xml:space="preserve">budgetförslaget </w:t>
      </w:r>
      <w:r w:rsidRPr="00740BA0">
        <w:t xml:space="preserve">på jordbuksområdet </w:t>
      </w:r>
      <w:r w:rsidR="00492F31" w:rsidRPr="00740BA0">
        <w:t xml:space="preserve">med hänsyn taget till uppdaterade prognoser. </w:t>
      </w:r>
      <w:r w:rsidR="000E7409" w:rsidRPr="00740BA0">
        <w:t>Kommissionen</w:t>
      </w:r>
      <w:r w:rsidR="00492F31" w:rsidRPr="00740BA0">
        <w:t xml:space="preserve"> föreslår att åtagandeanslagen för år 2011 minskas med totalt 347 miljoner euro och betalningsanslagen med 346 miljoner euro. Orsaken är framförallt minskade utgifter för marknadsåtgärder som ett resultat av högre priser på framförallt spannmål och mejeriprodukter samt ökade öronmärkta inkomster under 2010 som minskar behovet av anslag under 2011.</w:t>
      </w:r>
    </w:p>
    <w:p w:rsidR="00B066F8" w:rsidRPr="00740BA0" w:rsidRDefault="00B066F8" w:rsidP="00B066F8">
      <w:pPr>
        <w:pStyle w:val="RKrubrik"/>
      </w:pPr>
      <w:r w:rsidRPr="00740BA0">
        <w:t>Rådets läsning</w:t>
      </w:r>
    </w:p>
    <w:p w:rsidR="00492F31" w:rsidRPr="00740BA0" w:rsidRDefault="003A6C3D" w:rsidP="003A6C3D">
      <w:pPr>
        <w:pStyle w:val="RKnormal"/>
      </w:pPr>
      <w:r w:rsidRPr="00740BA0">
        <w:t xml:space="preserve">Rådets läsning innebär en minskning </w:t>
      </w:r>
      <w:r w:rsidR="000E7409" w:rsidRPr="00740BA0">
        <w:t xml:space="preserve">av åtagandeanslagen </w:t>
      </w:r>
      <w:r w:rsidRPr="00740BA0">
        <w:t xml:space="preserve">med 788 miljoner euro till 141 777 miljoner euro och </w:t>
      </w:r>
      <w:r w:rsidR="000E7409" w:rsidRPr="00740BA0">
        <w:t>av betalningsanslagen med</w:t>
      </w:r>
      <w:r w:rsidRPr="00740BA0">
        <w:t xml:space="preserve"> 3 609 miljoner euro till 126 527 miljoner euro. </w:t>
      </w:r>
      <w:r w:rsidR="00492F31" w:rsidRPr="00740BA0">
        <w:t>Neddragning</w:t>
      </w:r>
      <w:r w:rsidR="000E7409" w:rsidRPr="00740BA0">
        <w:t>arna</w:t>
      </w:r>
      <w:r w:rsidR="00492F31" w:rsidRPr="00740BA0">
        <w:t xml:space="preserve"> på åtaganden är främst riktad</w:t>
      </w:r>
      <w:r w:rsidR="000E7409" w:rsidRPr="00740BA0">
        <w:t>e</w:t>
      </w:r>
      <w:r w:rsidR="00492F31" w:rsidRPr="00740BA0">
        <w:t xml:space="preserve"> mot jordbruksutgifter och administrativa utgifter, medan betalningsnivåerna minskas för anslag som historiskt haft lågt genomförande, framförallt </w:t>
      </w:r>
      <w:r w:rsidR="000E7409" w:rsidRPr="00740BA0">
        <w:t xml:space="preserve">inom </w:t>
      </w:r>
      <w:r w:rsidR="00492F31" w:rsidRPr="00740BA0">
        <w:t>sammanhållningspolitiken, politiken för konkurrenskraft, jordbrukspolitiken och utrikespolitiken.</w:t>
      </w:r>
    </w:p>
    <w:p w:rsidR="00492F31" w:rsidRPr="00740BA0" w:rsidRDefault="00492F31" w:rsidP="00492F31">
      <w:pPr>
        <w:pStyle w:val="RKnormal"/>
      </w:pPr>
    </w:p>
    <w:p w:rsidR="00492F31" w:rsidRPr="00740BA0" w:rsidRDefault="00492F31" w:rsidP="00492F31">
      <w:pPr>
        <w:pStyle w:val="RKnormal"/>
      </w:pPr>
      <w:r w:rsidRPr="00740BA0">
        <w:t>Åtagandeanslagen i rådets läsning motsvarar 1,13% av medlemsstaternas samlade BNI och betalningsanslagen 1,01% av unionens samlade BNI</w:t>
      </w:r>
    </w:p>
    <w:p w:rsidR="00A52F91" w:rsidRPr="00740BA0" w:rsidRDefault="00A52F91">
      <w:pPr>
        <w:pStyle w:val="RKrubrik"/>
      </w:pPr>
      <w:r w:rsidRPr="00740BA0">
        <w:t>Europaparlamentets läsning</w:t>
      </w:r>
    </w:p>
    <w:p w:rsidR="003A6C3D" w:rsidRPr="00740BA0" w:rsidRDefault="008E6492" w:rsidP="003A6C3D">
      <w:pPr>
        <w:pStyle w:val="RKnormal"/>
      </w:pPr>
      <w:r w:rsidRPr="00740BA0">
        <w:t xml:space="preserve">Europaparlamentets läsning innebär en </w:t>
      </w:r>
      <w:r w:rsidR="00347CA8" w:rsidRPr="00740BA0">
        <w:t xml:space="preserve">ökning </w:t>
      </w:r>
      <w:r w:rsidRPr="00740BA0">
        <w:t xml:space="preserve">av åtagandeanslagen i förhållande till kommissionens budgetförslag med 504 miljoner euro och av betalningsanslagen med 423 miljoner euro. I förhållande till rådets läsning innebär förslaget en ökning av åtagandeanslagen med 1 292 miljoner euro och </w:t>
      </w:r>
      <w:r w:rsidR="00347CA8" w:rsidRPr="00740BA0">
        <w:t>av</w:t>
      </w:r>
      <w:r w:rsidRPr="00740BA0">
        <w:t xml:space="preserve"> betalningsanslagen med 4 032 miljoner euro.</w:t>
      </w:r>
    </w:p>
    <w:p w:rsidR="000E7409" w:rsidRPr="00740BA0" w:rsidRDefault="000E7409" w:rsidP="003A6C3D">
      <w:pPr>
        <w:pStyle w:val="RKnormal"/>
      </w:pPr>
    </w:p>
    <w:p w:rsidR="003A6C3D" w:rsidRPr="00740BA0" w:rsidRDefault="003A6C3D" w:rsidP="003A6C3D">
      <w:pPr>
        <w:pStyle w:val="RKnormal"/>
        <w:rPr>
          <w:i/>
        </w:rPr>
      </w:pPr>
      <w:r w:rsidRPr="00740BA0">
        <w:t>Ökning</w:t>
      </w:r>
      <w:r w:rsidR="000E7409" w:rsidRPr="00740BA0">
        <w:t>arna</w:t>
      </w:r>
      <w:r w:rsidRPr="00740BA0">
        <w:t xml:space="preserve"> </w:t>
      </w:r>
      <w:r w:rsidR="000E7409" w:rsidRPr="00740BA0">
        <w:t>av</w:t>
      </w:r>
      <w:r w:rsidRPr="00740BA0">
        <w:t xml:space="preserve"> åtagandeanslag</w:t>
      </w:r>
      <w:r w:rsidR="000E7409" w:rsidRPr="00740BA0">
        <w:t>en</w:t>
      </w:r>
      <w:r w:rsidRPr="00740BA0">
        <w:t xml:space="preserve"> i förhållande till rådets läsning är främst riktad</w:t>
      </w:r>
      <w:r w:rsidR="000E7409" w:rsidRPr="00740BA0">
        <w:t>e</w:t>
      </w:r>
      <w:r w:rsidRPr="00740BA0">
        <w:t xml:space="preserve"> mot jordbruksutgifterna, utrikespolitiken, administrationen och politiken för konkurrens</w:t>
      </w:r>
      <w:r w:rsidRPr="00740BA0">
        <w:softHyphen/>
        <w:t>kraft</w:t>
      </w:r>
      <w:r w:rsidRPr="00740BA0">
        <w:rPr>
          <w:i/>
        </w:rPr>
        <w:t>.</w:t>
      </w:r>
      <w:r w:rsidRPr="00740BA0">
        <w:t xml:space="preserve"> Ökningarna inom betalningsanslagen avser framförallt politiken för konkurrenskraft, sammanhållningspolitiken, jordbrukspolitiken och utrikespolitiken. </w:t>
      </w:r>
      <w:r w:rsidRPr="00740BA0">
        <w:rPr>
          <w:i/>
        </w:rPr>
        <w:t xml:space="preserve"> </w:t>
      </w:r>
    </w:p>
    <w:p w:rsidR="003A6C3D" w:rsidRPr="00740BA0" w:rsidRDefault="003A6C3D" w:rsidP="003A6C3D">
      <w:pPr>
        <w:pStyle w:val="RKnormal"/>
      </w:pPr>
    </w:p>
    <w:p w:rsidR="003A6C3D" w:rsidRPr="00740BA0" w:rsidRDefault="003A6C3D" w:rsidP="003A6C3D">
      <w:pPr>
        <w:pStyle w:val="RKnormal"/>
      </w:pPr>
      <w:r w:rsidRPr="00740BA0">
        <w:t>Åtagandeanslag</w:t>
      </w:r>
      <w:r w:rsidR="008E6492" w:rsidRPr="00740BA0">
        <w:t xml:space="preserve">en motsvarar i </w:t>
      </w:r>
      <w:r w:rsidR="00347CA8" w:rsidRPr="00740BA0">
        <w:t>Europaparlamentets</w:t>
      </w:r>
      <w:r w:rsidR="008E6492" w:rsidRPr="00740BA0">
        <w:t xml:space="preserve"> läsning 1,14</w:t>
      </w:r>
      <w:r w:rsidRPr="00740BA0">
        <w:t xml:space="preserve">% av medlemsstaternas samlade BNI och betalningsanslagen motsvarar 1,04% av unionens samlade BNI. </w:t>
      </w:r>
    </w:p>
    <w:p w:rsidR="00AE60C7" w:rsidRPr="00740BA0" w:rsidRDefault="00AE60C7" w:rsidP="00AE60C7">
      <w:pPr>
        <w:pStyle w:val="RKnormal"/>
      </w:pPr>
    </w:p>
    <w:p w:rsidR="00AE60C7" w:rsidRPr="00740BA0" w:rsidRDefault="00AE60C7" w:rsidP="00AE60C7">
      <w:pPr>
        <w:pStyle w:val="RKnormal"/>
      </w:pPr>
      <w:r w:rsidRPr="00740BA0">
        <w:t>Tabell 1</w:t>
      </w:r>
      <w:r w:rsidR="000E7409" w:rsidRPr="00740BA0">
        <w:t>.</w:t>
      </w:r>
      <w:r w:rsidRPr="00740BA0">
        <w:t xml:space="preserve"> nedan sammanfattar kommissionens förslag samt rådets och Europaparlamentets läsning av budgetförslaget.</w:t>
      </w:r>
    </w:p>
    <w:p w:rsidR="00AE60C7" w:rsidRPr="00740BA0" w:rsidRDefault="00AE60C7" w:rsidP="00AE60C7">
      <w:pPr>
        <w:pStyle w:val="RKnormal"/>
      </w:pPr>
    </w:p>
    <w:p w:rsidR="008E6492" w:rsidRPr="00740BA0" w:rsidRDefault="008E6492" w:rsidP="00AE60C7">
      <w:pPr>
        <w:pStyle w:val="RKnormal"/>
        <w:ind w:left="851"/>
        <w:rPr>
          <w:b/>
        </w:rPr>
        <w:sectPr w:rsidR="008E6492" w:rsidRPr="00740BA0" w:rsidSect="00AE60C7">
          <w:headerReference w:type="even" r:id="rId7"/>
          <w:headerReference w:type="default" r:id="rId8"/>
          <w:headerReference w:type="first" r:id="rId9"/>
          <w:type w:val="continuous"/>
          <w:pgSz w:w="11907" w:h="16840" w:code="9"/>
          <w:pgMar w:top="567" w:right="1701" w:bottom="720" w:left="2835" w:header="709" w:footer="539" w:gutter="0"/>
          <w:cols w:space="720"/>
          <w:formProt w:val="0"/>
          <w:titlePg/>
        </w:sectPr>
      </w:pPr>
    </w:p>
    <w:p w:rsidR="00AE60C7" w:rsidRPr="00740BA0" w:rsidRDefault="00AE60C7" w:rsidP="001011BF">
      <w:pPr>
        <w:pStyle w:val="RKrubrik"/>
      </w:pPr>
      <w:r w:rsidRPr="00740BA0">
        <w:t xml:space="preserve">Tabell 1: Sammanställning av </w:t>
      </w:r>
      <w:r w:rsidR="000E7409" w:rsidRPr="00740BA0">
        <w:t xml:space="preserve">rådets och Europaparlamentets </w:t>
      </w:r>
      <w:r w:rsidR="006B2948" w:rsidRPr="00740BA0">
        <w:t>behandlingar</w:t>
      </w:r>
      <w:r w:rsidR="000E7409" w:rsidRPr="00740BA0">
        <w:t xml:space="preserve"> av budgetförslaget för </w:t>
      </w:r>
      <w:r w:rsidRPr="00740BA0">
        <w:t>2011</w:t>
      </w:r>
    </w:p>
    <w:p w:rsidR="00AE60C7" w:rsidRPr="00740BA0" w:rsidRDefault="00AE60C7" w:rsidP="00AE60C7">
      <w:pPr>
        <w:pStyle w:val="RKnormal"/>
      </w:pPr>
    </w:p>
    <w:p w:rsidR="00AE60C7" w:rsidRPr="00740BA0" w:rsidRDefault="00740BA0" w:rsidP="00AE60C7">
      <w:pPr>
        <w:pStyle w:val="RKnormal"/>
      </w:pPr>
      <w:r w:rsidRPr="00740BA0">
        <w:rPr>
          <w:noProof/>
          <w:lang w:eastAsia="sv-SE"/>
        </w:rPr>
        <mc:AlternateContent>
          <mc:Choice Requires="wps">
            <w:drawing>
              <wp:anchor distT="0" distB="0" distL="114300" distR="114300" simplePos="0" relativeHeight="251657728" behindDoc="0" locked="0" layoutInCell="1" allowOverlap="1">
                <wp:simplePos x="0" y="0"/>
                <wp:positionH relativeFrom="column">
                  <wp:posOffset>-62865</wp:posOffset>
                </wp:positionH>
                <wp:positionV relativeFrom="paragraph">
                  <wp:posOffset>170180</wp:posOffset>
                </wp:positionV>
                <wp:extent cx="10134600" cy="4114800"/>
                <wp:effectExtent l="0" t="0" r="0" b="0"/>
                <wp:wrapNone/>
                <wp:docPr id="169487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0" cy="411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60C7" w:rsidRPr="00740BA0" w:rsidRDefault="00740BA0" w:rsidP="00AE60C7">
                            <w:pPr>
                              <w:pStyle w:val="RKnormal"/>
                              <w:rPr>
                                <w:sz w:val="16"/>
                                <w:szCs w:val="16"/>
                              </w:rPr>
                            </w:pPr>
                            <w:r w:rsidRPr="00740BA0">
                              <w:rPr>
                                <w:noProof/>
                              </w:rPr>
                              <w:drawing>
                                <wp:inline distT="0" distB="0" distL="0" distR="0">
                                  <wp:extent cx="9740900" cy="35115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40900" cy="3511550"/>
                                          </a:xfrm>
                                          <a:prstGeom prst="rect">
                                            <a:avLst/>
                                          </a:prstGeom>
                                          <a:noFill/>
                                          <a:ln>
                                            <a:noFill/>
                                          </a:ln>
                                        </pic:spPr>
                                      </pic:pic>
                                    </a:graphicData>
                                  </a:graphic>
                                </wp:inline>
                              </w:drawing>
                            </w:r>
                          </w:p>
                          <w:p w:rsidR="00AE60C7" w:rsidRPr="00740BA0" w:rsidRDefault="00AE60C7" w:rsidP="00AE60C7"/>
                          <w:p w:rsidR="00AE60C7" w:rsidRPr="00740BA0" w:rsidRDefault="00AE60C7" w:rsidP="00AE60C7"/>
                          <w:p w:rsidR="00AE60C7" w:rsidRPr="00740BA0" w:rsidRDefault="00AE60C7" w:rsidP="00AE60C7"/>
                          <w:p w:rsidR="00AE60C7" w:rsidRPr="00740BA0" w:rsidRDefault="00AE60C7" w:rsidP="00AE60C7"/>
                          <w:p w:rsidR="00AE60C7" w:rsidRPr="00740BA0" w:rsidRDefault="00AE60C7" w:rsidP="00AE60C7"/>
                          <w:p w:rsidR="00AE60C7" w:rsidRPr="00740BA0" w:rsidRDefault="00AE60C7" w:rsidP="00AE60C7"/>
                          <w:p w:rsidR="00AE60C7" w:rsidRPr="00740BA0" w:rsidRDefault="00AE60C7" w:rsidP="00AE60C7"/>
                          <w:p w:rsidR="00AE60C7" w:rsidRPr="00740BA0" w:rsidRDefault="00AE60C7" w:rsidP="00AE60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4.95pt;margin-top:13.4pt;width:798pt;height:3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" stroked="f">
                <v:textbox>
                  <w:txbxContent>
                    <w:p w:rsidR="00AE60C7" w:rsidRPr="00740BA0" w:rsidRDefault="00740BA0" w:rsidP="00AE60C7">
                      <w:pPr>
                        <w:pStyle w:val="RKnormal"/>
                        <w:rPr>
                          <w:sz w:val="16"/>
                          <w:szCs w:val="16"/>
                        </w:rPr>
                      </w:pPr>
                      <w:r w:rsidRPr="00740BA0">
                        <w:rPr>
                          <w:noProof/>
                        </w:rPr>
                        <w:drawing>
                          <wp:inline distT="0" distB="0" distL="0" distR="0">
                            <wp:extent cx="9740900" cy="35115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40900" cy="3511550"/>
                                    </a:xfrm>
                                    <a:prstGeom prst="rect">
                                      <a:avLst/>
                                    </a:prstGeom>
                                    <a:noFill/>
                                    <a:ln>
                                      <a:noFill/>
                                    </a:ln>
                                  </pic:spPr>
                                </pic:pic>
                              </a:graphicData>
                            </a:graphic>
                          </wp:inline>
                        </w:drawing>
                      </w:r>
                    </w:p>
                    <w:p w:rsidR="00AE60C7" w:rsidRPr="00740BA0" w:rsidRDefault="00AE60C7" w:rsidP="00AE60C7"/>
                    <w:p w:rsidR="00AE60C7" w:rsidRPr="00740BA0" w:rsidRDefault="00AE60C7" w:rsidP="00AE60C7"/>
                    <w:p w:rsidR="00AE60C7" w:rsidRPr="00740BA0" w:rsidRDefault="00AE60C7" w:rsidP="00AE60C7"/>
                    <w:p w:rsidR="00AE60C7" w:rsidRPr="00740BA0" w:rsidRDefault="00AE60C7" w:rsidP="00AE60C7"/>
                    <w:p w:rsidR="00AE60C7" w:rsidRPr="00740BA0" w:rsidRDefault="00AE60C7" w:rsidP="00AE60C7"/>
                    <w:p w:rsidR="00AE60C7" w:rsidRPr="00740BA0" w:rsidRDefault="00AE60C7" w:rsidP="00AE60C7"/>
                    <w:p w:rsidR="00AE60C7" w:rsidRPr="00740BA0" w:rsidRDefault="00AE60C7" w:rsidP="00AE60C7"/>
                    <w:p w:rsidR="00AE60C7" w:rsidRPr="00740BA0" w:rsidRDefault="00AE60C7" w:rsidP="00AE60C7"/>
                  </w:txbxContent>
                </v:textbox>
              </v:shape>
            </w:pict>
          </mc:Fallback>
        </mc:AlternateContent>
      </w:r>
    </w:p>
    <w:p w:rsidR="00AE60C7" w:rsidRPr="00740BA0" w:rsidRDefault="00AE60C7" w:rsidP="00AE60C7">
      <w:pPr>
        <w:pStyle w:val="RKnormal"/>
      </w:pPr>
    </w:p>
    <w:p w:rsidR="00AE60C7" w:rsidRPr="00740BA0" w:rsidRDefault="00AE60C7" w:rsidP="00AE60C7">
      <w:pPr>
        <w:pStyle w:val="RKnormal"/>
      </w:pPr>
    </w:p>
    <w:p w:rsidR="00AE60C7" w:rsidRPr="00740BA0" w:rsidRDefault="00AE60C7" w:rsidP="00AE60C7">
      <w:pPr>
        <w:pStyle w:val="RKnormal"/>
      </w:pPr>
    </w:p>
    <w:p w:rsidR="00AE60C7" w:rsidRPr="00740BA0" w:rsidRDefault="00AE60C7" w:rsidP="00AE60C7">
      <w:pPr>
        <w:pStyle w:val="RKnormal"/>
      </w:pPr>
    </w:p>
    <w:p w:rsidR="00AE60C7" w:rsidRPr="00740BA0" w:rsidRDefault="00AE60C7" w:rsidP="00AE60C7">
      <w:pPr>
        <w:pStyle w:val="RKnormal"/>
      </w:pPr>
    </w:p>
    <w:p w:rsidR="00AE60C7" w:rsidRPr="00740BA0" w:rsidRDefault="00AE60C7" w:rsidP="00AE60C7">
      <w:pPr>
        <w:pStyle w:val="RKnormal"/>
      </w:pPr>
    </w:p>
    <w:p w:rsidR="00AE60C7" w:rsidRPr="00740BA0" w:rsidRDefault="00AE60C7" w:rsidP="00AE60C7">
      <w:pPr>
        <w:pStyle w:val="RKnormal"/>
      </w:pPr>
    </w:p>
    <w:p w:rsidR="00AE60C7" w:rsidRPr="00740BA0" w:rsidRDefault="00AE60C7" w:rsidP="00AE60C7">
      <w:pPr>
        <w:pStyle w:val="RKnormal"/>
      </w:pPr>
    </w:p>
    <w:p w:rsidR="00AE60C7" w:rsidRPr="00740BA0" w:rsidRDefault="00AE60C7" w:rsidP="00AE60C7">
      <w:pPr>
        <w:pStyle w:val="RKnormal"/>
      </w:pPr>
    </w:p>
    <w:p w:rsidR="00AE60C7" w:rsidRPr="00740BA0" w:rsidRDefault="00AE60C7" w:rsidP="00AE60C7">
      <w:pPr>
        <w:pStyle w:val="RKnormal"/>
      </w:pPr>
    </w:p>
    <w:p w:rsidR="00AE60C7" w:rsidRPr="00740BA0" w:rsidRDefault="00AE60C7" w:rsidP="00AE60C7">
      <w:pPr>
        <w:pStyle w:val="RKnormal"/>
      </w:pPr>
    </w:p>
    <w:p w:rsidR="00AE60C7" w:rsidRPr="00740BA0" w:rsidRDefault="00AE60C7" w:rsidP="00AE60C7">
      <w:pPr>
        <w:pStyle w:val="RKnormal"/>
      </w:pPr>
    </w:p>
    <w:p w:rsidR="00AE60C7" w:rsidRPr="00740BA0" w:rsidRDefault="00AE60C7" w:rsidP="00AE60C7">
      <w:pPr>
        <w:pStyle w:val="RKnormal"/>
      </w:pPr>
    </w:p>
    <w:p w:rsidR="00AE60C7" w:rsidRPr="00740BA0" w:rsidRDefault="00AE60C7" w:rsidP="00AE60C7">
      <w:pPr>
        <w:pStyle w:val="RKnormal"/>
      </w:pPr>
    </w:p>
    <w:p w:rsidR="00AE60C7" w:rsidRPr="00740BA0" w:rsidRDefault="00AE60C7" w:rsidP="00AE60C7">
      <w:pPr>
        <w:pStyle w:val="RKnormal"/>
      </w:pPr>
    </w:p>
    <w:p w:rsidR="00AE60C7" w:rsidRPr="00740BA0" w:rsidRDefault="00AE60C7" w:rsidP="00AE60C7">
      <w:pPr>
        <w:pStyle w:val="RKnormal"/>
      </w:pPr>
    </w:p>
    <w:p w:rsidR="00AE60C7" w:rsidRPr="00740BA0" w:rsidRDefault="00AE60C7" w:rsidP="00AE60C7">
      <w:pPr>
        <w:pStyle w:val="RKnormal"/>
      </w:pPr>
    </w:p>
    <w:p w:rsidR="00AE60C7" w:rsidRPr="00740BA0" w:rsidRDefault="00AE60C7" w:rsidP="00AE60C7">
      <w:pPr>
        <w:pStyle w:val="RKnormal"/>
      </w:pPr>
    </w:p>
    <w:p w:rsidR="00AE60C7" w:rsidRPr="00740BA0" w:rsidRDefault="00AE60C7" w:rsidP="00AE60C7">
      <w:pPr>
        <w:pStyle w:val="RKnormal"/>
      </w:pPr>
    </w:p>
    <w:p w:rsidR="00AE60C7" w:rsidRPr="00740BA0" w:rsidRDefault="00AE60C7" w:rsidP="00AE60C7">
      <w:pPr>
        <w:pStyle w:val="RKnormal"/>
      </w:pPr>
    </w:p>
    <w:p w:rsidR="001F03B0" w:rsidRPr="00740BA0" w:rsidRDefault="001F03B0" w:rsidP="00AE60C7">
      <w:pPr>
        <w:pStyle w:val="RKnormal"/>
        <w:sectPr w:rsidR="001F03B0" w:rsidRPr="00740BA0" w:rsidSect="001F03B0">
          <w:pgSz w:w="16840" w:h="11907" w:orient="landscape" w:code="9"/>
          <w:pgMar w:top="2835" w:right="567" w:bottom="1701" w:left="720" w:header="709" w:footer="539" w:gutter="0"/>
          <w:cols w:space="720"/>
          <w:formProt w:val="0"/>
          <w:titlePg/>
        </w:sectPr>
      </w:pPr>
    </w:p>
    <w:p w:rsidR="00AE60C7" w:rsidRPr="00740BA0" w:rsidRDefault="00AE60C7" w:rsidP="00AE60C7">
      <w:pPr>
        <w:pStyle w:val="RKnormal"/>
      </w:pPr>
    </w:p>
    <w:p w:rsidR="00AE60C7" w:rsidRPr="00740BA0" w:rsidRDefault="00AE60C7" w:rsidP="00AE60C7">
      <w:pPr>
        <w:pStyle w:val="RKrubrik"/>
      </w:pPr>
      <w:r w:rsidRPr="00740BA0">
        <w:t>Svensk ståndpunkt</w:t>
      </w:r>
    </w:p>
    <w:p w:rsidR="00AE60C7" w:rsidRPr="00740BA0" w:rsidRDefault="00AE60C7" w:rsidP="00AE60C7">
      <w:pPr>
        <w:pStyle w:val="Rubrik3"/>
      </w:pPr>
      <w:r w:rsidRPr="00740BA0">
        <w:t>Årsbudgeten</w:t>
      </w:r>
    </w:p>
    <w:p w:rsidR="00AE60C7" w:rsidRPr="00740BA0" w:rsidRDefault="00AE60C7" w:rsidP="007C7325">
      <w:pPr>
        <w:pStyle w:val="RKnormal"/>
      </w:pPr>
      <w:r w:rsidRPr="00740BA0">
        <w:t>Sverige verkar för en effektiv och återhållsam budgetpolitik inom EU, i enlighet med prop. 1994/95:40. Målet innebär att Sverige ska verka för en kostnadseffektiv användning av EU:s m</w:t>
      </w:r>
      <w:r w:rsidRPr="00740BA0">
        <w:t>e</w:t>
      </w:r>
      <w:r w:rsidRPr="00740BA0">
        <w:t>del och att närhetsprincipen ska tillämpas på budgetområdet. Detta innebär även strikt budget</w:t>
      </w:r>
      <w:r w:rsidR="0077094B" w:rsidRPr="00740BA0">
        <w:softHyphen/>
      </w:r>
      <w:r w:rsidRPr="00740BA0">
        <w:t xml:space="preserve">disciplin. </w:t>
      </w:r>
    </w:p>
    <w:p w:rsidR="00AE60C7" w:rsidRPr="00740BA0" w:rsidRDefault="00AE60C7" w:rsidP="007C7325">
      <w:pPr>
        <w:pStyle w:val="RKnormal"/>
      </w:pPr>
    </w:p>
    <w:p w:rsidR="00AE60C7" w:rsidRPr="00740BA0" w:rsidRDefault="00AE60C7" w:rsidP="007C7325">
      <w:pPr>
        <w:pStyle w:val="RKnormal"/>
      </w:pPr>
      <w:r w:rsidRPr="00740BA0">
        <w:t>Sveriges övergripande målsättning för 2011 års budget är därmed, liksom tidigare år, att den slutligt antagna budgeten för år 2011 med god marginal ska rymmas inom den fleråriga budgetramen för åren 2007-</w:t>
      </w:r>
      <w:r w:rsidR="007C7325" w:rsidRPr="00740BA0">
        <w:t>20</w:t>
      </w:r>
      <w:r w:rsidRPr="00740BA0">
        <w:t>13 och att den ska utgå från realistiska och väl underbyggda prognoser för att på så sätt minska risken för överbudgetering. I en situation där medlemsstaterna har höga krav på konsolidering av sina offentliga finanser är det särskilt angeläget med en restriktiv årsbudget för 2011.</w:t>
      </w:r>
    </w:p>
    <w:p w:rsidR="00AE60C7" w:rsidRPr="00740BA0" w:rsidRDefault="00AE60C7" w:rsidP="007C7325">
      <w:pPr>
        <w:pStyle w:val="RKnormal"/>
      </w:pPr>
    </w:p>
    <w:p w:rsidR="00AE60C7" w:rsidRPr="00740BA0" w:rsidRDefault="00AE60C7" w:rsidP="007C7325">
      <w:pPr>
        <w:pStyle w:val="RKnormal"/>
      </w:pPr>
      <w:r w:rsidRPr="00740BA0">
        <w:t>Sverige förespråkar sänkta åtagandeanslag i förhållande till kommission</w:t>
      </w:r>
      <w:r w:rsidR="0077094B" w:rsidRPr="00740BA0">
        <w:softHyphen/>
      </w:r>
      <w:r w:rsidRPr="00740BA0">
        <w:t>ens budgetförslag i syfte att skapa marginaler för oförutsedda utgifter under det löpande budgetåret. Detta är särskilt viktigt för rubrik 1a Konkurrenskraft för tillväxt och sysselsättning och rubrik 4 EU som global partner</w:t>
      </w:r>
      <w:r w:rsidR="007C7325" w:rsidRPr="00740BA0">
        <w:t>. Trots att kommissionens budgetförslag i stort följer den profil som beslutats i den fleråriga budgetramen anser Sverige, mot bakgrund av tidigare års överbudgetering, att vissa betalningsnivåer kan ifrågasättas.</w:t>
      </w:r>
    </w:p>
    <w:p w:rsidR="00AE60C7" w:rsidRPr="00740BA0" w:rsidRDefault="00AE60C7" w:rsidP="00AE60C7">
      <w:pPr>
        <w:pStyle w:val="Rubrik3"/>
        <w:rPr>
          <w:kern w:val="0"/>
        </w:rPr>
      </w:pPr>
      <w:r w:rsidRPr="00740BA0">
        <w:rPr>
          <w:kern w:val="0"/>
        </w:rPr>
        <w:t>Reglering av den fleråriga budgetramen, MFF</w:t>
      </w:r>
    </w:p>
    <w:p w:rsidR="00DE2E68" w:rsidRPr="00740BA0" w:rsidRDefault="00DE2E68" w:rsidP="00DE2E68">
      <w:pPr>
        <w:pStyle w:val="RKnormal"/>
      </w:pPr>
      <w:r w:rsidRPr="00740BA0">
        <w:t>Regeringen kommer under förlikningen att verka för att minimera risken för utgiftsökningar på EU-budgeten och ökningar på den svenska EU-avgiften som kan uppstå till följd av förslaget om ökad flexibilitet på EU-budgeten. Regeringen anser att en etablering av ytterligare flexibilitetsarrangemang enligt kommissionens förslag skulle vara likställigt med att riva upp överenskommelsen om budgetramen för 2007-2013. Behovet av flexibilitet på budgeten är en fråga som bör diskuteras inom ramen för förhandlingen kring nästa fleråriga budgetram och inte beslutas före den förhandlingen.</w:t>
      </w:r>
    </w:p>
    <w:p w:rsidR="00AE60C7" w:rsidRPr="00740BA0" w:rsidRDefault="00AE60C7" w:rsidP="00AE60C7">
      <w:pPr>
        <w:pStyle w:val="Rubrik3"/>
      </w:pPr>
      <w:r w:rsidRPr="00740BA0">
        <w:t>Revidering av budgetramen med anledning av ITER</w:t>
      </w:r>
    </w:p>
    <w:p w:rsidR="00E061E2" w:rsidRPr="00740BA0" w:rsidRDefault="00E061E2" w:rsidP="001425DA">
      <w:pPr>
        <w:pStyle w:val="RKnormal"/>
      </w:pPr>
      <w:r w:rsidRPr="00740BA0">
        <w:rPr>
          <w:rFonts w:cs="OrigGarmnd BT"/>
          <w:color w:val="000000"/>
          <w:szCs w:val="24"/>
          <w:lang w:eastAsia="sv-SE"/>
        </w:rPr>
        <w:t>Regeringen kommer i förhandlingen vid förlikningen att verka för att omhänderta svenska intressen samtidigt som den övergripande budget</w:t>
      </w:r>
      <w:r w:rsidRPr="00740BA0">
        <w:rPr>
          <w:rFonts w:cs="OrigGarmnd BT"/>
          <w:color w:val="000000"/>
          <w:szCs w:val="24"/>
          <w:lang w:eastAsia="sv-SE"/>
        </w:rPr>
        <w:softHyphen/>
        <w:t xml:space="preserve">restriktiva politiska inriktningen följs för </w:t>
      </w:r>
      <w:r w:rsidRPr="00740BA0">
        <w:rPr>
          <w:rFonts w:cs="OrigGarmnd BT"/>
          <w:szCs w:val="24"/>
          <w:lang w:eastAsia="sv-SE"/>
        </w:rPr>
        <w:t>att förhindra ökningen</w:t>
      </w:r>
      <w:r w:rsidRPr="00740BA0">
        <w:rPr>
          <w:rFonts w:cs="OrigGarmnd BT"/>
          <w:color w:val="000000"/>
          <w:szCs w:val="24"/>
          <w:lang w:eastAsia="sv-SE"/>
        </w:rPr>
        <w:t xml:space="preserve"> på den svenska EU-avgiften. Regeringen menar att det är viktigt att respektera den fleråriga budgetramen och därför kommer regeringen verkar för att så stor andel som möjligt finansieras genom omfördelning inom rubrik 1a. Regeringen anser vidare att förslaget bör vara fullt finansierat. Regeringen menar även att det är angeläget för ITER-projektet att sträva efter kostnadsreduktion och förbättrad styrning i syfte att pressa ned kostnaden för projektet.</w:t>
      </w:r>
    </w:p>
    <w:p w:rsidR="005F1CF2" w:rsidRPr="00740BA0" w:rsidRDefault="005F1CF2" w:rsidP="001425DA">
      <w:pPr>
        <w:pStyle w:val="RKnormal"/>
      </w:pPr>
    </w:p>
    <w:p w:rsidR="005F1CF2" w:rsidRPr="00740BA0" w:rsidRDefault="005F1CF2" w:rsidP="001425DA">
      <w:pPr>
        <w:pStyle w:val="RKnormal"/>
      </w:pPr>
    </w:p>
    <w:sectPr w:rsidR="005F1CF2" w:rsidRPr="00740BA0" w:rsidSect="0077094B">
      <w:headerReference w:type="even" r:id="rId11"/>
      <w:headerReference w:type="default" r:id="rId12"/>
      <w:headerReference w:type="first" r:id="rId13"/>
      <w:footnotePr>
        <w:numFmt w:val="lowerLetter"/>
      </w:footnotePr>
      <w:pgSz w:w="11907" w:h="16840" w:code="9"/>
      <w:pgMar w:top="567" w:right="1701" w:bottom="851"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2D87" w:rsidRPr="00740BA0" w:rsidRDefault="001A2D87">
      <w:r w:rsidRPr="00740BA0">
        <w:separator/>
      </w:r>
    </w:p>
  </w:endnote>
  <w:endnote w:type="continuationSeparator" w:id="0">
    <w:p w:rsidR="001A2D87" w:rsidRPr="00740BA0" w:rsidRDefault="001A2D87">
      <w:r w:rsidRPr="00740B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2D87" w:rsidRPr="00740BA0" w:rsidRDefault="001A2D87">
      <w:r w:rsidRPr="00740BA0">
        <w:separator/>
      </w:r>
    </w:p>
  </w:footnote>
  <w:footnote w:type="continuationSeparator" w:id="0">
    <w:p w:rsidR="001A2D87" w:rsidRPr="00740BA0" w:rsidRDefault="001A2D87">
      <w:r w:rsidRPr="00740B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0C7" w:rsidRPr="00740BA0" w:rsidRDefault="00AE60C7">
    <w:pPr>
      <w:pStyle w:val="Sidhuvud"/>
      <w:framePr w:wrap="around" w:vAnchor="text" w:hAnchor="margin" w:xAlign="right" w:y="1"/>
      <w:rPr>
        <w:rStyle w:val="Sidnummer"/>
      </w:rPr>
    </w:pPr>
    <w:r w:rsidRPr="00740BA0">
      <w:rPr>
        <w:rStyle w:val="Sidnummer"/>
      </w:rPr>
      <w:fldChar w:fldCharType="begin" w:fldLock="1"/>
    </w:r>
    <w:r w:rsidRPr="00740BA0">
      <w:rPr>
        <w:rStyle w:val="Sidnummer"/>
      </w:rPr>
      <w:instrText xml:space="preserve">PAGE  </w:instrText>
    </w:r>
    <w:r w:rsidRPr="00740BA0">
      <w:rPr>
        <w:rStyle w:val="Sidnummer"/>
      </w:rPr>
      <w:fldChar w:fldCharType="separate"/>
    </w:r>
    <w:r w:rsidR="002A2743" w:rsidRPr="00740BA0">
      <w:rPr>
        <w:rStyle w:val="Sidnummer"/>
      </w:rPr>
      <w:t>2</w:t>
    </w:r>
    <w:r w:rsidRPr="00740BA0">
      <w:rPr>
        <w:rStyle w:val="Sidnummer"/>
      </w:rPr>
      <w:fldChar w:fldCharType="end"/>
    </w:r>
  </w:p>
  <w:p w:rsidR="00AE60C7" w:rsidRPr="00740BA0" w:rsidRDefault="00AE60C7">
    <w:pPr>
      <w:pStyle w:val="Sidhuvud"/>
      <w:ind w:right="360"/>
    </w:pPr>
  </w:p>
  <w:p w:rsidR="00AE60C7" w:rsidRPr="00740BA0" w:rsidRDefault="00AE60C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0C7" w:rsidRPr="00740BA0" w:rsidRDefault="00AE60C7">
    <w:pPr>
      <w:pStyle w:val="Sidhuvud"/>
      <w:framePr w:wrap="around" w:vAnchor="text" w:hAnchor="margin" w:xAlign="right" w:y="1"/>
      <w:rPr>
        <w:rStyle w:val="Sidnummer"/>
      </w:rPr>
    </w:pPr>
    <w:r w:rsidRPr="00740BA0">
      <w:rPr>
        <w:rStyle w:val="Sidnummer"/>
      </w:rPr>
      <w:fldChar w:fldCharType="begin" w:fldLock="1"/>
    </w:r>
    <w:r w:rsidRPr="00740BA0">
      <w:rPr>
        <w:rStyle w:val="Sidnummer"/>
      </w:rPr>
      <w:instrText xml:space="preserve">PAGE  </w:instrText>
    </w:r>
    <w:r w:rsidRPr="00740BA0">
      <w:rPr>
        <w:rStyle w:val="Sidnummer"/>
      </w:rPr>
      <w:fldChar w:fldCharType="separate"/>
    </w:r>
    <w:r w:rsidR="002A2743" w:rsidRPr="00740BA0">
      <w:rPr>
        <w:rStyle w:val="Sidnummer"/>
      </w:rPr>
      <w:t>3</w:t>
    </w:r>
    <w:r w:rsidRPr="00740BA0">
      <w:rPr>
        <w:rStyle w:val="Sidnummer"/>
      </w:rPr>
      <w:fldChar w:fldCharType="end"/>
    </w:r>
  </w:p>
  <w:p w:rsidR="00AE60C7" w:rsidRPr="00740BA0" w:rsidRDefault="00AE60C7">
    <w:pPr>
      <w:pStyle w:val="Sidhuvud"/>
      <w:ind w:right="360"/>
    </w:pPr>
  </w:p>
  <w:p w:rsidR="00AE60C7" w:rsidRPr="00740BA0" w:rsidRDefault="00AE60C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0C7" w:rsidRPr="00740BA0" w:rsidRDefault="00AE60C7">
    <w:pPr>
      <w:framePr w:w="2948" w:h="1321" w:hRule="exact" w:wrap="notBeside" w:vAnchor="page" w:hAnchor="page" w:x="1362" w:y="653"/>
    </w:pPr>
  </w:p>
  <w:p w:rsidR="00AE60C7" w:rsidRPr="00740BA0" w:rsidRDefault="00AE60C7">
    <w:pPr>
      <w:pStyle w:val="RKrubrik"/>
      <w:keepNext w:val="0"/>
      <w:tabs>
        <w:tab w:val="clear" w:pos="1134"/>
        <w:tab w:val="clear" w:pos="2835"/>
      </w:tabs>
      <w:spacing w:before="0" w:after="0" w:line="320" w:lineRule="atLeast"/>
      <w:rPr>
        <w:bCs/>
      </w:rPr>
    </w:pPr>
  </w:p>
  <w:p w:rsidR="00AE60C7" w:rsidRPr="00740BA0" w:rsidRDefault="00AE60C7">
    <w:pPr>
      <w:rPr>
        <w:rFonts w:ascii="TradeGothic" w:hAnsi="TradeGothic"/>
        <w:b/>
        <w:bCs/>
        <w:spacing w:val="12"/>
        <w:sz w:val="22"/>
      </w:rPr>
    </w:pPr>
  </w:p>
  <w:p w:rsidR="00AE60C7" w:rsidRPr="00740BA0" w:rsidRDefault="00AE60C7">
    <w:pPr>
      <w:pStyle w:val="RKrubrik"/>
      <w:keepNext w:val="0"/>
      <w:tabs>
        <w:tab w:val="clear" w:pos="1134"/>
        <w:tab w:val="clear" w:pos="2835"/>
      </w:tabs>
      <w:spacing w:before="0" w:after="0" w:line="320" w:lineRule="atLeast"/>
      <w:rPr>
        <w:bCs/>
      </w:rPr>
    </w:pPr>
  </w:p>
  <w:p w:rsidR="00AE60C7" w:rsidRPr="00740BA0" w:rsidRDefault="00AE60C7">
    <w:pPr>
      <w:rPr>
        <w:rFonts w:ascii="TradeGothic" w:hAnsi="TradeGothic"/>
        <w:i/>
        <w:iCs/>
        <w:sz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F91" w:rsidRPr="00740BA0" w:rsidRDefault="00A52F91">
    <w:pPr>
      <w:pStyle w:val="Sidhuvud"/>
      <w:framePr w:wrap="around" w:vAnchor="text" w:hAnchor="margin" w:xAlign="right" w:y="1"/>
      <w:rPr>
        <w:rStyle w:val="Sidnummer"/>
      </w:rPr>
    </w:pPr>
    <w:r w:rsidRPr="00740BA0">
      <w:rPr>
        <w:rStyle w:val="Sidnummer"/>
      </w:rPr>
      <w:fldChar w:fldCharType="begin" w:fldLock="1"/>
    </w:r>
    <w:r w:rsidRPr="00740BA0">
      <w:rPr>
        <w:rStyle w:val="Sidnummer"/>
      </w:rPr>
      <w:instrText xml:space="preserve">PAGE  </w:instrText>
    </w:r>
    <w:r w:rsidRPr="00740BA0">
      <w:rPr>
        <w:rStyle w:val="Sidnummer"/>
      </w:rPr>
      <w:fldChar w:fldCharType="separate"/>
    </w:r>
    <w:r w:rsidR="002A2743" w:rsidRPr="00740BA0">
      <w:rPr>
        <w:rStyle w:val="Sidnummer"/>
      </w:rPr>
      <w:t>6</w:t>
    </w:r>
    <w:r w:rsidRPr="00740BA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52F91" w:rsidRPr="00740BA0">
      <w:tblPrEx>
        <w:tblCellMar>
          <w:top w:w="0" w:type="dxa"/>
          <w:bottom w:w="0" w:type="dxa"/>
        </w:tblCellMar>
      </w:tblPrEx>
      <w:trPr>
        <w:cantSplit/>
      </w:trPr>
      <w:tc>
        <w:tcPr>
          <w:tcW w:w="3119" w:type="dxa"/>
        </w:tcPr>
        <w:p w:rsidR="00A52F91" w:rsidRPr="00740BA0" w:rsidRDefault="00A52F91">
          <w:pPr>
            <w:pStyle w:val="Sidhuvud"/>
            <w:spacing w:line="200" w:lineRule="atLeast"/>
            <w:ind w:right="357"/>
            <w:rPr>
              <w:rFonts w:ascii="TradeGothic" w:hAnsi="TradeGothic"/>
              <w:b/>
              <w:bCs/>
              <w:sz w:val="16"/>
            </w:rPr>
          </w:pPr>
        </w:p>
      </w:tc>
      <w:tc>
        <w:tcPr>
          <w:tcW w:w="4111" w:type="dxa"/>
          <w:tcMar>
            <w:left w:w="567" w:type="dxa"/>
          </w:tcMar>
        </w:tcPr>
        <w:p w:rsidR="00A52F91" w:rsidRPr="00740BA0" w:rsidRDefault="00A52F91">
          <w:pPr>
            <w:pStyle w:val="Sidhuvud"/>
            <w:ind w:right="360"/>
          </w:pPr>
        </w:p>
      </w:tc>
      <w:tc>
        <w:tcPr>
          <w:tcW w:w="1525" w:type="dxa"/>
        </w:tcPr>
        <w:p w:rsidR="00A52F91" w:rsidRPr="00740BA0" w:rsidRDefault="00A52F91">
          <w:pPr>
            <w:pStyle w:val="Sidhuvud"/>
            <w:ind w:right="360"/>
          </w:pPr>
        </w:p>
      </w:tc>
    </w:tr>
  </w:tbl>
  <w:p w:rsidR="00A52F91" w:rsidRPr="00740BA0" w:rsidRDefault="00A52F91">
    <w:pPr>
      <w:pStyle w:val="Sidhuvud"/>
      <w:ind w:right="357" w:firstLine="357"/>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F91" w:rsidRPr="00740BA0" w:rsidRDefault="00A52F91">
    <w:pPr>
      <w:pStyle w:val="Sidhuvud"/>
      <w:framePr w:wrap="around" w:vAnchor="text" w:hAnchor="margin" w:xAlign="right" w:y="1"/>
      <w:rPr>
        <w:rStyle w:val="Sidnummer"/>
      </w:rPr>
    </w:pPr>
    <w:r w:rsidRPr="00740BA0">
      <w:rPr>
        <w:rStyle w:val="Sidnummer"/>
      </w:rPr>
      <w:fldChar w:fldCharType="begin" w:fldLock="1"/>
    </w:r>
    <w:r w:rsidRPr="00740BA0">
      <w:rPr>
        <w:rStyle w:val="Sidnummer"/>
      </w:rPr>
      <w:instrText xml:space="preserve">PAGE  </w:instrText>
    </w:r>
    <w:r w:rsidRPr="00740BA0">
      <w:rPr>
        <w:rStyle w:val="Sidnummer"/>
      </w:rPr>
      <w:fldChar w:fldCharType="separate"/>
    </w:r>
    <w:r w:rsidR="008E6492" w:rsidRPr="00740BA0">
      <w:rPr>
        <w:rStyle w:val="Sidnummer"/>
      </w:rPr>
      <w:t>7</w:t>
    </w:r>
    <w:r w:rsidRPr="00740BA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52F91" w:rsidRPr="00740BA0">
      <w:tblPrEx>
        <w:tblCellMar>
          <w:top w:w="0" w:type="dxa"/>
          <w:bottom w:w="0" w:type="dxa"/>
        </w:tblCellMar>
      </w:tblPrEx>
      <w:trPr>
        <w:cantSplit/>
      </w:trPr>
      <w:tc>
        <w:tcPr>
          <w:tcW w:w="3119" w:type="dxa"/>
        </w:tcPr>
        <w:p w:rsidR="00A52F91" w:rsidRPr="00740BA0" w:rsidRDefault="00A52F91">
          <w:pPr>
            <w:pStyle w:val="Sidhuvud"/>
            <w:spacing w:line="200" w:lineRule="atLeast"/>
            <w:ind w:right="357"/>
            <w:rPr>
              <w:rFonts w:ascii="TradeGothic" w:hAnsi="TradeGothic"/>
              <w:b/>
              <w:bCs/>
              <w:sz w:val="16"/>
            </w:rPr>
          </w:pPr>
        </w:p>
      </w:tc>
      <w:tc>
        <w:tcPr>
          <w:tcW w:w="4111" w:type="dxa"/>
          <w:tcMar>
            <w:left w:w="567" w:type="dxa"/>
          </w:tcMar>
        </w:tcPr>
        <w:p w:rsidR="00A52F91" w:rsidRPr="00740BA0" w:rsidRDefault="00A52F91">
          <w:pPr>
            <w:pStyle w:val="Sidhuvud"/>
            <w:ind w:right="360"/>
          </w:pPr>
        </w:p>
      </w:tc>
      <w:tc>
        <w:tcPr>
          <w:tcW w:w="1525" w:type="dxa"/>
        </w:tcPr>
        <w:p w:rsidR="00A52F91" w:rsidRPr="00740BA0" w:rsidRDefault="00A52F91">
          <w:pPr>
            <w:pStyle w:val="Sidhuvud"/>
            <w:ind w:right="360"/>
          </w:pPr>
        </w:p>
      </w:tc>
    </w:tr>
  </w:tbl>
  <w:p w:rsidR="00A52F91" w:rsidRPr="00740BA0" w:rsidRDefault="00A52F91">
    <w:pPr>
      <w:pStyle w:val="Sidhuvud"/>
      <w:ind w:right="357" w:firstLine="357"/>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F91" w:rsidRPr="00740BA0" w:rsidRDefault="00740BA0">
    <w:pPr>
      <w:framePr w:w="2948" w:h="1321" w:hRule="exact" w:wrap="notBeside" w:vAnchor="page" w:hAnchor="page" w:x="1362" w:y="653"/>
    </w:pPr>
    <w:r w:rsidRPr="00740BA0">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A52F91" w:rsidRPr="00740BA0" w:rsidRDefault="00A52F91">
    <w:pPr>
      <w:pStyle w:val="RKrubrik"/>
      <w:keepNext w:val="0"/>
      <w:tabs>
        <w:tab w:val="clear" w:pos="1134"/>
        <w:tab w:val="clear" w:pos="2835"/>
      </w:tabs>
      <w:spacing w:before="0" w:after="0" w:line="320" w:lineRule="atLeast"/>
      <w:rPr>
        <w:bCs/>
      </w:rPr>
    </w:pPr>
  </w:p>
  <w:p w:rsidR="00A52F91" w:rsidRPr="00740BA0" w:rsidRDefault="00A52F91">
    <w:pPr>
      <w:rPr>
        <w:rFonts w:ascii="TradeGothic" w:hAnsi="TradeGothic"/>
        <w:b/>
        <w:bCs/>
        <w:spacing w:val="12"/>
        <w:sz w:val="22"/>
      </w:rPr>
    </w:pPr>
  </w:p>
  <w:p w:rsidR="00A52F91" w:rsidRPr="00740BA0" w:rsidRDefault="00A52F91">
    <w:pPr>
      <w:pStyle w:val="RKrubrik"/>
      <w:keepNext w:val="0"/>
      <w:tabs>
        <w:tab w:val="clear" w:pos="1134"/>
        <w:tab w:val="clear" w:pos="2835"/>
      </w:tabs>
      <w:spacing w:before="0" w:after="0" w:line="320" w:lineRule="atLeast"/>
      <w:rPr>
        <w:bCs/>
      </w:rPr>
    </w:pPr>
  </w:p>
  <w:p w:rsidR="00A52F91" w:rsidRPr="00740BA0" w:rsidRDefault="00A52F91">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642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F649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AAB3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1065D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57423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0AAF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CA90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02BA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340D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C09F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C480E9C"/>
    <w:lvl w:ilvl="0">
      <w:numFmt w:val="decimal"/>
      <w:lvlText w:val="*"/>
      <w:lvlJc w:val="left"/>
    </w:lvl>
  </w:abstractNum>
  <w:abstractNum w:abstractNumId="11" w15:restartNumberingAfterBreak="0">
    <w:nsid w:val="077A0A51"/>
    <w:multiLevelType w:val="hybridMultilevel"/>
    <w:tmpl w:val="F0D6C370"/>
    <w:lvl w:ilvl="0" w:tplc="04090001">
      <w:start w:val="1"/>
      <w:numFmt w:val="bullet"/>
      <w:lvlText w:val=""/>
      <w:lvlJc w:val="left"/>
      <w:pPr>
        <w:tabs>
          <w:tab w:val="num" w:pos="720"/>
        </w:tabs>
        <w:ind w:left="720" w:hanging="360"/>
      </w:pPr>
      <w:rPr>
        <w:rFonts w:ascii="Symbol" w:hAnsi="Symbol" w:hint="default"/>
      </w:rPr>
    </w:lvl>
    <w:lvl w:ilvl="1" w:tplc="041D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6918E8"/>
    <w:multiLevelType w:val="hybridMultilevel"/>
    <w:tmpl w:val="89F2A7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254CA0"/>
    <w:multiLevelType w:val="hybridMultilevel"/>
    <w:tmpl w:val="DA1294C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F03F34"/>
    <w:multiLevelType w:val="hybridMultilevel"/>
    <w:tmpl w:val="CAC6CBF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2B31FD"/>
    <w:multiLevelType w:val="hybridMultilevel"/>
    <w:tmpl w:val="F1CCAE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0F2E74"/>
    <w:multiLevelType w:val="hybridMultilevel"/>
    <w:tmpl w:val="8A1A766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E773CF"/>
    <w:multiLevelType w:val="hybridMultilevel"/>
    <w:tmpl w:val="30AEE0A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E5605B"/>
    <w:multiLevelType w:val="hybridMultilevel"/>
    <w:tmpl w:val="F06E5D74"/>
    <w:lvl w:ilvl="0" w:tplc="041D0001">
      <w:start w:val="1"/>
      <w:numFmt w:val="bullet"/>
      <w:lvlText w:val=""/>
      <w:lvlJc w:val="left"/>
      <w:pPr>
        <w:tabs>
          <w:tab w:val="num" w:pos="502"/>
        </w:tabs>
        <w:ind w:left="502" w:hanging="360"/>
      </w:pPr>
      <w:rPr>
        <w:rFonts w:ascii="Symbol" w:hAnsi="Symbol" w:hint="default"/>
      </w:rPr>
    </w:lvl>
    <w:lvl w:ilvl="1" w:tplc="041D0003" w:tentative="1">
      <w:start w:val="1"/>
      <w:numFmt w:val="bullet"/>
      <w:lvlText w:val="o"/>
      <w:lvlJc w:val="left"/>
      <w:pPr>
        <w:tabs>
          <w:tab w:val="num" w:pos="1222"/>
        </w:tabs>
        <w:ind w:left="1222" w:hanging="360"/>
      </w:pPr>
      <w:rPr>
        <w:rFonts w:ascii="Courier New" w:hAnsi="Courier New" w:cs="Courier New" w:hint="default"/>
      </w:rPr>
    </w:lvl>
    <w:lvl w:ilvl="2" w:tplc="041D0005" w:tentative="1">
      <w:start w:val="1"/>
      <w:numFmt w:val="bullet"/>
      <w:lvlText w:val=""/>
      <w:lvlJc w:val="left"/>
      <w:pPr>
        <w:tabs>
          <w:tab w:val="num" w:pos="1942"/>
        </w:tabs>
        <w:ind w:left="1942" w:hanging="360"/>
      </w:pPr>
      <w:rPr>
        <w:rFonts w:ascii="Wingdings" w:hAnsi="Wingdings" w:hint="default"/>
      </w:rPr>
    </w:lvl>
    <w:lvl w:ilvl="3" w:tplc="041D0001" w:tentative="1">
      <w:start w:val="1"/>
      <w:numFmt w:val="bullet"/>
      <w:lvlText w:val=""/>
      <w:lvlJc w:val="left"/>
      <w:pPr>
        <w:tabs>
          <w:tab w:val="num" w:pos="2662"/>
        </w:tabs>
        <w:ind w:left="2662" w:hanging="360"/>
      </w:pPr>
      <w:rPr>
        <w:rFonts w:ascii="Symbol" w:hAnsi="Symbol" w:hint="default"/>
      </w:rPr>
    </w:lvl>
    <w:lvl w:ilvl="4" w:tplc="041D0003" w:tentative="1">
      <w:start w:val="1"/>
      <w:numFmt w:val="bullet"/>
      <w:lvlText w:val="o"/>
      <w:lvlJc w:val="left"/>
      <w:pPr>
        <w:tabs>
          <w:tab w:val="num" w:pos="3382"/>
        </w:tabs>
        <w:ind w:left="3382" w:hanging="360"/>
      </w:pPr>
      <w:rPr>
        <w:rFonts w:ascii="Courier New" w:hAnsi="Courier New" w:cs="Courier New" w:hint="default"/>
      </w:rPr>
    </w:lvl>
    <w:lvl w:ilvl="5" w:tplc="041D0005" w:tentative="1">
      <w:start w:val="1"/>
      <w:numFmt w:val="bullet"/>
      <w:lvlText w:val=""/>
      <w:lvlJc w:val="left"/>
      <w:pPr>
        <w:tabs>
          <w:tab w:val="num" w:pos="4102"/>
        </w:tabs>
        <w:ind w:left="4102" w:hanging="360"/>
      </w:pPr>
      <w:rPr>
        <w:rFonts w:ascii="Wingdings" w:hAnsi="Wingdings" w:hint="default"/>
      </w:rPr>
    </w:lvl>
    <w:lvl w:ilvl="6" w:tplc="041D0001" w:tentative="1">
      <w:start w:val="1"/>
      <w:numFmt w:val="bullet"/>
      <w:lvlText w:val=""/>
      <w:lvlJc w:val="left"/>
      <w:pPr>
        <w:tabs>
          <w:tab w:val="num" w:pos="4822"/>
        </w:tabs>
        <w:ind w:left="4822" w:hanging="360"/>
      </w:pPr>
      <w:rPr>
        <w:rFonts w:ascii="Symbol" w:hAnsi="Symbol" w:hint="default"/>
      </w:rPr>
    </w:lvl>
    <w:lvl w:ilvl="7" w:tplc="041D0003" w:tentative="1">
      <w:start w:val="1"/>
      <w:numFmt w:val="bullet"/>
      <w:lvlText w:val="o"/>
      <w:lvlJc w:val="left"/>
      <w:pPr>
        <w:tabs>
          <w:tab w:val="num" w:pos="5542"/>
        </w:tabs>
        <w:ind w:left="5542" w:hanging="360"/>
      </w:pPr>
      <w:rPr>
        <w:rFonts w:ascii="Courier New" w:hAnsi="Courier New" w:cs="Courier New" w:hint="default"/>
      </w:rPr>
    </w:lvl>
    <w:lvl w:ilvl="8" w:tplc="041D0005" w:tentative="1">
      <w:start w:val="1"/>
      <w:numFmt w:val="bullet"/>
      <w:lvlText w:val=""/>
      <w:lvlJc w:val="left"/>
      <w:pPr>
        <w:tabs>
          <w:tab w:val="num" w:pos="6262"/>
        </w:tabs>
        <w:ind w:left="6262" w:hanging="360"/>
      </w:pPr>
      <w:rPr>
        <w:rFonts w:ascii="Wingdings" w:hAnsi="Wingdings" w:hint="default"/>
      </w:rPr>
    </w:lvl>
  </w:abstractNum>
  <w:num w:numId="1" w16cid:durableId="1004161059">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721053161">
    <w:abstractNumId w:val="12"/>
  </w:num>
  <w:num w:numId="3" w16cid:durableId="1754620225">
    <w:abstractNumId w:val="15"/>
  </w:num>
  <w:num w:numId="4" w16cid:durableId="1350376447">
    <w:abstractNumId w:val="13"/>
  </w:num>
  <w:num w:numId="5" w16cid:durableId="992946547">
    <w:abstractNumId w:val="8"/>
  </w:num>
  <w:num w:numId="6" w16cid:durableId="1822387096">
    <w:abstractNumId w:val="3"/>
  </w:num>
  <w:num w:numId="7" w16cid:durableId="1764762316">
    <w:abstractNumId w:val="2"/>
  </w:num>
  <w:num w:numId="8" w16cid:durableId="730540753">
    <w:abstractNumId w:val="1"/>
  </w:num>
  <w:num w:numId="9" w16cid:durableId="1460957189">
    <w:abstractNumId w:val="0"/>
  </w:num>
  <w:num w:numId="10" w16cid:durableId="1005279818">
    <w:abstractNumId w:val="9"/>
  </w:num>
  <w:num w:numId="11" w16cid:durableId="363407843">
    <w:abstractNumId w:val="7"/>
  </w:num>
  <w:num w:numId="12" w16cid:durableId="801506882">
    <w:abstractNumId w:val="6"/>
  </w:num>
  <w:num w:numId="13" w16cid:durableId="963661400">
    <w:abstractNumId w:val="5"/>
  </w:num>
  <w:num w:numId="14" w16cid:durableId="1093890783">
    <w:abstractNumId w:val="4"/>
  </w:num>
  <w:num w:numId="15" w16cid:durableId="849376115">
    <w:abstractNumId w:val="17"/>
  </w:num>
  <w:num w:numId="16" w16cid:durableId="1096560953">
    <w:abstractNumId w:val="18"/>
  </w:num>
  <w:num w:numId="17" w16cid:durableId="380635511">
    <w:abstractNumId w:val="11"/>
  </w:num>
  <w:num w:numId="18" w16cid:durableId="1403328692">
    <w:abstractNumId w:val="16"/>
  </w:num>
  <w:num w:numId="19" w16cid:durableId="16264242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6"/>
    <w:docVar w:name="docSprak" w:val="0"/>
  </w:docVars>
  <w:rsids>
    <w:rsidRoot w:val="005D4A75"/>
    <w:rsid w:val="0000285A"/>
    <w:rsid w:val="00003890"/>
    <w:rsid w:val="000053F2"/>
    <w:rsid w:val="0000785D"/>
    <w:rsid w:val="0002311D"/>
    <w:rsid w:val="00027825"/>
    <w:rsid w:val="00036DB4"/>
    <w:rsid w:val="00040198"/>
    <w:rsid w:val="00045DB5"/>
    <w:rsid w:val="000471BB"/>
    <w:rsid w:val="00050125"/>
    <w:rsid w:val="000501D9"/>
    <w:rsid w:val="000520C9"/>
    <w:rsid w:val="00070006"/>
    <w:rsid w:val="000B600D"/>
    <w:rsid w:val="000D55C5"/>
    <w:rsid w:val="000D6E83"/>
    <w:rsid w:val="000E5302"/>
    <w:rsid w:val="000E5E5E"/>
    <w:rsid w:val="000E7409"/>
    <w:rsid w:val="001011BF"/>
    <w:rsid w:val="00104C70"/>
    <w:rsid w:val="00114427"/>
    <w:rsid w:val="001232D7"/>
    <w:rsid w:val="001425DA"/>
    <w:rsid w:val="00161168"/>
    <w:rsid w:val="00165B27"/>
    <w:rsid w:val="00172AF9"/>
    <w:rsid w:val="001748BC"/>
    <w:rsid w:val="001815B9"/>
    <w:rsid w:val="00181CD4"/>
    <w:rsid w:val="00182587"/>
    <w:rsid w:val="0018476D"/>
    <w:rsid w:val="001A2D87"/>
    <w:rsid w:val="001A7753"/>
    <w:rsid w:val="001D3B3C"/>
    <w:rsid w:val="001E2D59"/>
    <w:rsid w:val="001F03B0"/>
    <w:rsid w:val="002079E5"/>
    <w:rsid w:val="00210734"/>
    <w:rsid w:val="00211087"/>
    <w:rsid w:val="00211F0F"/>
    <w:rsid w:val="00223F75"/>
    <w:rsid w:val="00243D57"/>
    <w:rsid w:val="002445CF"/>
    <w:rsid w:val="002471EC"/>
    <w:rsid w:val="0026176E"/>
    <w:rsid w:val="00262840"/>
    <w:rsid w:val="00274BA4"/>
    <w:rsid w:val="00275EA7"/>
    <w:rsid w:val="00286CCA"/>
    <w:rsid w:val="002918EF"/>
    <w:rsid w:val="002A2743"/>
    <w:rsid w:val="002A7815"/>
    <w:rsid w:val="002B334D"/>
    <w:rsid w:val="002C3193"/>
    <w:rsid w:val="002C6CA1"/>
    <w:rsid w:val="002C7C21"/>
    <w:rsid w:val="002E0631"/>
    <w:rsid w:val="002E6C60"/>
    <w:rsid w:val="003226D5"/>
    <w:rsid w:val="00331421"/>
    <w:rsid w:val="00341A20"/>
    <w:rsid w:val="00341B1A"/>
    <w:rsid w:val="00347CA8"/>
    <w:rsid w:val="00353C01"/>
    <w:rsid w:val="00387246"/>
    <w:rsid w:val="003A6C3D"/>
    <w:rsid w:val="003B6BF3"/>
    <w:rsid w:val="003B6E3B"/>
    <w:rsid w:val="003B7410"/>
    <w:rsid w:val="003C07AE"/>
    <w:rsid w:val="003E0D82"/>
    <w:rsid w:val="003F39FA"/>
    <w:rsid w:val="003F6265"/>
    <w:rsid w:val="0040190B"/>
    <w:rsid w:val="00444198"/>
    <w:rsid w:val="00451605"/>
    <w:rsid w:val="00454466"/>
    <w:rsid w:val="00464B69"/>
    <w:rsid w:val="00470F9E"/>
    <w:rsid w:val="00481586"/>
    <w:rsid w:val="00491BA6"/>
    <w:rsid w:val="00492F31"/>
    <w:rsid w:val="00494816"/>
    <w:rsid w:val="004A2A29"/>
    <w:rsid w:val="004A2F0D"/>
    <w:rsid w:val="004C5CB3"/>
    <w:rsid w:val="004D03D4"/>
    <w:rsid w:val="004D0907"/>
    <w:rsid w:val="004E139E"/>
    <w:rsid w:val="004E5286"/>
    <w:rsid w:val="004E5C79"/>
    <w:rsid w:val="004F255A"/>
    <w:rsid w:val="004F4B70"/>
    <w:rsid w:val="005036C1"/>
    <w:rsid w:val="00505461"/>
    <w:rsid w:val="00510E7F"/>
    <w:rsid w:val="00527DBD"/>
    <w:rsid w:val="005536C4"/>
    <w:rsid w:val="00554958"/>
    <w:rsid w:val="00555712"/>
    <w:rsid w:val="005719A7"/>
    <w:rsid w:val="00576372"/>
    <w:rsid w:val="005853B9"/>
    <w:rsid w:val="00590E30"/>
    <w:rsid w:val="00596B18"/>
    <w:rsid w:val="005C3CFB"/>
    <w:rsid w:val="005C4FAE"/>
    <w:rsid w:val="005D1F61"/>
    <w:rsid w:val="005D4A75"/>
    <w:rsid w:val="005E1698"/>
    <w:rsid w:val="005F1CF2"/>
    <w:rsid w:val="005F6345"/>
    <w:rsid w:val="0060734F"/>
    <w:rsid w:val="00614554"/>
    <w:rsid w:val="006240B0"/>
    <w:rsid w:val="006269E5"/>
    <w:rsid w:val="00633526"/>
    <w:rsid w:val="006578F7"/>
    <w:rsid w:val="006636AF"/>
    <w:rsid w:val="0067591C"/>
    <w:rsid w:val="00691979"/>
    <w:rsid w:val="00694F14"/>
    <w:rsid w:val="006B0ED6"/>
    <w:rsid w:val="006B2948"/>
    <w:rsid w:val="006B2A11"/>
    <w:rsid w:val="006D3D89"/>
    <w:rsid w:val="006D5C2E"/>
    <w:rsid w:val="006E487B"/>
    <w:rsid w:val="006F3E7C"/>
    <w:rsid w:val="00701C73"/>
    <w:rsid w:val="007058ED"/>
    <w:rsid w:val="0072417A"/>
    <w:rsid w:val="00740BA0"/>
    <w:rsid w:val="007456CA"/>
    <w:rsid w:val="00754EEA"/>
    <w:rsid w:val="00756C09"/>
    <w:rsid w:val="00763918"/>
    <w:rsid w:val="0077094B"/>
    <w:rsid w:val="00780D30"/>
    <w:rsid w:val="0079009E"/>
    <w:rsid w:val="00793E16"/>
    <w:rsid w:val="007B6A4E"/>
    <w:rsid w:val="007C7325"/>
    <w:rsid w:val="007D30D8"/>
    <w:rsid w:val="007F5996"/>
    <w:rsid w:val="007F7ECE"/>
    <w:rsid w:val="00803695"/>
    <w:rsid w:val="00813476"/>
    <w:rsid w:val="008313BD"/>
    <w:rsid w:val="0086466D"/>
    <w:rsid w:val="00871B96"/>
    <w:rsid w:val="00873572"/>
    <w:rsid w:val="00880E68"/>
    <w:rsid w:val="008A359F"/>
    <w:rsid w:val="008B5600"/>
    <w:rsid w:val="008C4764"/>
    <w:rsid w:val="008E6492"/>
    <w:rsid w:val="008F111F"/>
    <w:rsid w:val="008F29DC"/>
    <w:rsid w:val="008F66BD"/>
    <w:rsid w:val="00901B4B"/>
    <w:rsid w:val="00902FC5"/>
    <w:rsid w:val="00922BA3"/>
    <w:rsid w:val="00923ACA"/>
    <w:rsid w:val="00941D23"/>
    <w:rsid w:val="00964660"/>
    <w:rsid w:val="009830E6"/>
    <w:rsid w:val="009845DF"/>
    <w:rsid w:val="009B3219"/>
    <w:rsid w:val="009D0D5B"/>
    <w:rsid w:val="009E3746"/>
    <w:rsid w:val="009E6A25"/>
    <w:rsid w:val="009E6D9E"/>
    <w:rsid w:val="009E792C"/>
    <w:rsid w:val="009F3AE4"/>
    <w:rsid w:val="009F491A"/>
    <w:rsid w:val="00A076D1"/>
    <w:rsid w:val="00A1191B"/>
    <w:rsid w:val="00A2780F"/>
    <w:rsid w:val="00A27DB7"/>
    <w:rsid w:val="00A3016F"/>
    <w:rsid w:val="00A3223B"/>
    <w:rsid w:val="00A3474A"/>
    <w:rsid w:val="00A52F91"/>
    <w:rsid w:val="00A65D9E"/>
    <w:rsid w:val="00A83F02"/>
    <w:rsid w:val="00A8457E"/>
    <w:rsid w:val="00A967BE"/>
    <w:rsid w:val="00AA294B"/>
    <w:rsid w:val="00AA2F9E"/>
    <w:rsid w:val="00AA759F"/>
    <w:rsid w:val="00AB5CE3"/>
    <w:rsid w:val="00AD1128"/>
    <w:rsid w:val="00AD6008"/>
    <w:rsid w:val="00AE60C7"/>
    <w:rsid w:val="00AF0DBE"/>
    <w:rsid w:val="00B00DF1"/>
    <w:rsid w:val="00B066F8"/>
    <w:rsid w:val="00B10526"/>
    <w:rsid w:val="00B12FA0"/>
    <w:rsid w:val="00B13A25"/>
    <w:rsid w:val="00B37A89"/>
    <w:rsid w:val="00B472EE"/>
    <w:rsid w:val="00B54D30"/>
    <w:rsid w:val="00B9316E"/>
    <w:rsid w:val="00B93A0A"/>
    <w:rsid w:val="00BA3440"/>
    <w:rsid w:val="00BC42B1"/>
    <w:rsid w:val="00BD5F9D"/>
    <w:rsid w:val="00BE07B1"/>
    <w:rsid w:val="00BF2DD7"/>
    <w:rsid w:val="00C00AA5"/>
    <w:rsid w:val="00C02550"/>
    <w:rsid w:val="00C04650"/>
    <w:rsid w:val="00C1103D"/>
    <w:rsid w:val="00C347A2"/>
    <w:rsid w:val="00C34B3E"/>
    <w:rsid w:val="00C35AF2"/>
    <w:rsid w:val="00C6314D"/>
    <w:rsid w:val="00C93DB6"/>
    <w:rsid w:val="00CC1BC0"/>
    <w:rsid w:val="00CC3CFA"/>
    <w:rsid w:val="00CC4C59"/>
    <w:rsid w:val="00CD287B"/>
    <w:rsid w:val="00CF1FD0"/>
    <w:rsid w:val="00D078AA"/>
    <w:rsid w:val="00D377B5"/>
    <w:rsid w:val="00D425FF"/>
    <w:rsid w:val="00D47505"/>
    <w:rsid w:val="00D55FF0"/>
    <w:rsid w:val="00D65CA9"/>
    <w:rsid w:val="00D72709"/>
    <w:rsid w:val="00D72B24"/>
    <w:rsid w:val="00D847CF"/>
    <w:rsid w:val="00D92009"/>
    <w:rsid w:val="00DB4498"/>
    <w:rsid w:val="00DC2F42"/>
    <w:rsid w:val="00DC61CA"/>
    <w:rsid w:val="00DE2E68"/>
    <w:rsid w:val="00DE371A"/>
    <w:rsid w:val="00E061E2"/>
    <w:rsid w:val="00E06E83"/>
    <w:rsid w:val="00E137FF"/>
    <w:rsid w:val="00E25F0D"/>
    <w:rsid w:val="00E27F29"/>
    <w:rsid w:val="00E34465"/>
    <w:rsid w:val="00E460BA"/>
    <w:rsid w:val="00E566EA"/>
    <w:rsid w:val="00E66FAD"/>
    <w:rsid w:val="00E73B95"/>
    <w:rsid w:val="00E82161"/>
    <w:rsid w:val="00E92B03"/>
    <w:rsid w:val="00EA1484"/>
    <w:rsid w:val="00EB3CB1"/>
    <w:rsid w:val="00EB4B7C"/>
    <w:rsid w:val="00EB66D3"/>
    <w:rsid w:val="00ED1F96"/>
    <w:rsid w:val="00ED71BC"/>
    <w:rsid w:val="00EE3779"/>
    <w:rsid w:val="00EF3C9D"/>
    <w:rsid w:val="00F02F00"/>
    <w:rsid w:val="00F3718A"/>
    <w:rsid w:val="00F46F41"/>
    <w:rsid w:val="00F57989"/>
    <w:rsid w:val="00F63EA8"/>
    <w:rsid w:val="00F70462"/>
    <w:rsid w:val="00F73499"/>
    <w:rsid w:val="00F835B7"/>
    <w:rsid w:val="00F85338"/>
    <w:rsid w:val="00F85B11"/>
    <w:rsid w:val="00F925FC"/>
    <w:rsid w:val="00FA744A"/>
    <w:rsid w:val="00FB2A6D"/>
    <w:rsid w:val="00FD211C"/>
    <w:rsid w:val="00FD30B2"/>
    <w:rsid w:val="00FD41D5"/>
    <w:rsid w:val="00FD540F"/>
    <w:rsid w:val="00FD674D"/>
    <w:rsid w:val="00FE1431"/>
    <w:rsid w:val="00FF07E3"/>
    <w:rsid w:val="00FF329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1ED2908-4CF8-4795-B364-679B2B7EB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tindrag">
    <w:name w:val="Normal Indent"/>
    <w:basedOn w:val="Normal"/>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customStyle="1" w:styleId="RKnormalChar">
    <w:name w:val="RKnormal Char"/>
    <w:basedOn w:val="Standardstycketeckensnitt"/>
    <w:link w:val="RKnormal"/>
    <w:rsid w:val="00C02550"/>
    <w:rPr>
      <w:rFonts w:ascii="OrigGarmnd BT" w:hAnsi="OrigGarmnd BT"/>
      <w:sz w:val="24"/>
      <w:lang w:val="sv-SE" w:eastAsia="en-US" w:bidi="ar-SA"/>
    </w:rPr>
  </w:style>
  <w:style w:type="paragraph" w:styleId="Fotnotstext">
    <w:name w:val="footnote text"/>
    <w:basedOn w:val="Normal"/>
    <w:semiHidden/>
    <w:rsid w:val="00922BA3"/>
    <w:rPr>
      <w:sz w:val="20"/>
    </w:rPr>
  </w:style>
  <w:style w:type="character" w:styleId="Fotnotsreferens">
    <w:name w:val="footnote reference"/>
    <w:basedOn w:val="Standardstycketeckensnitt"/>
    <w:semiHidden/>
    <w:rsid w:val="00922BA3"/>
    <w:rPr>
      <w:vertAlign w:val="superscript"/>
    </w:rPr>
  </w:style>
  <w:style w:type="paragraph" w:styleId="Ballongtext">
    <w:name w:val="Balloon Text"/>
    <w:basedOn w:val="Normal"/>
    <w:semiHidden/>
    <w:rsid w:val="00003890"/>
    <w:rPr>
      <w:rFonts w:ascii="Tahoma" w:hAnsi="Tahoma" w:cs="Tahoma"/>
      <w:sz w:val="16"/>
      <w:szCs w:val="16"/>
    </w:rPr>
  </w:style>
  <w:style w:type="character" w:styleId="Kommentarsreferens">
    <w:name w:val="annotation reference"/>
    <w:basedOn w:val="Standardstycketeckensnitt"/>
    <w:semiHidden/>
    <w:rsid w:val="00AA294B"/>
    <w:rPr>
      <w:sz w:val="16"/>
      <w:szCs w:val="16"/>
    </w:rPr>
  </w:style>
  <w:style w:type="paragraph" w:styleId="Kommentarer">
    <w:name w:val="annotation text"/>
    <w:basedOn w:val="Normal"/>
    <w:semiHidden/>
    <w:rsid w:val="00AA294B"/>
    <w:rPr>
      <w:sz w:val="20"/>
    </w:rPr>
  </w:style>
  <w:style w:type="paragraph" w:styleId="Kommentarsmne">
    <w:name w:val="annotation subject"/>
    <w:basedOn w:val="Kommentarer"/>
    <w:next w:val="Kommentarer"/>
    <w:semiHidden/>
    <w:rsid w:val="00AA294B"/>
    <w:rPr>
      <w:b/>
      <w:bCs/>
    </w:rPr>
  </w:style>
  <w:style w:type="character" w:customStyle="1" w:styleId="RKrubrikChar">
    <w:name w:val="RKrubrik Char"/>
    <w:basedOn w:val="RKnormalChar"/>
    <w:link w:val="RKrubrik"/>
    <w:rsid w:val="00492F31"/>
    <w:rPr>
      <w:rFonts w:ascii="TradeGothic" w:hAnsi="TradeGothic"/>
      <w:b/>
      <w:sz w:val="22"/>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49626">
      <w:bodyDiv w:val="1"/>
      <w:marLeft w:val="0"/>
      <w:marRight w:val="0"/>
      <w:marTop w:val="0"/>
      <w:marBottom w:val="0"/>
      <w:divBdr>
        <w:top w:val="none" w:sz="0" w:space="0" w:color="auto"/>
        <w:left w:val="none" w:sz="0" w:space="0" w:color="auto"/>
        <w:bottom w:val="none" w:sz="0" w:space="0" w:color="auto"/>
        <w:right w:val="none" w:sz="0" w:space="0" w:color="auto"/>
      </w:divBdr>
    </w:div>
    <w:div w:id="814447791">
      <w:bodyDiv w:val="1"/>
      <w:marLeft w:val="0"/>
      <w:marRight w:val="0"/>
      <w:marTop w:val="0"/>
      <w:marBottom w:val="0"/>
      <w:divBdr>
        <w:top w:val="none" w:sz="0" w:space="0" w:color="auto"/>
        <w:left w:val="none" w:sz="0" w:space="0" w:color="auto"/>
        <w:bottom w:val="none" w:sz="0" w:space="0" w:color="auto"/>
        <w:right w:val="none" w:sz="0" w:space="0" w:color="auto"/>
      </w:divBdr>
    </w:div>
    <w:div w:id="1043478465">
      <w:bodyDiv w:val="1"/>
      <w:marLeft w:val="0"/>
      <w:marRight w:val="0"/>
      <w:marTop w:val="0"/>
      <w:marBottom w:val="0"/>
      <w:divBdr>
        <w:top w:val="none" w:sz="0" w:space="0" w:color="auto"/>
        <w:left w:val="none" w:sz="0" w:space="0" w:color="auto"/>
        <w:bottom w:val="none" w:sz="0" w:space="0" w:color="auto"/>
        <w:right w:val="none" w:sz="0" w:space="0" w:color="auto"/>
      </w:divBdr>
    </w:div>
    <w:div w:id="208503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1022</Words>
  <Characters>6792</Characters>
  <Application>Microsoft Office Word</Application>
  <DocSecurity>4</DocSecurity>
  <Lines>194</Lines>
  <Paragraphs>52</Paragraphs>
  <ScaleCrop>false</ScaleCrop>
  <HeadingPairs>
    <vt:vector size="2" baseType="variant">
      <vt:variant>
        <vt:lpstr>Rubrik</vt:lpstr>
      </vt:variant>
      <vt:variant>
        <vt:i4>1</vt:i4>
      </vt:variant>
    </vt:vector>
  </HeadingPairs>
  <TitlesOfParts>
    <vt:vector size="1" baseType="lpstr">
      <vt:lpstr>Rådets första läsning av EU:s budget för 2006</vt:lpstr>
    </vt:vector>
  </TitlesOfParts>
  <Company>Regeringskansliet</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Rådets första läsning av EU:s budget för 2006</dc:title>
  <dc:subject>Rådets första läsning av EU:s budget för 2006</dc:subject>
  <dc:creator>Riksdagen</dc:creator>
  <cp:keywords>Riksdagen</cp:keywords>
  <dc:description/>
  <cp:lastModifiedBy>Lars Brink</cp:lastModifiedBy>
  <cp:revision>2</cp:revision>
  <cp:lastPrinted>2010-10-22T11:16:00Z</cp:lastPrinted>
  <dcterms:created xsi:type="dcterms:W3CDTF">2025-12-18T03:49:00Z</dcterms:created>
  <dcterms:modified xsi:type="dcterms:W3CDTF">2025-12-18T03:49:00Z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6;0;0;256</vt:lpwstr>
  </property>
  <property fmtid="{D5CDD505-2E9C-101B-9397-08002B2CF9AE}" pid="3" name="Sprak">
    <vt:lpwstr>Svenska</vt:lpwstr>
  </property>
  <property fmtid="{D5CDD505-2E9C-101B-9397-08002B2CF9AE}" pid="4" name="DokID">
    <vt:i4>7</vt:i4>
  </property>
</Properties>
</file>