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066" w:rsidRPr="006960FF" w:rsidRDefault="000F2066" w:rsidP="0065435A">
      <w:pPr>
        <w:pStyle w:val="Hemstlrubrik"/>
      </w:pPr>
      <w:r w:rsidRPr="006960FF">
        <w:t>Förslag till riksdagsbeslut</w:t>
      </w:r>
    </w:p>
    <w:p w:rsidR="000F2066" w:rsidRPr="006960FF" w:rsidRDefault="000F2066" w:rsidP="00525FAD">
      <w:pPr>
        <w:pStyle w:val="Hemstlatt"/>
      </w:pPr>
      <w:r w:rsidRPr="006960FF">
        <w:t xml:space="preserve">Riksdagen tillkännager för regeringen som sin </w:t>
      </w:r>
      <w:r w:rsidR="00825B00" w:rsidRPr="006960FF">
        <w:t>m</w:t>
      </w:r>
      <w:r w:rsidRPr="006960FF">
        <w:t>ening vad i motionen anförs om översyn och samordning av utskottsområdets myndigheters uppdrag.</w:t>
      </w:r>
    </w:p>
    <w:p w:rsidR="000F2066" w:rsidRPr="006960FF" w:rsidRDefault="000F2066" w:rsidP="00525FAD">
      <w:pPr>
        <w:pStyle w:val="Hemstlatt"/>
      </w:pPr>
      <w:r w:rsidRPr="006960FF">
        <w:t>Riksdagen tillkännager för regeringen som sin mening vad i motionen anförs om sammanslagning av N</w:t>
      </w:r>
      <w:r w:rsidR="00825B00" w:rsidRPr="006960FF">
        <w:t>ämnden för offentlig upphandling</w:t>
      </w:r>
      <w:r w:rsidRPr="006960FF">
        <w:t xml:space="preserve"> och Ko</w:t>
      </w:r>
      <w:r w:rsidRPr="006960FF">
        <w:t>n</w:t>
      </w:r>
      <w:r w:rsidRPr="006960FF">
        <w:t>kurrensverket.</w:t>
      </w:r>
    </w:p>
    <w:p w:rsidR="000F2066" w:rsidRPr="006960FF" w:rsidRDefault="000F2066" w:rsidP="00525FAD">
      <w:pPr>
        <w:pStyle w:val="Hemstlatt"/>
      </w:pPr>
      <w:r w:rsidRPr="006960FF">
        <w:t>Riksdagen tillkännager för regeringen som sin mening vad i motionen anförs om försäljning av SBAB och Vasakronan.</w:t>
      </w:r>
    </w:p>
    <w:p w:rsidR="000F2066" w:rsidRPr="006960FF" w:rsidRDefault="000F2066" w:rsidP="00525FAD">
      <w:pPr>
        <w:pStyle w:val="Hemstlatt"/>
      </w:pPr>
      <w:r w:rsidRPr="006960FF">
        <w:t>Riksdagen tillkännager för regeringen som sin mening vad i motionen anförs om staten som förebild som arbetsgivare.</w:t>
      </w:r>
    </w:p>
    <w:p w:rsidR="000F2066" w:rsidRPr="006960FF" w:rsidRDefault="000F2066" w:rsidP="00525FAD">
      <w:pPr>
        <w:pStyle w:val="Hemstlatt"/>
      </w:pPr>
      <w:r w:rsidRPr="006960FF">
        <w:t>Riksdagen tillkännager för regeringen som sin mening vad i motionen anförs om omförhandling av det statliga avtalet om delpension.</w:t>
      </w:r>
    </w:p>
    <w:p w:rsidR="000F2066" w:rsidRPr="006960FF" w:rsidRDefault="000F2066" w:rsidP="00525FAD">
      <w:pPr>
        <w:pStyle w:val="Hemstlatt"/>
      </w:pPr>
      <w:r w:rsidRPr="006960FF">
        <w:t>Riksdagen tillkännager för regeringen som sin mening vad i motionen anförs om försöket med statliga trängselskatter.</w:t>
      </w:r>
    </w:p>
    <w:p w:rsidR="000F2066" w:rsidRPr="006960FF" w:rsidRDefault="000F2066" w:rsidP="00525FAD">
      <w:pPr>
        <w:pStyle w:val="Hemstlatt"/>
      </w:pPr>
      <w:r w:rsidRPr="006960FF">
        <w:t>Riksdagen tillkännager för regeringen som sin mening vad i motionen anförs om nordisk samordning vid implementering av EU-direktiv på f</w:t>
      </w:r>
      <w:r w:rsidRPr="006960FF">
        <w:t>i</w:t>
      </w:r>
      <w:r w:rsidRPr="006960FF">
        <w:t>nan</w:t>
      </w:r>
      <w:r w:rsidRPr="006960FF">
        <w:t>s</w:t>
      </w:r>
      <w:r w:rsidRPr="006960FF">
        <w:t>marknadsområdet.</w:t>
      </w:r>
    </w:p>
    <w:p w:rsidR="000F2066" w:rsidRPr="006960FF" w:rsidRDefault="000F2066" w:rsidP="00525FAD">
      <w:pPr>
        <w:pStyle w:val="Hemstlatt"/>
      </w:pPr>
      <w:r w:rsidRPr="006960FF">
        <w:t xml:space="preserve">Riksdagen anvisar med följande ändringar i förhållande till regeringens förslag anslagen under </w:t>
      </w:r>
      <w:r w:rsidR="00BD4638" w:rsidRPr="006960FF">
        <w:t xml:space="preserve">utgiftsområde </w:t>
      </w:r>
      <w:r w:rsidRPr="006960FF">
        <w:t>2 Samhällsekonomi och finansfö</w:t>
      </w:r>
      <w:r w:rsidRPr="006960FF">
        <w:t>r</w:t>
      </w:r>
      <w:r w:rsidRPr="006960FF">
        <w:t>valtning</w:t>
      </w:r>
      <w:r w:rsidR="00825B00" w:rsidRPr="006960FF">
        <w:t xml:space="preserve"> enligt uppställning:</w:t>
      </w:r>
    </w:p>
    <w:tbl>
      <w:tblPr>
        <w:tblW w:w="6080" w:type="dxa"/>
        <w:tblInd w:w="70" w:type="dxa"/>
        <w:tblLayout w:type="fixed"/>
        <w:tblCellMar>
          <w:left w:w="70" w:type="dxa"/>
          <w:right w:w="70" w:type="dxa"/>
        </w:tblCellMar>
        <w:tblLook w:val="00BF" w:firstRow="1" w:lastRow="0" w:firstColumn="1" w:lastColumn="0" w:noHBand="0" w:noVBand="0"/>
      </w:tblPr>
      <w:tblGrid>
        <w:gridCol w:w="3060"/>
        <w:gridCol w:w="1690"/>
        <w:gridCol w:w="1330"/>
      </w:tblGrid>
      <w:tr w:rsidR="000F2066" w:rsidRPr="006960FF">
        <w:tblPrEx>
          <w:tblCellMar>
            <w:top w:w="0" w:type="dxa"/>
            <w:bottom w:w="0" w:type="dxa"/>
          </w:tblCellMar>
        </w:tblPrEx>
        <w:tc>
          <w:tcPr>
            <w:tcW w:w="3060" w:type="dxa"/>
            <w:tcBorders>
              <w:top w:val="single" w:sz="4" w:space="0" w:color="auto"/>
              <w:bottom w:val="single" w:sz="4" w:space="0" w:color="auto"/>
            </w:tcBorders>
          </w:tcPr>
          <w:p w:rsidR="000F2066" w:rsidRPr="006960FF" w:rsidRDefault="000F2066" w:rsidP="00B156E4">
            <w:pPr>
              <w:keepNext/>
              <w:spacing w:before="60" w:line="200" w:lineRule="exact"/>
              <w:rPr>
                <w:b/>
                <w:sz w:val="16"/>
                <w:szCs w:val="16"/>
              </w:rPr>
            </w:pPr>
            <w:r w:rsidRPr="006960FF">
              <w:rPr>
                <w:b/>
                <w:sz w:val="16"/>
                <w:szCs w:val="16"/>
              </w:rPr>
              <w:lastRenderedPageBreak/>
              <w:t>Anslag</w:t>
            </w:r>
          </w:p>
        </w:tc>
        <w:tc>
          <w:tcPr>
            <w:tcW w:w="1690" w:type="dxa"/>
            <w:tcBorders>
              <w:top w:val="single" w:sz="4" w:space="0" w:color="auto"/>
              <w:bottom w:val="single" w:sz="4" w:space="0" w:color="auto"/>
            </w:tcBorders>
          </w:tcPr>
          <w:p w:rsidR="000F2066" w:rsidRPr="006960FF" w:rsidRDefault="00825B00" w:rsidP="00B156E4">
            <w:pPr>
              <w:keepNext/>
              <w:spacing w:before="60" w:line="200" w:lineRule="exact"/>
              <w:jc w:val="center"/>
              <w:rPr>
                <w:b/>
                <w:sz w:val="16"/>
                <w:szCs w:val="16"/>
              </w:rPr>
            </w:pPr>
            <w:r w:rsidRPr="006960FF">
              <w:rPr>
                <w:b/>
                <w:sz w:val="16"/>
                <w:szCs w:val="16"/>
              </w:rPr>
              <w:t>Regeringens</w:t>
            </w:r>
            <w:r w:rsidRPr="006960FF">
              <w:rPr>
                <w:b/>
                <w:sz w:val="16"/>
                <w:szCs w:val="16"/>
              </w:rPr>
              <w:br/>
            </w:r>
            <w:r w:rsidR="000F2066" w:rsidRPr="006960FF">
              <w:rPr>
                <w:b/>
                <w:sz w:val="16"/>
                <w:szCs w:val="16"/>
              </w:rPr>
              <w:t>fö</w:t>
            </w:r>
            <w:r w:rsidR="000F2066" w:rsidRPr="006960FF">
              <w:rPr>
                <w:b/>
                <w:sz w:val="16"/>
                <w:szCs w:val="16"/>
              </w:rPr>
              <w:t>r</w:t>
            </w:r>
            <w:r w:rsidR="000F2066" w:rsidRPr="006960FF">
              <w:rPr>
                <w:b/>
                <w:sz w:val="16"/>
                <w:szCs w:val="16"/>
              </w:rPr>
              <w:t>slag</w:t>
            </w:r>
          </w:p>
        </w:tc>
        <w:tc>
          <w:tcPr>
            <w:tcW w:w="1330" w:type="dxa"/>
            <w:tcBorders>
              <w:top w:val="single" w:sz="4" w:space="0" w:color="auto"/>
              <w:bottom w:val="single" w:sz="4" w:space="0" w:color="auto"/>
            </w:tcBorders>
          </w:tcPr>
          <w:p w:rsidR="000F2066" w:rsidRPr="006960FF" w:rsidRDefault="000F2066" w:rsidP="00B156E4">
            <w:pPr>
              <w:keepNext/>
              <w:spacing w:before="60" w:line="200" w:lineRule="exact"/>
              <w:jc w:val="center"/>
              <w:rPr>
                <w:b/>
                <w:sz w:val="16"/>
                <w:szCs w:val="16"/>
              </w:rPr>
            </w:pPr>
            <w:r w:rsidRPr="006960FF">
              <w:rPr>
                <w:b/>
                <w:sz w:val="16"/>
                <w:szCs w:val="16"/>
              </w:rPr>
              <w:t>Anslags-</w:t>
            </w:r>
            <w:r w:rsidR="00825B00" w:rsidRPr="006960FF">
              <w:rPr>
                <w:b/>
                <w:sz w:val="16"/>
                <w:szCs w:val="16"/>
              </w:rPr>
              <w:br/>
            </w:r>
            <w:r w:rsidRPr="006960FF">
              <w:rPr>
                <w:b/>
                <w:sz w:val="16"/>
                <w:szCs w:val="16"/>
              </w:rPr>
              <w:t>förändring</w:t>
            </w:r>
          </w:p>
        </w:tc>
      </w:tr>
      <w:tr w:rsidR="000F2066" w:rsidRPr="006960FF">
        <w:tblPrEx>
          <w:tblCellMar>
            <w:top w:w="0" w:type="dxa"/>
            <w:bottom w:w="0" w:type="dxa"/>
          </w:tblCellMar>
        </w:tblPrEx>
        <w:tc>
          <w:tcPr>
            <w:tcW w:w="3060" w:type="dxa"/>
            <w:tcBorders>
              <w:top w:val="single" w:sz="4" w:space="0" w:color="auto"/>
            </w:tcBorders>
          </w:tcPr>
          <w:p w:rsidR="000F2066" w:rsidRPr="006960FF" w:rsidRDefault="00020A0E" w:rsidP="00B156E4">
            <w:pPr>
              <w:pStyle w:val="Normaltindrag"/>
              <w:keepNext/>
              <w:spacing w:before="60" w:line="200" w:lineRule="exact"/>
              <w:ind w:firstLine="0"/>
              <w:jc w:val="left"/>
              <w:rPr>
                <w:sz w:val="16"/>
                <w:szCs w:val="16"/>
              </w:rPr>
            </w:pPr>
            <w:r w:rsidRPr="006960FF">
              <w:rPr>
                <w:sz w:val="16"/>
                <w:szCs w:val="16"/>
              </w:rPr>
              <w:t>90:2 Försök med trängselskatt i Stoc</w:t>
            </w:r>
            <w:r w:rsidRPr="006960FF">
              <w:rPr>
                <w:sz w:val="16"/>
                <w:szCs w:val="16"/>
              </w:rPr>
              <w:t>k</w:t>
            </w:r>
            <w:r w:rsidRPr="006960FF">
              <w:rPr>
                <w:sz w:val="16"/>
                <w:szCs w:val="16"/>
              </w:rPr>
              <w:t>holm</w:t>
            </w:r>
          </w:p>
        </w:tc>
        <w:tc>
          <w:tcPr>
            <w:tcW w:w="1690" w:type="dxa"/>
            <w:tcBorders>
              <w:top w:val="single" w:sz="4" w:space="0" w:color="auto"/>
            </w:tcBorders>
          </w:tcPr>
          <w:p w:rsidR="000F2066" w:rsidRPr="006960FF" w:rsidRDefault="00825B00" w:rsidP="00B156E4">
            <w:pPr>
              <w:pStyle w:val="Normaltindrag"/>
              <w:keepNext/>
              <w:spacing w:before="60" w:line="200" w:lineRule="exact"/>
              <w:ind w:right="500"/>
              <w:jc w:val="right"/>
              <w:rPr>
                <w:sz w:val="16"/>
                <w:szCs w:val="16"/>
              </w:rPr>
            </w:pPr>
            <w:r w:rsidRPr="006960FF">
              <w:rPr>
                <w:sz w:val="16"/>
                <w:szCs w:val="16"/>
              </w:rPr>
              <w:t xml:space="preserve">1 </w:t>
            </w:r>
            <w:r w:rsidR="00020A0E" w:rsidRPr="006960FF">
              <w:rPr>
                <w:sz w:val="16"/>
                <w:szCs w:val="16"/>
              </w:rPr>
              <w:t>358</w:t>
            </w:r>
          </w:p>
        </w:tc>
        <w:tc>
          <w:tcPr>
            <w:tcW w:w="1330" w:type="dxa"/>
            <w:tcBorders>
              <w:top w:val="single" w:sz="4" w:space="0" w:color="auto"/>
            </w:tcBorders>
          </w:tcPr>
          <w:p w:rsidR="000F2066" w:rsidRPr="006960FF" w:rsidRDefault="00825B00" w:rsidP="00B156E4">
            <w:pPr>
              <w:pStyle w:val="Normaltindrag"/>
              <w:keepNext/>
              <w:spacing w:before="60" w:line="200" w:lineRule="exact"/>
              <w:ind w:right="500"/>
              <w:jc w:val="right"/>
              <w:rPr>
                <w:sz w:val="16"/>
                <w:szCs w:val="16"/>
              </w:rPr>
            </w:pPr>
            <w:r w:rsidRPr="006960FF">
              <w:rPr>
                <w:sz w:val="16"/>
                <w:szCs w:val="16"/>
              </w:rPr>
              <w:t>–</w:t>
            </w:r>
            <w:r w:rsidR="00020A0E" w:rsidRPr="006960FF">
              <w:rPr>
                <w:sz w:val="16"/>
                <w:szCs w:val="16"/>
              </w:rPr>
              <w:t>500</w:t>
            </w:r>
          </w:p>
        </w:tc>
      </w:tr>
      <w:tr w:rsidR="000F2066" w:rsidRPr="006960FF">
        <w:tblPrEx>
          <w:tblCellMar>
            <w:top w:w="0" w:type="dxa"/>
            <w:bottom w:w="0" w:type="dxa"/>
          </w:tblCellMar>
        </w:tblPrEx>
        <w:tc>
          <w:tcPr>
            <w:tcW w:w="3060" w:type="dxa"/>
          </w:tcPr>
          <w:p w:rsidR="000F2066" w:rsidRPr="006960FF" w:rsidRDefault="00FC0077" w:rsidP="00B156E4">
            <w:pPr>
              <w:pStyle w:val="Normaltindrag"/>
              <w:keepNext/>
              <w:spacing w:before="60" w:line="200" w:lineRule="exact"/>
              <w:ind w:firstLine="0"/>
              <w:jc w:val="left"/>
              <w:rPr>
                <w:sz w:val="16"/>
                <w:szCs w:val="16"/>
              </w:rPr>
            </w:pPr>
            <w:r w:rsidRPr="006960FF">
              <w:rPr>
                <w:sz w:val="16"/>
                <w:szCs w:val="16"/>
              </w:rPr>
              <w:t xml:space="preserve">1:8 </w:t>
            </w:r>
            <w:r w:rsidR="00020A0E" w:rsidRPr="006960FF">
              <w:rPr>
                <w:sz w:val="16"/>
                <w:szCs w:val="16"/>
              </w:rPr>
              <w:t>Nya förvaltningspolitiska myndi</w:t>
            </w:r>
            <w:r w:rsidR="00020A0E" w:rsidRPr="006960FF">
              <w:rPr>
                <w:sz w:val="16"/>
                <w:szCs w:val="16"/>
              </w:rPr>
              <w:t>g</w:t>
            </w:r>
            <w:r w:rsidR="00020A0E" w:rsidRPr="006960FF">
              <w:rPr>
                <w:sz w:val="16"/>
                <w:szCs w:val="16"/>
              </w:rPr>
              <w:t xml:space="preserve">heten </w:t>
            </w:r>
          </w:p>
        </w:tc>
        <w:tc>
          <w:tcPr>
            <w:tcW w:w="1690" w:type="dxa"/>
          </w:tcPr>
          <w:p w:rsidR="000F2066" w:rsidRPr="006960FF" w:rsidRDefault="00020A0E" w:rsidP="00B156E4">
            <w:pPr>
              <w:pStyle w:val="Normaltindrag"/>
              <w:keepNext/>
              <w:spacing w:before="60" w:line="200" w:lineRule="exact"/>
              <w:ind w:right="500"/>
              <w:jc w:val="right"/>
              <w:rPr>
                <w:sz w:val="16"/>
                <w:szCs w:val="16"/>
              </w:rPr>
            </w:pPr>
            <w:r w:rsidRPr="006960FF">
              <w:rPr>
                <w:sz w:val="16"/>
                <w:szCs w:val="16"/>
              </w:rPr>
              <w:t>49,5</w:t>
            </w:r>
          </w:p>
        </w:tc>
        <w:tc>
          <w:tcPr>
            <w:tcW w:w="1330" w:type="dxa"/>
          </w:tcPr>
          <w:p w:rsidR="000F2066" w:rsidRPr="006960FF" w:rsidRDefault="00825B00" w:rsidP="00B156E4">
            <w:pPr>
              <w:pStyle w:val="Normaltindrag"/>
              <w:keepNext/>
              <w:spacing w:before="60" w:line="200" w:lineRule="exact"/>
              <w:ind w:right="500"/>
              <w:jc w:val="right"/>
              <w:rPr>
                <w:sz w:val="16"/>
                <w:szCs w:val="16"/>
              </w:rPr>
            </w:pPr>
            <w:r w:rsidRPr="006960FF">
              <w:rPr>
                <w:sz w:val="16"/>
                <w:szCs w:val="16"/>
              </w:rPr>
              <w:t>–</w:t>
            </w:r>
            <w:r w:rsidR="00E309ED" w:rsidRPr="006960FF">
              <w:rPr>
                <w:sz w:val="16"/>
                <w:szCs w:val="16"/>
              </w:rPr>
              <w:t>47</w:t>
            </w:r>
          </w:p>
        </w:tc>
      </w:tr>
      <w:tr w:rsidR="000E65A6" w:rsidRPr="006960FF">
        <w:tblPrEx>
          <w:tblCellMar>
            <w:top w:w="0" w:type="dxa"/>
            <w:bottom w:w="0" w:type="dxa"/>
          </w:tblCellMar>
        </w:tblPrEx>
        <w:tc>
          <w:tcPr>
            <w:tcW w:w="3060" w:type="dxa"/>
          </w:tcPr>
          <w:p w:rsidR="000E65A6" w:rsidRPr="006960FF" w:rsidRDefault="000E65A6" w:rsidP="00B156E4">
            <w:pPr>
              <w:pStyle w:val="Normaltindrag"/>
              <w:keepNext/>
              <w:spacing w:before="60" w:line="200" w:lineRule="exact"/>
              <w:ind w:firstLine="0"/>
              <w:jc w:val="left"/>
              <w:rPr>
                <w:sz w:val="16"/>
                <w:szCs w:val="16"/>
              </w:rPr>
            </w:pPr>
            <w:r w:rsidRPr="006960FF">
              <w:rPr>
                <w:sz w:val="16"/>
                <w:szCs w:val="16"/>
              </w:rPr>
              <w:t>1:12 Statliga kompetensöverföringsjobb</w:t>
            </w:r>
          </w:p>
        </w:tc>
        <w:tc>
          <w:tcPr>
            <w:tcW w:w="1690" w:type="dxa"/>
          </w:tcPr>
          <w:p w:rsidR="000E65A6" w:rsidRPr="006960FF" w:rsidRDefault="000E65A6" w:rsidP="00B156E4">
            <w:pPr>
              <w:pStyle w:val="Normaltindrag"/>
              <w:keepNext/>
              <w:spacing w:before="60" w:line="200" w:lineRule="exact"/>
              <w:ind w:right="500"/>
              <w:jc w:val="right"/>
              <w:rPr>
                <w:sz w:val="16"/>
                <w:szCs w:val="16"/>
              </w:rPr>
            </w:pPr>
            <w:r w:rsidRPr="006960FF">
              <w:rPr>
                <w:sz w:val="16"/>
                <w:szCs w:val="16"/>
              </w:rPr>
              <w:t>360</w:t>
            </w:r>
          </w:p>
        </w:tc>
        <w:tc>
          <w:tcPr>
            <w:tcW w:w="1330" w:type="dxa"/>
          </w:tcPr>
          <w:p w:rsidR="000E65A6" w:rsidRPr="006960FF" w:rsidRDefault="00825B00" w:rsidP="00B156E4">
            <w:pPr>
              <w:pStyle w:val="Normaltindrag"/>
              <w:keepNext/>
              <w:spacing w:before="60" w:line="200" w:lineRule="exact"/>
              <w:ind w:right="500"/>
              <w:jc w:val="right"/>
              <w:rPr>
                <w:sz w:val="16"/>
                <w:szCs w:val="16"/>
              </w:rPr>
            </w:pPr>
            <w:r w:rsidRPr="006960FF">
              <w:rPr>
                <w:sz w:val="16"/>
                <w:szCs w:val="16"/>
              </w:rPr>
              <w:t>–</w:t>
            </w:r>
            <w:r w:rsidR="000E65A6" w:rsidRPr="006960FF">
              <w:rPr>
                <w:sz w:val="16"/>
                <w:szCs w:val="16"/>
              </w:rPr>
              <w:t>360</w:t>
            </w:r>
          </w:p>
        </w:tc>
      </w:tr>
      <w:tr w:rsidR="000F2066" w:rsidRPr="006960FF">
        <w:tblPrEx>
          <w:tblCellMar>
            <w:top w:w="0" w:type="dxa"/>
            <w:bottom w:w="0" w:type="dxa"/>
          </w:tblCellMar>
        </w:tblPrEx>
        <w:tc>
          <w:tcPr>
            <w:tcW w:w="3060" w:type="dxa"/>
            <w:tcBorders>
              <w:bottom w:val="single" w:sz="4" w:space="0" w:color="auto"/>
            </w:tcBorders>
          </w:tcPr>
          <w:p w:rsidR="000F2066" w:rsidRPr="006960FF" w:rsidRDefault="00020A0E" w:rsidP="00B156E4">
            <w:pPr>
              <w:pStyle w:val="Normaltindrag"/>
              <w:keepNext/>
              <w:spacing w:before="60" w:line="200" w:lineRule="exact"/>
              <w:ind w:firstLine="0"/>
              <w:jc w:val="left"/>
              <w:rPr>
                <w:b/>
                <w:sz w:val="16"/>
                <w:szCs w:val="16"/>
              </w:rPr>
            </w:pPr>
            <w:r w:rsidRPr="006960FF">
              <w:rPr>
                <w:b/>
                <w:sz w:val="16"/>
                <w:szCs w:val="16"/>
              </w:rPr>
              <w:t>Summa för utgiftsområdet</w:t>
            </w:r>
          </w:p>
        </w:tc>
        <w:tc>
          <w:tcPr>
            <w:tcW w:w="1690" w:type="dxa"/>
            <w:tcBorders>
              <w:bottom w:val="single" w:sz="4" w:space="0" w:color="auto"/>
            </w:tcBorders>
          </w:tcPr>
          <w:p w:rsidR="000F2066" w:rsidRPr="006960FF" w:rsidRDefault="000E65A6" w:rsidP="00B156E4">
            <w:pPr>
              <w:pStyle w:val="Normaltindrag"/>
              <w:keepNext/>
              <w:spacing w:before="60" w:line="200" w:lineRule="exact"/>
              <w:ind w:right="500"/>
              <w:jc w:val="right"/>
              <w:rPr>
                <w:b/>
                <w:sz w:val="16"/>
                <w:szCs w:val="16"/>
              </w:rPr>
            </w:pPr>
            <w:r w:rsidRPr="006960FF">
              <w:rPr>
                <w:b/>
                <w:sz w:val="16"/>
                <w:szCs w:val="16"/>
              </w:rPr>
              <w:t>11</w:t>
            </w:r>
            <w:r w:rsidR="00825B00" w:rsidRPr="006960FF">
              <w:rPr>
                <w:b/>
                <w:sz w:val="16"/>
                <w:szCs w:val="16"/>
              </w:rPr>
              <w:t xml:space="preserve"> </w:t>
            </w:r>
            <w:r w:rsidRPr="006960FF">
              <w:rPr>
                <w:b/>
                <w:sz w:val="16"/>
                <w:szCs w:val="16"/>
              </w:rPr>
              <w:t>809</w:t>
            </w:r>
          </w:p>
        </w:tc>
        <w:tc>
          <w:tcPr>
            <w:tcW w:w="1330" w:type="dxa"/>
            <w:tcBorders>
              <w:bottom w:val="single" w:sz="4" w:space="0" w:color="auto"/>
            </w:tcBorders>
          </w:tcPr>
          <w:p w:rsidR="000F2066" w:rsidRPr="006960FF" w:rsidRDefault="00825B00" w:rsidP="00B156E4">
            <w:pPr>
              <w:pStyle w:val="Normaltindrag"/>
              <w:keepNext/>
              <w:spacing w:before="60" w:line="200" w:lineRule="exact"/>
              <w:ind w:right="500"/>
              <w:jc w:val="right"/>
              <w:rPr>
                <w:b/>
                <w:sz w:val="16"/>
                <w:szCs w:val="16"/>
              </w:rPr>
            </w:pPr>
            <w:r w:rsidRPr="006960FF">
              <w:rPr>
                <w:b/>
                <w:sz w:val="16"/>
                <w:szCs w:val="16"/>
              </w:rPr>
              <w:t>–</w:t>
            </w:r>
            <w:r w:rsidR="000E65A6" w:rsidRPr="006960FF">
              <w:rPr>
                <w:b/>
                <w:sz w:val="16"/>
                <w:szCs w:val="16"/>
              </w:rPr>
              <w:t>907</w:t>
            </w:r>
          </w:p>
        </w:tc>
      </w:tr>
    </w:tbl>
    <w:p w:rsidR="000F2066" w:rsidRPr="006960FF" w:rsidRDefault="00C74836" w:rsidP="000F2066">
      <w:pPr>
        <w:pStyle w:val="Rubrik1"/>
      </w:pPr>
      <w:r w:rsidRPr="006960FF">
        <w:t>Nej till trängselskatter</w:t>
      </w:r>
    </w:p>
    <w:p w:rsidR="000F2066" w:rsidRPr="006960FF" w:rsidRDefault="000F2066" w:rsidP="000F2066">
      <w:r w:rsidRPr="006960FF">
        <w:t>Folkpartiet motsätter sig det statliga försöket med trängselavgifter i Stoc</w:t>
      </w:r>
      <w:r w:rsidRPr="006960FF">
        <w:t>k</w:t>
      </w:r>
      <w:r w:rsidRPr="006960FF">
        <w:t>holm. Folkpartiet anser att den kommun som så önskar ska kunna införa trängselavgifter, efter överenskommelse och godkännande av andra berörda kommuner. Trängselavgifter är en fråga som ska beslutas av dem det berör. I detta fall har Socialdemokraterna överenskommit med Miljöpartiet att det, över huvudet på invånarna i Stockholms län, ska införas sådana avgifter med syftet att få Miljöpartiets stöd för sitt eget regeringsinnehav. Folkpartiet a</w:t>
      </w:r>
      <w:r w:rsidR="00C74836" w:rsidRPr="006960FF">
        <w:t>nser att försöket ska avbrytas!</w:t>
      </w:r>
    </w:p>
    <w:p w:rsidR="000F2066" w:rsidRPr="006960FF" w:rsidRDefault="000F2066" w:rsidP="000F2066">
      <w:pPr>
        <w:pStyle w:val="Normaltindrag"/>
      </w:pPr>
      <w:r w:rsidRPr="006960FF">
        <w:t>Flertalet investeringar är redan gjorda. Huruvida dessa kan avyttras så att delar av kostnaden kan återvinnas är i</w:t>
      </w:r>
      <w:r w:rsidR="0065435A" w:rsidRPr="006960FF">
        <w:t xml:space="preserve"> </w:t>
      </w:r>
      <w:r w:rsidRPr="006960FF">
        <w:t>dag inte möjligt att avgöra. Däremot kan vissa drifts- och informationskostnader samt planerade avvecklingskos</w:t>
      </w:r>
      <w:r w:rsidRPr="006960FF">
        <w:t>t</w:t>
      </w:r>
      <w:r w:rsidRPr="006960FF">
        <w:t>nader undvikas. Vi beräknar försiktigt att 500 miljoner kronor kan sparas under såväl 2006 som 2007.</w:t>
      </w:r>
    </w:p>
    <w:p w:rsidR="000F2066" w:rsidRPr="006960FF" w:rsidRDefault="000F2066" w:rsidP="000F2066">
      <w:pPr>
        <w:pStyle w:val="Rubrik1"/>
      </w:pPr>
      <w:r w:rsidRPr="006960FF">
        <w:t>En effektivare statsf</w:t>
      </w:r>
      <w:r w:rsidR="0065435A" w:rsidRPr="006960FF">
        <w:t>örvaltning</w:t>
      </w:r>
    </w:p>
    <w:p w:rsidR="000F2066" w:rsidRPr="006960FF" w:rsidRDefault="000F2066" w:rsidP="000F2066">
      <w:r w:rsidRPr="006960FF">
        <w:t>I en utredning (SOU 2005:32) föreslås en ny ansvarsfördelning mellan ESV och Statskontoret samt att en ny förvaltningspolitisk myndighet bildas. Vidare föreslås att Statens kvalitets- och kompetensråd (KKR) sk</w:t>
      </w:r>
      <w:r w:rsidR="0065435A" w:rsidRPr="006960FF">
        <w:t>a avskaffas. Stat</w:t>
      </w:r>
      <w:r w:rsidR="0065435A" w:rsidRPr="006960FF">
        <w:t>s</w:t>
      </w:r>
      <w:r w:rsidR="0065435A" w:rsidRPr="006960FF">
        <w:t>kontoret ska</w:t>
      </w:r>
      <w:r w:rsidRPr="006960FF">
        <w:t>, enligt utredningen, ha ett renodlat utrednings-, uppföljnings- och utvärderingsuppdrag. Viss verksamhet som rör lokalförsörjning och samor</w:t>
      </w:r>
      <w:r w:rsidRPr="006960FF">
        <w:t>d</w:t>
      </w:r>
      <w:r w:rsidRPr="006960FF">
        <w:t>ning a</w:t>
      </w:r>
      <w:r w:rsidR="0065435A" w:rsidRPr="006960FF">
        <w:t>v statlig inköpssamordning ska</w:t>
      </w:r>
      <w:r w:rsidRPr="006960FF">
        <w:t xml:space="preserve"> överföras till ESV. Regeringen har tillsatt en särskild utredare med uppdrag att vidta de åtgärder som krävs för bildandet av den nya myndigheten. Den förvalt</w:t>
      </w:r>
      <w:r w:rsidR="0065435A" w:rsidRPr="006960FF">
        <w:t>ningspolitiska myndigheten ska</w:t>
      </w:r>
      <w:r w:rsidRPr="006960FF">
        <w:t xml:space="preserve"> inrättas den 1/1 2006.</w:t>
      </w:r>
    </w:p>
    <w:p w:rsidR="000F2066" w:rsidRPr="006960FF" w:rsidRDefault="000F2066" w:rsidP="000F2066">
      <w:pPr>
        <w:pStyle w:val="Normaltindrag"/>
      </w:pPr>
      <w:r w:rsidRPr="006960FF">
        <w:t>Folkpartiet välkomnar delar av utredarens förslag. Vi har till exempel länge föreslagit en nedläggning av KKR. Vi menar dock att utredaren borde fått ett bredare uppdrag. Det finns inom utgiftsområde 2 flera myndigheter vars arbetsuppgif</w:t>
      </w:r>
      <w:r w:rsidR="0065435A" w:rsidRPr="006960FF">
        <w:t>ter delvis överlappar varandra.</w:t>
      </w:r>
      <w:r w:rsidR="00BD4638" w:rsidRPr="006960FF">
        <w:t xml:space="preserve"> </w:t>
      </w:r>
      <w:r w:rsidR="0065435A" w:rsidRPr="006960FF">
        <w:t>D</w:t>
      </w:r>
      <w:r w:rsidRPr="006960FF">
        <w:t>ärmed skulle man kunna nå större effektivitets- och samordningsvinster med en bredare översyn än den som görs i nämnda utredning. På detta sätt kan 12 miljoner sparas av anslaget.</w:t>
      </w:r>
    </w:p>
    <w:p w:rsidR="000F2066" w:rsidRPr="006960FF" w:rsidRDefault="000F2066" w:rsidP="000F2066">
      <w:pPr>
        <w:pStyle w:val="Normaltindrag"/>
      </w:pPr>
      <w:r w:rsidRPr="006960FF">
        <w:t>I regeringens budgetförslag för området föreslås inga effektivitetsförbät</w:t>
      </w:r>
      <w:r w:rsidRPr="006960FF">
        <w:t>t</w:t>
      </w:r>
      <w:r w:rsidRPr="006960FF">
        <w:t>ringar eller kostnadsrationaliseringar utöver ett allmänt sparbeting på hela statsförvaltningen. Den nya förvaltningspolitiska myndigheten föreslås i stä</w:t>
      </w:r>
      <w:r w:rsidRPr="006960FF">
        <w:t>l</w:t>
      </w:r>
      <w:r w:rsidRPr="006960FF">
        <w:t>let få motsvarande resurser som motsvarar de verksamheter man tar över från Statskontoret och KKR. Detta är orimligt, därför föreslår vi att anslaget för den nya myndigheten begränsas med 5 miljoner.</w:t>
      </w:r>
    </w:p>
    <w:p w:rsidR="000F2066" w:rsidRPr="006960FF" w:rsidRDefault="000F2066" w:rsidP="000F2066">
      <w:pPr>
        <w:pStyle w:val="Normaltindrag"/>
      </w:pPr>
      <w:r w:rsidRPr="006960FF">
        <w:t>Folkpartiet menar att det finns stora möjligheter att genom effektivisering av statsförvaltningen minska statens kostnader. Området borde därför geno</w:t>
      </w:r>
      <w:r w:rsidRPr="006960FF">
        <w:t>m</w:t>
      </w:r>
      <w:r w:rsidRPr="006960FF">
        <w:t>gå en bredare översyn i syfte att nå bättre samordning och ge tydligare up</w:t>
      </w:r>
      <w:r w:rsidRPr="006960FF">
        <w:t>p</w:t>
      </w:r>
      <w:r w:rsidRPr="006960FF">
        <w:t>drag till de olika myndigheterna. Syftet med en sådan översyn är att nå såväl ökad kostnadseffektivitet som bättre service och tydlighet gentemot kunder och medborgare.</w:t>
      </w:r>
    </w:p>
    <w:p w:rsidR="000F2066" w:rsidRPr="006960FF" w:rsidRDefault="000F2066" w:rsidP="000F2066">
      <w:pPr>
        <w:pStyle w:val="Normaltindrag"/>
      </w:pPr>
      <w:r w:rsidRPr="006960FF">
        <w:t>Ett exempel är möjligheten att samordna verksamheterna inom Konku</w:t>
      </w:r>
      <w:r w:rsidRPr="006960FF">
        <w:t>r</w:t>
      </w:r>
      <w:r w:rsidRPr="006960FF">
        <w:t>rensverket och Nämnden för offentlig upphandling. Detta föreslog den så kallade Upphandlings- kommittén redan 2001. Folkpartiet menar att en sådan sammanslagning skulle skapa en effektivare översyn och kanske framför allt en effektivare översyn när det gäller kommunernas och landstingens sätt att sköta konkurrensen. Utredningen visade dessutom att det offentliga skulle kunna spara betydande belopp om upphandlingen sköttes mera strikt. Hur det praktiska ska se ut kring denna samordning bör regeringen utreda närmare.</w:t>
      </w:r>
    </w:p>
    <w:p w:rsidR="000F2066" w:rsidRPr="006960FF" w:rsidRDefault="000F2066" w:rsidP="000F2066">
      <w:pPr>
        <w:pStyle w:val="Normaltindrag"/>
      </w:pPr>
      <w:r w:rsidRPr="006960FF">
        <w:t>Det är emellertid inte möjligt att i förväg förutsäga hur stora ekonomiska besparingar som kan göras efter en sådan genomlysning. Folkpartiet väljer därför att inte räkna in potentiella besparingar i vårt budgetalternativ.</w:t>
      </w:r>
    </w:p>
    <w:p w:rsidR="000F2066" w:rsidRPr="006960FF" w:rsidRDefault="0065435A" w:rsidP="000F2066">
      <w:pPr>
        <w:pStyle w:val="Rubrik1"/>
      </w:pPr>
      <w:r w:rsidRPr="006960FF">
        <w:t>Begränsa SCB</w:t>
      </w:r>
    </w:p>
    <w:p w:rsidR="000F2066" w:rsidRPr="006960FF" w:rsidRDefault="0065435A" w:rsidP="000F2066">
      <w:r w:rsidRPr="006960FF">
        <w:t>Statistiska centralbyrån</w:t>
      </w:r>
      <w:r w:rsidR="000F2066" w:rsidRPr="006960FF">
        <w:t xml:space="preserve"> (SCB) omsluter cirka 904 miljoner kronor varav drygt hälften finansier</w:t>
      </w:r>
      <w:r w:rsidRPr="006960FF">
        <w:t>as med avgifter. Riksrevisionen</w:t>
      </w:r>
      <w:r w:rsidR="000F2066" w:rsidRPr="006960FF">
        <w:t xml:space="preserve"> (RiR) har granskat uppdrag</w:t>
      </w:r>
      <w:r w:rsidR="000F2066" w:rsidRPr="006960FF">
        <w:t>s</w:t>
      </w:r>
      <w:r w:rsidR="000F2066" w:rsidRPr="006960FF">
        <w:t>verksamhet</w:t>
      </w:r>
      <w:r w:rsidRPr="006960FF">
        <w:t>en</w:t>
      </w:r>
      <w:r w:rsidR="000F2066" w:rsidRPr="006960FF">
        <w:t xml:space="preserve"> och rapporten (RiR2004:8) visar med all önskvärd tydlighet att SCB:s organisation behöver förändras. Uppdragsverksamheten är i dag org</w:t>
      </w:r>
      <w:r w:rsidR="000F2066" w:rsidRPr="006960FF">
        <w:t>a</w:t>
      </w:r>
      <w:r w:rsidR="000F2066" w:rsidRPr="006960FF">
        <w:t>nisatoriskt integrerad med den anslagsfinansierade verksamheten. SCB bör ges i uppdrag att utifrån RiR:s rapport genomföra en klar uppdelning mellan den anslagsfinansierade och den avgiftsfinansierade verksamheten.</w:t>
      </w:r>
    </w:p>
    <w:p w:rsidR="000F2066" w:rsidRPr="006960FF" w:rsidRDefault="000F2066" w:rsidP="000F2066">
      <w:pPr>
        <w:pStyle w:val="Normaltindrag"/>
      </w:pPr>
      <w:r w:rsidRPr="006960FF">
        <w:t>En av Sveriges viktigaste utmaningar är att få fart på företagandet. För att nå det målet krävs en politik för ett kraftigt förbättrat företagarklimat. En sådan politik bygger på strategiska skattesänkningar och minskad regelbörda. I syfte att minska företagens administrativa bördor bör Statistiska centralb</w:t>
      </w:r>
      <w:r w:rsidRPr="006960FF">
        <w:t>y</w:t>
      </w:r>
      <w:r w:rsidRPr="006960FF">
        <w:t xml:space="preserve">råns (SCB) statsistikinhämtning från företag begränsas. Vidare bör andelen </w:t>
      </w:r>
      <w:r w:rsidR="0065435A" w:rsidRPr="006960FF">
        <w:t xml:space="preserve">av </w:t>
      </w:r>
      <w:r w:rsidRPr="006960FF">
        <w:t>SCB:s verks</w:t>
      </w:r>
      <w:r w:rsidR="0065435A" w:rsidRPr="006960FF">
        <w:t>amhet som är avgiftsfinansierad</w:t>
      </w:r>
      <w:r w:rsidRPr="006960FF">
        <w:t xml:space="preserve"> eller uppdragsverksamhet öka. Detta för att säkerställa att det finns efterfrågan på producerad statistik. Av detta skäl bör SCB</w:t>
      </w:r>
      <w:r w:rsidR="0065435A" w:rsidRPr="006960FF">
        <w:t>:</w:t>
      </w:r>
      <w:r w:rsidRPr="006960FF">
        <w:t>s anslag minska med 30 miljoner.</w:t>
      </w:r>
    </w:p>
    <w:p w:rsidR="000F2066" w:rsidRPr="006960FF" w:rsidRDefault="0065435A" w:rsidP="000F2066">
      <w:pPr>
        <w:pStyle w:val="Rubrik1"/>
      </w:pPr>
      <w:r w:rsidRPr="006960FF">
        <w:t>Sälj SBAB och Vasakronan</w:t>
      </w:r>
    </w:p>
    <w:p w:rsidR="000F2066" w:rsidRPr="006960FF" w:rsidRDefault="000F2066" w:rsidP="000F2066">
      <w:r w:rsidRPr="006960FF">
        <w:t>Staten ska inte bedriva affärsverksamhet på väl fungerande marknader. Det innebär för detta utgiftsområde att vi föreslår en försäljning av SBAB och Vasakronan. Båda bolagen bedriver affärsmässig verksamhet på marknader som präglas av hög effektivitet och god konkurrens mellan privata aktörer.</w:t>
      </w:r>
    </w:p>
    <w:p w:rsidR="000F2066" w:rsidRPr="006960FF" w:rsidRDefault="000F2066" w:rsidP="000F2066">
      <w:pPr>
        <w:pStyle w:val="Normaltindrag"/>
      </w:pPr>
      <w:r w:rsidRPr="006960FF">
        <w:t>I en väl fungerande marknadsekonomi fyller staten en oundgänglig fun</w:t>
      </w:r>
      <w:r w:rsidRPr="006960FF">
        <w:t>k</w:t>
      </w:r>
      <w:r w:rsidRPr="006960FF">
        <w:t>tion som stiftare av de lagar och regler som ska följas</w:t>
      </w:r>
      <w:r w:rsidR="0065435A" w:rsidRPr="006960FF">
        <w:t xml:space="preserve"> som</w:t>
      </w:r>
      <w:r w:rsidRPr="006960FF">
        <w:t xml:space="preserve"> beslutsfattare om de skatter som ska betalas och som myndighetsutövare i form av de rätt</w:t>
      </w:r>
      <w:r w:rsidRPr="006960FF">
        <w:t>s</w:t>
      </w:r>
      <w:r w:rsidRPr="006960FF">
        <w:t>vårdande och marknadsvårdande instanser som ska se till att reglerna efte</w:t>
      </w:r>
      <w:r w:rsidRPr="006960FF">
        <w:t>r</w:t>
      </w:r>
      <w:r w:rsidRPr="006960FF">
        <w:t>följs. Att på samma gång vara aktör på marknaden leder till en orimlig sa</w:t>
      </w:r>
      <w:r w:rsidRPr="006960FF">
        <w:t>m</w:t>
      </w:r>
      <w:r w:rsidRPr="006960FF">
        <w:t>manblandning av roller. Den vars verksamhet är beroende av gällande regler ska inte själv direkt eller indirekt vara med och bestämma vilka regler som ska råda.</w:t>
      </w:r>
    </w:p>
    <w:p w:rsidR="000F2066" w:rsidRPr="006960FF" w:rsidRDefault="000F2066" w:rsidP="000F2066">
      <w:pPr>
        <w:pStyle w:val="Rubrik1"/>
      </w:pPr>
      <w:r w:rsidRPr="006960FF">
        <w:t>Stat</w:t>
      </w:r>
      <w:r w:rsidR="0065435A" w:rsidRPr="006960FF">
        <w:t>en ska vara en bra arbetsgivare</w:t>
      </w:r>
    </w:p>
    <w:p w:rsidR="000F2066" w:rsidRPr="006960FF" w:rsidRDefault="000F2066" w:rsidP="000F2066">
      <w:r w:rsidRPr="006960FF">
        <w:t>Även om staten skulle sälja merparten av de statligt ägda företagen förblir staten en stor arbetsgivare. Folkpartiet anser att staten ska föregå med gott exempel som arbetsgivare. Det innebär att staten aktivt ska förebygga ohälsa på arbetsplatsen och ge sjukskrivna stora chanser</w:t>
      </w:r>
      <w:r w:rsidR="0065435A" w:rsidRPr="006960FF">
        <w:t xml:space="preserve"> till omskolning och möjli</w:t>
      </w:r>
      <w:r w:rsidR="0065435A" w:rsidRPr="006960FF">
        <w:t>g</w:t>
      </w:r>
      <w:r w:rsidR="0065435A" w:rsidRPr="006960FF">
        <w:t>het</w:t>
      </w:r>
      <w:r w:rsidRPr="006960FF">
        <w:t xml:space="preserve"> att komma tillbaka i arbete. Staten måste vidare höja ambitionerna när det gäller jämställdhetsarbetet och arbetet med att bredda den etniska mångfa</w:t>
      </w:r>
      <w:r w:rsidRPr="006960FF">
        <w:t>l</w:t>
      </w:r>
      <w:r w:rsidRPr="006960FF">
        <w:t>den. Det är dock viktigt att detta sker genom att riva de olika hinder som finns och inte genom kvotering.</w:t>
      </w:r>
    </w:p>
    <w:p w:rsidR="000F2066" w:rsidRPr="006960FF" w:rsidRDefault="000F2066" w:rsidP="000F2066">
      <w:pPr>
        <w:pStyle w:val="Normaltindrag"/>
      </w:pPr>
      <w:r w:rsidRPr="006960FF">
        <w:t xml:space="preserve">Enligt budgetpropositionens avsnitt om statsförvaltningens utveckling har andelen kvinnor på ledande positioner ökat från 21 </w:t>
      </w:r>
      <w:r w:rsidR="0065435A" w:rsidRPr="006960FF">
        <w:t>%</w:t>
      </w:r>
      <w:r w:rsidRPr="006960FF">
        <w:t xml:space="preserve"> till 30 </w:t>
      </w:r>
      <w:r w:rsidR="0065435A" w:rsidRPr="006960FF">
        <w:t>%</w:t>
      </w:r>
      <w:r w:rsidRPr="006960FF">
        <w:t xml:space="preserve"> sedan 1998. Detta är en oacceptabelt låg nivå och även om utvecklingen går åt rätt håll är takten oacceptabelt långsam. Det senaste året har antalet kvinnliga myndi</w:t>
      </w:r>
      <w:r w:rsidRPr="006960FF">
        <w:t>g</w:t>
      </w:r>
      <w:r w:rsidRPr="006960FF">
        <w:t>hetschefer minskat med tre samtidigt som antalet manliga myndighetschefer ökat med en.</w:t>
      </w:r>
    </w:p>
    <w:p w:rsidR="000F2066" w:rsidRPr="006960FF" w:rsidRDefault="000F2066" w:rsidP="000F2066">
      <w:pPr>
        <w:pStyle w:val="Normaltindrag"/>
      </w:pPr>
      <w:r w:rsidRPr="006960FF">
        <w:t xml:space="preserve">I en särskild bilaga till budgetpropositionen redovisas fördelningen av ekonomiska resurser mellan kvinnor och män (bilaga 4). I bilagan redovisas tydligt att staten inte tar sitt ansvar när det gäller rättvisa löner mellan kvinnor och män. I den statliga sektorn är kvinnors lön 85 </w:t>
      </w:r>
      <w:r w:rsidR="0065435A" w:rsidRPr="006960FF">
        <w:t>%</w:t>
      </w:r>
      <w:r w:rsidRPr="006960FF">
        <w:t xml:space="preserve"> av männens. Även om man rensar för faktorer som ålder, utbildningsnivå, arbetstid och sektor kva</w:t>
      </w:r>
      <w:r w:rsidRPr="006960FF">
        <w:t>r</w:t>
      </w:r>
      <w:r w:rsidRPr="006960FF">
        <w:t xml:space="preserve">står en oskälig löneskillnad. I den standardvägda jämförelsen har kvinnor bara 92 </w:t>
      </w:r>
      <w:r w:rsidR="0065435A" w:rsidRPr="006960FF">
        <w:t>%</w:t>
      </w:r>
      <w:r w:rsidRPr="006960FF">
        <w:t xml:space="preserve"> av männens genomsnittslön. Även inom Regeringskansliet har omotiv</w:t>
      </w:r>
      <w:r w:rsidRPr="006960FF">
        <w:t>e</w:t>
      </w:r>
      <w:r w:rsidRPr="006960FF">
        <w:t>rade skillnader till exempel vad gäller ingångslöner uppmärksammats.</w:t>
      </w:r>
    </w:p>
    <w:p w:rsidR="000F2066" w:rsidRPr="006960FF" w:rsidRDefault="000F2066" w:rsidP="000F2066">
      <w:pPr>
        <w:pStyle w:val="Normaltindrag"/>
      </w:pPr>
      <w:r w:rsidRPr="006960FF">
        <w:t>Det är inte bara i statsförvaltningen staten ska föregå med gott exempel. I egenskap av aktieägare i bolag fungerar staten som skattebetalarnas ombud på bolagens stämmor och kan alltså utöva ett direkt och mycket påtagligt infl</w:t>
      </w:r>
      <w:r w:rsidRPr="006960FF">
        <w:t>y</w:t>
      </w:r>
      <w:r w:rsidRPr="006960FF">
        <w:t>tande. I av staten helägda bolag kan man inte bara gå på stämman, man utgör stämman. Det är sålunda märkligt att jämställdhetsarbetet går så långsamt även i dessa bolag.</w:t>
      </w:r>
    </w:p>
    <w:p w:rsidR="000F2066" w:rsidRPr="006960FF" w:rsidRDefault="000F2066" w:rsidP="000F2066">
      <w:pPr>
        <w:pStyle w:val="Normaltindrag"/>
      </w:pPr>
      <w:r w:rsidRPr="006960FF">
        <w:t>För att bryta lönediskrimineringen behövs ändamålsenliga metoder såsom statistik och bättre modeller för arbetsvärdering. Genom sådana verktyg kan diskriminerande löneskillnader synliggöras. Vi förutsätter att staten som a</w:t>
      </w:r>
      <w:r w:rsidRPr="006960FF">
        <w:t>r</w:t>
      </w:r>
      <w:r w:rsidRPr="006960FF">
        <w:t>betsgivare följer den lagstiftning riksdagen fattat beslut om. De skärpningar av jämställdhetslagen som genomförts måste förutsättas få fullt genomslag. Staten som arbetsgivare måste gå före och själv agera på det sätt man via lagstiftning, styrmedel och opinionsbildning vill förmå resterande arbet</w:t>
      </w:r>
      <w:r w:rsidRPr="006960FF">
        <w:t>s</w:t>
      </w:r>
      <w:r w:rsidRPr="006960FF">
        <w:t>marknad</w:t>
      </w:r>
      <w:r w:rsidR="0065435A" w:rsidRPr="006960FF">
        <w:t xml:space="preserve"> att agera</w:t>
      </w:r>
      <w:r w:rsidRPr="006960FF">
        <w:t>.</w:t>
      </w:r>
    </w:p>
    <w:p w:rsidR="000F2066" w:rsidRPr="006960FF" w:rsidRDefault="000F2066" w:rsidP="000F2066">
      <w:pPr>
        <w:pStyle w:val="Normaltindrag"/>
      </w:pPr>
      <w:r w:rsidRPr="006960FF">
        <w:t>Brister i integrationspolitiken är ett av Sveriges allvarligaste problem. Dä</w:t>
      </w:r>
      <w:r w:rsidRPr="006960FF">
        <w:t>r</w:t>
      </w:r>
      <w:r w:rsidRPr="006960FF">
        <w:t>för är det av stor vikt att staten använder alla sina olika roller för att riva hi</w:t>
      </w:r>
      <w:r w:rsidRPr="006960FF">
        <w:t>n</w:t>
      </w:r>
      <w:r w:rsidRPr="006960FF">
        <w:t>der för nya svenskar att etablera sig i samhället och inte minst på arbetsmar</w:t>
      </w:r>
      <w:r w:rsidRPr="006960FF">
        <w:t>k</w:t>
      </w:r>
      <w:r w:rsidRPr="006960FF">
        <w:t>naden. I åldern 20</w:t>
      </w:r>
      <w:r w:rsidR="0065435A" w:rsidRPr="006960FF">
        <w:t>–</w:t>
      </w:r>
      <w:r w:rsidRPr="006960FF">
        <w:t xml:space="preserve">64 år är andelen med utländsk bakgrund 17,8 </w:t>
      </w:r>
      <w:r w:rsidR="0065435A" w:rsidRPr="006960FF">
        <w:t>%</w:t>
      </w:r>
      <w:r w:rsidRPr="006960FF">
        <w:t>. Bland statens anställda har bara 10</w:t>
      </w:r>
      <w:r w:rsidR="0065435A" w:rsidRPr="006960FF">
        <w:t> %</w:t>
      </w:r>
      <w:r w:rsidRPr="006960FF">
        <w:t xml:space="preserve"> utländsk bakgrund. När det gäller anställda med ledningskompetens i statsförvaltningen utgör andelen med utländsk ba</w:t>
      </w:r>
      <w:r w:rsidRPr="006960FF">
        <w:t>k</w:t>
      </w:r>
      <w:r w:rsidRPr="006960FF">
        <w:t>grund endast drygt 5</w:t>
      </w:r>
      <w:r w:rsidR="0065435A" w:rsidRPr="006960FF">
        <w:t> </w:t>
      </w:r>
      <w:r w:rsidRPr="006960FF">
        <w:t>%.</w:t>
      </w:r>
    </w:p>
    <w:p w:rsidR="000F2066" w:rsidRPr="006960FF" w:rsidRDefault="000F2066" w:rsidP="000F2066">
      <w:pPr>
        <w:pStyle w:val="Normaltindrag"/>
      </w:pPr>
      <w:r w:rsidRPr="006960FF">
        <w:t>Den statliga arbetsgivarpolitiken måste föregå med gott exempel genom att vidta åtgärder för att nå ökad etnisk mångfald och jämställdhet i den statliga förvaltningen.</w:t>
      </w:r>
    </w:p>
    <w:p w:rsidR="000F2066" w:rsidRPr="006960FF" w:rsidRDefault="0065435A" w:rsidP="000F2066">
      <w:pPr>
        <w:pStyle w:val="Rubrik1"/>
      </w:pPr>
      <w:r w:rsidRPr="006960FF">
        <w:t>Slopa delpensionen</w:t>
      </w:r>
    </w:p>
    <w:p w:rsidR="000F2066" w:rsidRPr="006960FF" w:rsidRDefault="000F2066" w:rsidP="000F2066">
      <w:r w:rsidRPr="006960FF">
        <w:t>Riksdagen har tidigare beslutat att från och med 2001 avskaffa subvention</w:t>
      </w:r>
      <w:r w:rsidRPr="006960FF">
        <w:t>e</w:t>
      </w:r>
      <w:r w:rsidRPr="006960FF">
        <w:t>rad delpension i det allmänna pensionssystemet. Trots detta har Arbetsgiva</w:t>
      </w:r>
      <w:r w:rsidRPr="006960FF">
        <w:t>r</w:t>
      </w:r>
      <w:r w:rsidRPr="006960FF">
        <w:t>verket slutit ett delpensionsavtal för statligt anställda. Under 2003 och 2004 beviljades sammanlagt 3 764 personer i statsförvaltningen delpension. Det motsvarar cirka</w:t>
      </w:r>
      <w:r w:rsidR="0065435A" w:rsidRPr="006960FF">
        <w:t xml:space="preserve"> 20 % av åldersgruppen 61–</w:t>
      </w:r>
      <w:r w:rsidRPr="006960FF">
        <w:t>64 år. Mer än hälften av delpe</w:t>
      </w:r>
      <w:r w:rsidRPr="006960FF">
        <w:t>n</w:t>
      </w:r>
      <w:r w:rsidRPr="006960FF">
        <w:t>sionärerna beviljades förmånen från 61 års ålder.</w:t>
      </w:r>
    </w:p>
    <w:p w:rsidR="000F2066" w:rsidRPr="006960FF" w:rsidRDefault="000F2066" w:rsidP="000F2066">
      <w:pPr>
        <w:pStyle w:val="Normaltindrag"/>
      </w:pPr>
      <w:r w:rsidRPr="006960FF">
        <w:t>Syftet med delpensionsavtalet sägs vara att möjliggöra för äldre att arbeta till ordinarie pensionsålder. Det är troligt att effekten i stället blir att de fö</w:t>
      </w:r>
      <w:r w:rsidRPr="006960FF">
        <w:t>r</w:t>
      </w:r>
      <w:r w:rsidRPr="006960FF">
        <w:t>månliga villkoren lockar till minskad arbetstid. Avtalet kan ha en sammant</w:t>
      </w:r>
      <w:r w:rsidRPr="006960FF">
        <w:t>a</w:t>
      </w:r>
      <w:r w:rsidRPr="006960FF">
        <w:t xml:space="preserve">get negativ inverkan på arbetsutbudet. Vidare vill vi påpeka att i den statliga sektorn finns fortfarande liknande slag av tjänstepensionsvillkor för inkomster </w:t>
      </w:r>
      <w:r w:rsidR="0065435A" w:rsidRPr="006960FF">
        <w:t>”</w:t>
      </w:r>
      <w:r w:rsidRPr="006960FF">
        <w:t>över taket</w:t>
      </w:r>
      <w:r w:rsidR="0065435A" w:rsidRPr="006960FF">
        <w:t>”</w:t>
      </w:r>
      <w:r w:rsidRPr="006960FF">
        <w:t xml:space="preserve"> som i den privata sektorns ITP-plan. Detta gör det mycket dyrt att anställa den som är äldre, samtidigt som tidig pensionsavgång i vissa situ</w:t>
      </w:r>
      <w:r w:rsidRPr="006960FF">
        <w:t>a</w:t>
      </w:r>
      <w:r w:rsidRPr="006960FF">
        <w:t>tioner kan stimuleras. Vi ser allvarligt på att statens egen arbetsgivarmyndi</w:t>
      </w:r>
      <w:r w:rsidRPr="006960FF">
        <w:t>g</w:t>
      </w:r>
      <w:r w:rsidRPr="006960FF">
        <w:t>het verkat i rakt motsatt riktning mot vad riksdagen har angivit med pension</w:t>
      </w:r>
      <w:r w:rsidRPr="006960FF">
        <w:t>s</w:t>
      </w:r>
      <w:r w:rsidRPr="006960FF">
        <w:t>reformen, inklusive beslutet om avskaffande av den starkt subventionerade delpensionen.</w:t>
      </w:r>
    </w:p>
    <w:p w:rsidR="000F2066" w:rsidRPr="006960FF" w:rsidRDefault="000F2066" w:rsidP="000F2066">
      <w:pPr>
        <w:pStyle w:val="Normaltindrag"/>
      </w:pPr>
      <w:r w:rsidRPr="006960FF">
        <w:t>Dessutom har Arbetsgivarverket slutit avtal som enligt vår mening ökar och inte minskar hindren för äldre arbetskraft. Vi anser att staten som arbet</w:t>
      </w:r>
      <w:r w:rsidRPr="006960FF">
        <w:t>s</w:t>
      </w:r>
      <w:r w:rsidRPr="006960FF">
        <w:t>givare i fortsättningen måste uppträda i linje med den övergripande ekon</w:t>
      </w:r>
      <w:r w:rsidRPr="006960FF">
        <w:t>o</w:t>
      </w:r>
      <w:r w:rsidRPr="006960FF">
        <w:t>miska politiken och riksdagens beslut om arbetsmarknad och välfärdssystem. Att myndigheter som sluter avtal uppträder tvärtemot kan inte accepteras. De avtal som inte fyller ovannämnda krav måste därför omförhandlas. Riksdagen bör tillkännage för regeringen som sin mening vad vi här framfört om omfö</w:t>
      </w:r>
      <w:r w:rsidRPr="006960FF">
        <w:t>r</w:t>
      </w:r>
      <w:r w:rsidRPr="006960FF">
        <w:t>handling av det nya tjänstepensionsavtalet inom statlig sektor.</w:t>
      </w:r>
    </w:p>
    <w:p w:rsidR="000F2066" w:rsidRPr="006960FF" w:rsidRDefault="000F2066" w:rsidP="000F2066">
      <w:pPr>
        <w:pStyle w:val="Rubrik1"/>
      </w:pPr>
      <w:r w:rsidRPr="006960FF">
        <w:t>Finansmarknaden</w:t>
      </w:r>
    </w:p>
    <w:p w:rsidR="000F2066" w:rsidRPr="006960FF" w:rsidRDefault="000F2066" w:rsidP="000F2066">
      <w:r w:rsidRPr="006960FF">
        <w:t>Finansmarknaden g</w:t>
      </w:r>
      <w:r w:rsidR="0065435A" w:rsidRPr="006960FF">
        <w:t>enomgår en ständig förändring. Den f</w:t>
      </w:r>
      <w:r w:rsidRPr="006960FF">
        <w:t>ortsatta avreglerin</w:t>
      </w:r>
      <w:r w:rsidRPr="006960FF">
        <w:t>g</w:t>
      </w:r>
      <w:r w:rsidRPr="006960FF">
        <w:t>en av den svenska marknaden är i grunden positiv. Nu drivs liberaliseringen till största delen av ambitionen att skapa en gemensam finansmarknad i EU. Avvägningen mellan konsumentens säkerhet och marknadens dynamik kan ibland vara svår i denna process, men för Sveriges såväl som Europas skull är det viktigt att denna avreglering och integration fortgår.</w:t>
      </w:r>
    </w:p>
    <w:p w:rsidR="000F2066" w:rsidRPr="006960FF" w:rsidRDefault="000F2066" w:rsidP="000F2066">
      <w:pPr>
        <w:pStyle w:val="Normaltindrag"/>
      </w:pPr>
      <w:r w:rsidRPr="006960FF">
        <w:t>På vägen mot en europeisk finansmarknad med gemensamma regler ser vi hur den nordiska finansmarknaden blir alltmer gemensam. Denna utveckling är välkommen men den ställer också en del nya krav på den svenska finan</w:t>
      </w:r>
      <w:r w:rsidRPr="006960FF">
        <w:t>s</w:t>
      </w:r>
      <w:r w:rsidRPr="006960FF">
        <w:t>marknadspolitiken. Folkpartiet menar att man vid genomförande av EU:s direktiv på finansmarknadsområdet så långt möjligt bör samordna impleme</w:t>
      </w:r>
      <w:r w:rsidRPr="006960FF">
        <w:t>n</w:t>
      </w:r>
      <w:r w:rsidRPr="006960FF">
        <w:t>teringen mellan de nordiska länderna. Regeringen bör ta initiativ till samtal mellan de nordiska regeringarna och ansvariga myndigheter. Detta bör rik</w:t>
      </w:r>
      <w:r w:rsidRPr="006960FF">
        <w:t>s</w:t>
      </w:r>
      <w:r w:rsidRPr="006960FF">
        <w:t>dagen ge regeringen till</w:t>
      </w:r>
      <w:r w:rsidR="0065435A" w:rsidRPr="006960FF">
        <w:t xml:space="preserve"> </w:t>
      </w:r>
      <w:r w:rsidRPr="006960FF">
        <w:t>känna.</w:t>
      </w:r>
    </w:p>
    <w:p w:rsidR="000F2066" w:rsidRPr="006960FF" w:rsidRDefault="000F2066" w:rsidP="000F2066">
      <w:pPr>
        <w:pStyle w:val="Normaltindrag"/>
      </w:pPr>
      <w:r w:rsidRPr="006960FF">
        <w:t>Finansmarknaden och bankerna har visat sig klara den senaste lågkonjun</w:t>
      </w:r>
      <w:r w:rsidRPr="006960FF">
        <w:t>k</w:t>
      </w:r>
      <w:r w:rsidRPr="006960FF">
        <w:t>turen mycket väl. Det är ett viktigt styrkebesked.</w:t>
      </w:r>
    </w:p>
    <w:p w:rsidR="000F2066" w:rsidRPr="006960FF" w:rsidRDefault="000F2066" w:rsidP="000F2066">
      <w:pPr>
        <w:pStyle w:val="Normaltindrag"/>
      </w:pPr>
      <w:r w:rsidRPr="006960FF">
        <w:t>Det finns emellertid anledning att fortsätta att hålla ögonen på utvecklin</w:t>
      </w:r>
      <w:r w:rsidRPr="006960FF">
        <w:t>g</w:t>
      </w:r>
      <w:r w:rsidRPr="006960FF">
        <w:t>en på finansmarknaden. I takt med att finansmarknaden blir alltmer komplex är det viktigt att ständigt se över Finansinspektionens resurser och sanktion</w:t>
      </w:r>
      <w:r w:rsidRPr="006960FF">
        <w:t>s</w:t>
      </w:r>
      <w:r w:rsidRPr="006960FF">
        <w:t>möjligheter. De närmaste åren kommer det att krävas beslut både om mer resurser och om mer muskler till Finansinspektionen.</w:t>
      </w:r>
    </w:p>
    <w:p w:rsidR="00D50FF8" w:rsidRPr="006960FF" w:rsidRDefault="000F2066" w:rsidP="003C662E">
      <w:pPr>
        <w:pStyle w:val="Normaltindrag"/>
        <w:tabs>
          <w:tab w:val="left" w:pos="5953"/>
        </w:tabs>
      </w:pPr>
      <w:r w:rsidRPr="006960FF">
        <w:t>Under andra kvartalet 2005 ökade hushållens skulder med ungefär 52 mi</w:t>
      </w:r>
      <w:r w:rsidRPr="006960FF">
        <w:t>l</w:t>
      </w:r>
      <w:r w:rsidRPr="006960FF">
        <w:t>jarder kronor. Det är en mycket hög ökningstakt och skuldernas totala värde är nu uppe över 1 703 miljarder kronor. Största delen, över 1</w:t>
      </w:r>
      <w:r w:rsidR="0065435A" w:rsidRPr="006960FF">
        <w:t> </w:t>
      </w:r>
      <w:r w:rsidRPr="006960FF">
        <w:t>000 miljarder kr</w:t>
      </w:r>
      <w:r w:rsidRPr="006960FF">
        <w:t>o</w:t>
      </w:r>
      <w:r w:rsidRPr="006960FF">
        <w:t>nor, av skulderna är till bostadsinstitut. Även om det inte är ett systemhot ställer till exempel hushållens höga belåning en del frågor inför en väntad ränteuppgång.</w:t>
      </w:r>
    </w:p>
    <w:tbl>
      <w:tblPr>
        <w:tblStyle w:val="Tabellrutnt"/>
        <w:tblW w:w="7043"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1"/>
        <w:gridCol w:w="911"/>
        <w:gridCol w:w="944"/>
        <w:gridCol w:w="967"/>
        <w:gridCol w:w="943"/>
        <w:gridCol w:w="952"/>
        <w:gridCol w:w="965"/>
      </w:tblGrid>
      <w:tr w:rsidR="00BD4638" w:rsidRPr="006960FF">
        <w:tc>
          <w:tcPr>
            <w:tcW w:w="1367"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br w:type="page"/>
              <w:t>A</w:t>
            </w:r>
            <w:r w:rsidRPr="006960FF">
              <w:rPr>
                <w:b/>
                <w:sz w:val="15"/>
                <w:szCs w:val="15"/>
              </w:rPr>
              <w:t>n</w:t>
            </w:r>
            <w:r w:rsidRPr="006960FF">
              <w:rPr>
                <w:b/>
                <w:sz w:val="15"/>
                <w:szCs w:val="15"/>
              </w:rPr>
              <w:t>slag</w:t>
            </w:r>
          </w:p>
        </w:tc>
        <w:tc>
          <w:tcPr>
            <w:tcW w:w="912"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left="-49" w:firstLine="0"/>
              <w:jc w:val="left"/>
              <w:rPr>
                <w:b/>
                <w:sz w:val="15"/>
                <w:szCs w:val="15"/>
              </w:rPr>
            </w:pPr>
            <w:r w:rsidRPr="006960FF">
              <w:rPr>
                <w:b/>
                <w:sz w:val="15"/>
                <w:szCs w:val="15"/>
              </w:rPr>
              <w:t>Regerin</w:t>
            </w:r>
            <w:r w:rsidRPr="006960FF">
              <w:rPr>
                <w:b/>
                <w:sz w:val="15"/>
                <w:szCs w:val="15"/>
              </w:rPr>
              <w:t>g</w:t>
            </w:r>
            <w:r w:rsidRPr="006960FF">
              <w:rPr>
                <w:b/>
                <w:sz w:val="15"/>
                <w:szCs w:val="15"/>
              </w:rPr>
              <w:t>en 2006</w:t>
            </w:r>
          </w:p>
        </w:tc>
        <w:tc>
          <w:tcPr>
            <w:tcW w:w="947"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t>Folkpart</w:t>
            </w:r>
            <w:r w:rsidRPr="006960FF">
              <w:rPr>
                <w:b/>
                <w:sz w:val="15"/>
                <w:szCs w:val="15"/>
              </w:rPr>
              <w:t>i</w:t>
            </w:r>
            <w:r w:rsidRPr="006960FF">
              <w:rPr>
                <w:b/>
                <w:sz w:val="15"/>
                <w:szCs w:val="15"/>
              </w:rPr>
              <w:t>et 2006</w:t>
            </w:r>
          </w:p>
        </w:tc>
        <w:tc>
          <w:tcPr>
            <w:tcW w:w="970"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t>Regerin</w:t>
            </w:r>
            <w:r w:rsidRPr="006960FF">
              <w:rPr>
                <w:b/>
                <w:sz w:val="15"/>
                <w:szCs w:val="15"/>
              </w:rPr>
              <w:t>g</w:t>
            </w:r>
            <w:r w:rsidRPr="006960FF">
              <w:rPr>
                <w:b/>
                <w:sz w:val="15"/>
                <w:szCs w:val="15"/>
              </w:rPr>
              <w:t>en 2007</w:t>
            </w:r>
          </w:p>
        </w:tc>
        <w:tc>
          <w:tcPr>
            <w:tcW w:w="946"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t>Folkpart</w:t>
            </w:r>
            <w:r w:rsidRPr="006960FF">
              <w:rPr>
                <w:b/>
                <w:sz w:val="15"/>
                <w:szCs w:val="15"/>
              </w:rPr>
              <w:t>i</w:t>
            </w:r>
            <w:r w:rsidRPr="006960FF">
              <w:rPr>
                <w:b/>
                <w:sz w:val="15"/>
                <w:szCs w:val="15"/>
              </w:rPr>
              <w:t>et 2007</w:t>
            </w:r>
          </w:p>
        </w:tc>
        <w:tc>
          <w:tcPr>
            <w:tcW w:w="955"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t>Regerin</w:t>
            </w:r>
            <w:r w:rsidRPr="006960FF">
              <w:rPr>
                <w:b/>
                <w:sz w:val="15"/>
                <w:szCs w:val="15"/>
              </w:rPr>
              <w:t>g</w:t>
            </w:r>
            <w:r w:rsidRPr="006960FF">
              <w:rPr>
                <w:b/>
                <w:sz w:val="15"/>
                <w:szCs w:val="15"/>
              </w:rPr>
              <w:t>en 2008</w:t>
            </w:r>
          </w:p>
        </w:tc>
        <w:tc>
          <w:tcPr>
            <w:tcW w:w="969" w:type="dxa"/>
            <w:tcBorders>
              <w:top w:val="single" w:sz="4" w:space="0" w:color="auto"/>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t>Folkpart</w:t>
            </w:r>
            <w:r w:rsidRPr="006960FF">
              <w:rPr>
                <w:b/>
                <w:sz w:val="15"/>
                <w:szCs w:val="15"/>
              </w:rPr>
              <w:t>i</w:t>
            </w:r>
            <w:r w:rsidRPr="006960FF">
              <w:rPr>
                <w:b/>
                <w:sz w:val="15"/>
                <w:szCs w:val="15"/>
              </w:rPr>
              <w:t>et 2008</w:t>
            </w:r>
          </w:p>
        </w:tc>
      </w:tr>
      <w:tr w:rsidR="00BD4638" w:rsidRPr="006960FF">
        <w:tc>
          <w:tcPr>
            <w:tcW w:w="1367" w:type="dxa"/>
            <w:tcBorders>
              <w:top w:val="single" w:sz="4" w:space="0" w:color="auto"/>
            </w:tcBorders>
            <w:vAlign w:val="bottom"/>
          </w:tcPr>
          <w:p w:rsidR="00D50FF8" w:rsidRPr="006960FF" w:rsidRDefault="00D50FF8" w:rsidP="009A3539">
            <w:pPr>
              <w:pStyle w:val="Normaltindrag"/>
              <w:keepNext/>
              <w:spacing w:before="60" w:line="160" w:lineRule="exact"/>
              <w:ind w:firstLine="0"/>
              <w:jc w:val="left"/>
              <w:rPr>
                <w:sz w:val="15"/>
                <w:szCs w:val="15"/>
              </w:rPr>
            </w:pPr>
            <w:r w:rsidRPr="006960FF">
              <w:rPr>
                <w:sz w:val="15"/>
                <w:szCs w:val="15"/>
              </w:rPr>
              <w:t>90:2 Försök med trängselskatt i Stoc</w:t>
            </w:r>
            <w:r w:rsidRPr="006960FF">
              <w:rPr>
                <w:sz w:val="15"/>
                <w:szCs w:val="15"/>
              </w:rPr>
              <w:t>k</w:t>
            </w:r>
            <w:r w:rsidRPr="006960FF">
              <w:rPr>
                <w:sz w:val="15"/>
                <w:szCs w:val="15"/>
              </w:rPr>
              <w:t>holm</w:t>
            </w:r>
          </w:p>
        </w:tc>
        <w:tc>
          <w:tcPr>
            <w:tcW w:w="912" w:type="dxa"/>
            <w:tcBorders>
              <w:top w:val="single" w:sz="4" w:space="0" w:color="auto"/>
            </w:tcBorders>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1 358</w:t>
            </w:r>
          </w:p>
        </w:tc>
        <w:tc>
          <w:tcPr>
            <w:tcW w:w="947" w:type="dxa"/>
            <w:tcBorders>
              <w:top w:val="single" w:sz="4" w:space="0" w:color="auto"/>
            </w:tcBorders>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–500</w:t>
            </w:r>
          </w:p>
        </w:tc>
        <w:tc>
          <w:tcPr>
            <w:tcW w:w="970" w:type="dxa"/>
            <w:tcBorders>
              <w:top w:val="single" w:sz="4" w:space="0" w:color="auto"/>
            </w:tcBorders>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930</w:t>
            </w:r>
          </w:p>
        </w:tc>
        <w:tc>
          <w:tcPr>
            <w:tcW w:w="946" w:type="dxa"/>
            <w:tcBorders>
              <w:top w:val="single" w:sz="4" w:space="0" w:color="auto"/>
            </w:tcBorders>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–500</w:t>
            </w:r>
          </w:p>
        </w:tc>
        <w:tc>
          <w:tcPr>
            <w:tcW w:w="955" w:type="dxa"/>
            <w:tcBorders>
              <w:top w:val="single" w:sz="4" w:space="0" w:color="auto"/>
            </w:tcBorders>
            <w:vAlign w:val="bottom"/>
          </w:tcPr>
          <w:p w:rsidR="00D50FF8" w:rsidRPr="006960FF" w:rsidRDefault="00D50FF8" w:rsidP="003C662E">
            <w:pPr>
              <w:pStyle w:val="Normaltindrag"/>
              <w:keepNext/>
              <w:spacing w:before="60" w:line="160" w:lineRule="exact"/>
              <w:ind w:right="227" w:firstLine="0"/>
              <w:jc w:val="right"/>
              <w:rPr>
                <w:sz w:val="15"/>
                <w:szCs w:val="15"/>
              </w:rPr>
            </w:pPr>
          </w:p>
        </w:tc>
        <w:tc>
          <w:tcPr>
            <w:tcW w:w="969" w:type="dxa"/>
            <w:tcBorders>
              <w:top w:val="single" w:sz="4" w:space="0" w:color="auto"/>
            </w:tcBorders>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0</w:t>
            </w:r>
          </w:p>
        </w:tc>
      </w:tr>
      <w:tr w:rsidR="00BD4638" w:rsidRPr="006960FF">
        <w:tc>
          <w:tcPr>
            <w:tcW w:w="1367" w:type="dxa"/>
            <w:vAlign w:val="bottom"/>
          </w:tcPr>
          <w:p w:rsidR="00D50FF8" w:rsidRPr="006960FF" w:rsidRDefault="00D50FF8" w:rsidP="003C662E">
            <w:pPr>
              <w:pStyle w:val="Normaltindrag"/>
              <w:keepNext/>
              <w:spacing w:before="60" w:line="160" w:lineRule="exact"/>
              <w:ind w:firstLine="0"/>
              <w:jc w:val="left"/>
              <w:rPr>
                <w:sz w:val="15"/>
                <w:szCs w:val="15"/>
              </w:rPr>
            </w:pPr>
            <w:r w:rsidRPr="006960FF">
              <w:rPr>
                <w:sz w:val="15"/>
                <w:szCs w:val="15"/>
              </w:rPr>
              <w:t xml:space="preserve">1:8 Nya </w:t>
            </w:r>
            <w:r w:rsidR="00BD4638" w:rsidRPr="006960FF">
              <w:rPr>
                <w:sz w:val="15"/>
                <w:szCs w:val="15"/>
              </w:rPr>
              <w:t>F</w:t>
            </w:r>
            <w:r w:rsidRPr="006960FF">
              <w:rPr>
                <w:sz w:val="15"/>
                <w:szCs w:val="15"/>
              </w:rPr>
              <w:t>örval</w:t>
            </w:r>
            <w:r w:rsidRPr="006960FF">
              <w:rPr>
                <w:sz w:val="15"/>
                <w:szCs w:val="15"/>
              </w:rPr>
              <w:t>t</w:t>
            </w:r>
            <w:r w:rsidRPr="006960FF">
              <w:rPr>
                <w:sz w:val="15"/>
                <w:szCs w:val="15"/>
              </w:rPr>
              <w:t>ningspolitiska myndi</w:t>
            </w:r>
            <w:r w:rsidRPr="006960FF">
              <w:rPr>
                <w:sz w:val="15"/>
                <w:szCs w:val="15"/>
              </w:rPr>
              <w:t>g</w:t>
            </w:r>
            <w:r w:rsidRPr="006960FF">
              <w:rPr>
                <w:sz w:val="15"/>
                <w:szCs w:val="15"/>
              </w:rPr>
              <w:t xml:space="preserve">heten </w:t>
            </w:r>
          </w:p>
        </w:tc>
        <w:tc>
          <w:tcPr>
            <w:tcW w:w="912"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49,5</w:t>
            </w:r>
          </w:p>
        </w:tc>
        <w:tc>
          <w:tcPr>
            <w:tcW w:w="947"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–47</w:t>
            </w:r>
          </w:p>
        </w:tc>
        <w:tc>
          <w:tcPr>
            <w:tcW w:w="970"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–50</w:t>
            </w:r>
          </w:p>
        </w:tc>
        <w:tc>
          <w:tcPr>
            <w:tcW w:w="946"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–50</w:t>
            </w:r>
          </w:p>
        </w:tc>
        <w:tc>
          <w:tcPr>
            <w:tcW w:w="955"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–51</w:t>
            </w:r>
          </w:p>
        </w:tc>
        <w:tc>
          <w:tcPr>
            <w:tcW w:w="969"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–51</w:t>
            </w:r>
          </w:p>
        </w:tc>
      </w:tr>
      <w:tr w:rsidR="00BD4638" w:rsidRPr="006960FF">
        <w:tc>
          <w:tcPr>
            <w:tcW w:w="1367" w:type="dxa"/>
            <w:vAlign w:val="bottom"/>
          </w:tcPr>
          <w:p w:rsidR="00D50FF8" w:rsidRPr="006960FF" w:rsidRDefault="00D50FF8" w:rsidP="009A3539">
            <w:pPr>
              <w:pStyle w:val="Normaltindrag"/>
              <w:keepNext/>
              <w:spacing w:before="60" w:line="160" w:lineRule="exact"/>
              <w:ind w:firstLine="0"/>
              <w:jc w:val="left"/>
              <w:rPr>
                <w:sz w:val="15"/>
                <w:szCs w:val="15"/>
              </w:rPr>
            </w:pPr>
            <w:r w:rsidRPr="006960FF">
              <w:rPr>
                <w:sz w:val="15"/>
                <w:szCs w:val="15"/>
              </w:rPr>
              <w:t>1:12 Statliga ko</w:t>
            </w:r>
            <w:r w:rsidRPr="006960FF">
              <w:rPr>
                <w:sz w:val="15"/>
                <w:szCs w:val="15"/>
              </w:rPr>
              <w:t>m</w:t>
            </w:r>
            <w:r w:rsidRPr="006960FF">
              <w:rPr>
                <w:sz w:val="15"/>
                <w:szCs w:val="15"/>
              </w:rPr>
              <w:t>petensöver</w:t>
            </w:r>
            <w:r w:rsidR="00BD4638" w:rsidRPr="006960FF">
              <w:rPr>
                <w:sz w:val="15"/>
                <w:szCs w:val="15"/>
              </w:rPr>
              <w:softHyphen/>
            </w:r>
            <w:r w:rsidRPr="006960FF">
              <w:rPr>
                <w:sz w:val="15"/>
                <w:szCs w:val="15"/>
              </w:rPr>
              <w:t>föring</w:t>
            </w:r>
            <w:r w:rsidRPr="006960FF">
              <w:rPr>
                <w:sz w:val="15"/>
                <w:szCs w:val="15"/>
              </w:rPr>
              <w:t>s</w:t>
            </w:r>
            <w:r w:rsidRPr="006960FF">
              <w:rPr>
                <w:sz w:val="15"/>
                <w:szCs w:val="15"/>
              </w:rPr>
              <w:t>jobb</w:t>
            </w:r>
          </w:p>
        </w:tc>
        <w:tc>
          <w:tcPr>
            <w:tcW w:w="912"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360</w:t>
            </w:r>
          </w:p>
        </w:tc>
        <w:tc>
          <w:tcPr>
            <w:tcW w:w="947" w:type="dxa"/>
            <w:vAlign w:val="bottom"/>
          </w:tcPr>
          <w:p w:rsidR="00D50FF8" w:rsidRPr="006960FF" w:rsidRDefault="00B156E4" w:rsidP="003C662E">
            <w:pPr>
              <w:pStyle w:val="Normaltindrag"/>
              <w:keepNext/>
              <w:spacing w:before="60" w:line="160" w:lineRule="exact"/>
              <w:ind w:right="227" w:firstLine="0"/>
              <w:jc w:val="right"/>
              <w:rPr>
                <w:sz w:val="15"/>
                <w:szCs w:val="15"/>
              </w:rPr>
            </w:pPr>
            <w:r w:rsidRPr="006960FF">
              <w:rPr>
                <w:sz w:val="15"/>
                <w:szCs w:val="15"/>
              </w:rPr>
              <w:t>–</w:t>
            </w:r>
            <w:r w:rsidR="00D50FF8" w:rsidRPr="006960FF">
              <w:rPr>
                <w:sz w:val="15"/>
                <w:szCs w:val="15"/>
              </w:rPr>
              <w:t>360</w:t>
            </w:r>
          </w:p>
        </w:tc>
        <w:tc>
          <w:tcPr>
            <w:tcW w:w="970"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360</w:t>
            </w:r>
          </w:p>
        </w:tc>
        <w:tc>
          <w:tcPr>
            <w:tcW w:w="946"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–360</w:t>
            </w:r>
          </w:p>
        </w:tc>
        <w:tc>
          <w:tcPr>
            <w:tcW w:w="955" w:type="dxa"/>
            <w:vAlign w:val="bottom"/>
          </w:tcPr>
          <w:p w:rsidR="00D50FF8" w:rsidRPr="006960FF" w:rsidRDefault="00D50FF8" w:rsidP="003C662E">
            <w:pPr>
              <w:pStyle w:val="Normaltindrag"/>
              <w:keepNext/>
              <w:spacing w:before="60" w:line="160" w:lineRule="exact"/>
              <w:ind w:right="227" w:firstLine="0"/>
              <w:jc w:val="right"/>
              <w:rPr>
                <w:sz w:val="15"/>
                <w:szCs w:val="15"/>
              </w:rPr>
            </w:pPr>
          </w:p>
        </w:tc>
        <w:tc>
          <w:tcPr>
            <w:tcW w:w="969" w:type="dxa"/>
            <w:vAlign w:val="bottom"/>
          </w:tcPr>
          <w:p w:rsidR="00D50FF8" w:rsidRPr="006960FF" w:rsidRDefault="00D50FF8" w:rsidP="003C662E">
            <w:pPr>
              <w:pStyle w:val="Normaltindrag"/>
              <w:keepNext/>
              <w:spacing w:before="60" w:line="160" w:lineRule="exact"/>
              <w:ind w:right="227" w:firstLine="0"/>
              <w:jc w:val="right"/>
              <w:rPr>
                <w:sz w:val="15"/>
                <w:szCs w:val="15"/>
              </w:rPr>
            </w:pPr>
            <w:r w:rsidRPr="006960FF">
              <w:rPr>
                <w:sz w:val="15"/>
                <w:szCs w:val="15"/>
              </w:rPr>
              <w:t>0</w:t>
            </w:r>
          </w:p>
        </w:tc>
      </w:tr>
      <w:tr w:rsidR="00BD4638" w:rsidRPr="006960FF">
        <w:tc>
          <w:tcPr>
            <w:tcW w:w="1367" w:type="dxa"/>
            <w:tcBorders>
              <w:bottom w:val="single" w:sz="4" w:space="0" w:color="auto"/>
            </w:tcBorders>
            <w:vAlign w:val="bottom"/>
          </w:tcPr>
          <w:p w:rsidR="00D50FF8" w:rsidRPr="006960FF" w:rsidRDefault="00D50FF8" w:rsidP="009A3539">
            <w:pPr>
              <w:pStyle w:val="Normaltindrag"/>
              <w:keepNext/>
              <w:spacing w:before="60" w:line="160" w:lineRule="exact"/>
              <w:ind w:firstLine="0"/>
              <w:jc w:val="left"/>
              <w:rPr>
                <w:b/>
                <w:sz w:val="15"/>
                <w:szCs w:val="15"/>
              </w:rPr>
            </w:pPr>
            <w:r w:rsidRPr="006960FF">
              <w:rPr>
                <w:b/>
                <w:sz w:val="15"/>
                <w:szCs w:val="15"/>
              </w:rPr>
              <w:t>Summa för</w:t>
            </w:r>
            <w:r w:rsidR="00B156E4" w:rsidRPr="006960FF">
              <w:rPr>
                <w:b/>
                <w:sz w:val="15"/>
                <w:szCs w:val="15"/>
              </w:rPr>
              <w:br/>
            </w:r>
            <w:r w:rsidRPr="006960FF">
              <w:rPr>
                <w:b/>
                <w:sz w:val="15"/>
                <w:szCs w:val="15"/>
              </w:rPr>
              <w:t>utgiftso</w:t>
            </w:r>
            <w:r w:rsidRPr="006960FF">
              <w:rPr>
                <w:b/>
                <w:sz w:val="15"/>
                <w:szCs w:val="15"/>
              </w:rPr>
              <w:t>m</w:t>
            </w:r>
            <w:r w:rsidRPr="006960FF">
              <w:rPr>
                <w:b/>
                <w:sz w:val="15"/>
                <w:szCs w:val="15"/>
              </w:rPr>
              <w:t>rådet</w:t>
            </w:r>
          </w:p>
        </w:tc>
        <w:tc>
          <w:tcPr>
            <w:tcW w:w="912" w:type="dxa"/>
            <w:tcBorders>
              <w:bottom w:val="single" w:sz="4" w:space="0" w:color="auto"/>
            </w:tcBorders>
            <w:vAlign w:val="bottom"/>
          </w:tcPr>
          <w:p w:rsidR="00D50FF8" w:rsidRPr="006960FF" w:rsidRDefault="00D50FF8" w:rsidP="003C662E">
            <w:pPr>
              <w:pStyle w:val="Normaltindrag"/>
              <w:keepNext/>
              <w:spacing w:before="60" w:line="160" w:lineRule="exact"/>
              <w:ind w:right="227" w:firstLine="0"/>
              <w:jc w:val="right"/>
              <w:rPr>
                <w:b/>
                <w:sz w:val="15"/>
                <w:szCs w:val="15"/>
              </w:rPr>
            </w:pPr>
            <w:r w:rsidRPr="006960FF">
              <w:rPr>
                <w:b/>
                <w:sz w:val="15"/>
                <w:szCs w:val="15"/>
              </w:rPr>
              <w:t>11 809</w:t>
            </w:r>
          </w:p>
        </w:tc>
        <w:tc>
          <w:tcPr>
            <w:tcW w:w="947" w:type="dxa"/>
            <w:tcBorders>
              <w:bottom w:val="single" w:sz="4" w:space="0" w:color="auto"/>
            </w:tcBorders>
            <w:vAlign w:val="bottom"/>
          </w:tcPr>
          <w:p w:rsidR="00D50FF8" w:rsidRPr="006960FF" w:rsidRDefault="00D50FF8" w:rsidP="003C662E">
            <w:pPr>
              <w:pStyle w:val="Normaltindrag"/>
              <w:keepNext/>
              <w:spacing w:before="60" w:line="160" w:lineRule="exact"/>
              <w:ind w:right="227" w:firstLine="0"/>
              <w:jc w:val="right"/>
              <w:rPr>
                <w:b/>
                <w:sz w:val="15"/>
                <w:szCs w:val="15"/>
              </w:rPr>
            </w:pPr>
            <w:r w:rsidRPr="006960FF">
              <w:rPr>
                <w:b/>
                <w:sz w:val="15"/>
                <w:szCs w:val="15"/>
              </w:rPr>
              <w:t>–907</w:t>
            </w:r>
          </w:p>
        </w:tc>
        <w:tc>
          <w:tcPr>
            <w:tcW w:w="970" w:type="dxa"/>
            <w:tcBorders>
              <w:bottom w:val="single" w:sz="4" w:space="0" w:color="auto"/>
            </w:tcBorders>
            <w:vAlign w:val="bottom"/>
          </w:tcPr>
          <w:p w:rsidR="00D50FF8" w:rsidRPr="006960FF" w:rsidRDefault="00D50FF8" w:rsidP="003C662E">
            <w:pPr>
              <w:pStyle w:val="Normaltindrag"/>
              <w:keepNext/>
              <w:spacing w:before="60" w:line="160" w:lineRule="exact"/>
              <w:ind w:right="227" w:firstLine="0"/>
              <w:jc w:val="right"/>
              <w:rPr>
                <w:b/>
                <w:sz w:val="15"/>
                <w:szCs w:val="15"/>
              </w:rPr>
            </w:pPr>
          </w:p>
        </w:tc>
        <w:tc>
          <w:tcPr>
            <w:tcW w:w="946" w:type="dxa"/>
            <w:tcBorders>
              <w:bottom w:val="single" w:sz="4" w:space="0" w:color="auto"/>
            </w:tcBorders>
            <w:vAlign w:val="bottom"/>
          </w:tcPr>
          <w:p w:rsidR="00D50FF8" w:rsidRPr="006960FF" w:rsidRDefault="00D50FF8" w:rsidP="003C662E">
            <w:pPr>
              <w:pStyle w:val="Normaltindrag"/>
              <w:keepNext/>
              <w:spacing w:before="60" w:line="160" w:lineRule="exact"/>
              <w:ind w:right="227" w:firstLine="0"/>
              <w:jc w:val="right"/>
              <w:rPr>
                <w:b/>
                <w:sz w:val="15"/>
                <w:szCs w:val="15"/>
              </w:rPr>
            </w:pPr>
            <w:r w:rsidRPr="006960FF">
              <w:rPr>
                <w:b/>
                <w:sz w:val="15"/>
                <w:szCs w:val="15"/>
              </w:rPr>
              <w:t>–910</w:t>
            </w:r>
          </w:p>
        </w:tc>
        <w:tc>
          <w:tcPr>
            <w:tcW w:w="955" w:type="dxa"/>
            <w:tcBorders>
              <w:bottom w:val="single" w:sz="4" w:space="0" w:color="auto"/>
            </w:tcBorders>
            <w:vAlign w:val="bottom"/>
          </w:tcPr>
          <w:p w:rsidR="00D50FF8" w:rsidRPr="006960FF" w:rsidRDefault="00D50FF8" w:rsidP="003C662E">
            <w:pPr>
              <w:pStyle w:val="Normaltindrag"/>
              <w:keepNext/>
              <w:spacing w:before="60" w:line="160" w:lineRule="exact"/>
              <w:ind w:right="227" w:firstLine="0"/>
              <w:jc w:val="right"/>
              <w:rPr>
                <w:b/>
                <w:sz w:val="15"/>
                <w:szCs w:val="15"/>
              </w:rPr>
            </w:pPr>
          </w:p>
        </w:tc>
        <w:tc>
          <w:tcPr>
            <w:tcW w:w="969" w:type="dxa"/>
            <w:tcBorders>
              <w:bottom w:val="single" w:sz="4" w:space="0" w:color="auto"/>
            </w:tcBorders>
            <w:vAlign w:val="bottom"/>
          </w:tcPr>
          <w:p w:rsidR="00D50FF8" w:rsidRPr="006960FF" w:rsidRDefault="00D50FF8" w:rsidP="003C662E">
            <w:pPr>
              <w:pStyle w:val="Normaltindrag"/>
              <w:keepNext/>
              <w:spacing w:before="60" w:line="160" w:lineRule="exact"/>
              <w:ind w:right="227" w:firstLine="0"/>
              <w:jc w:val="right"/>
              <w:rPr>
                <w:b/>
                <w:sz w:val="15"/>
                <w:szCs w:val="15"/>
              </w:rPr>
            </w:pPr>
            <w:r w:rsidRPr="006960FF">
              <w:rPr>
                <w:b/>
                <w:sz w:val="15"/>
                <w:szCs w:val="15"/>
              </w:rPr>
              <w:t>–51</w:t>
            </w:r>
          </w:p>
        </w:tc>
      </w:tr>
    </w:tbl>
    <w:p w:rsidR="000E65A6" w:rsidRPr="006960FF" w:rsidRDefault="000E65A6" w:rsidP="0040199A">
      <w:pPr>
        <w:pStyle w:val="Normaltindrag"/>
        <w:ind w:firstLine="0"/>
        <w:jc w:val="left"/>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435A" w:rsidRPr="006960FF">
        <w:tblPrEx>
          <w:tblCellMar>
            <w:top w:w="0" w:type="dxa"/>
            <w:bottom w:w="0" w:type="dxa"/>
          </w:tblCellMar>
        </w:tblPrEx>
        <w:trPr>
          <w:cantSplit/>
        </w:trPr>
        <w:tc>
          <w:tcPr>
            <w:tcW w:w="3046" w:type="dxa"/>
          </w:tcPr>
          <w:p w:rsidR="0065435A" w:rsidRPr="006960FF" w:rsidRDefault="0065435A" w:rsidP="009A3539">
            <w:pPr>
              <w:pStyle w:val="UnderskriftDatum"/>
              <w:spacing w:before="0"/>
            </w:pPr>
            <w:r w:rsidRPr="006960FF">
              <w:t>Stockholm den 5 oktober 2005</w:t>
            </w:r>
          </w:p>
        </w:tc>
        <w:tc>
          <w:tcPr>
            <w:tcW w:w="3047" w:type="dxa"/>
          </w:tcPr>
          <w:p w:rsidR="0065435A" w:rsidRPr="006960FF" w:rsidRDefault="0065435A" w:rsidP="009A3539">
            <w:pPr>
              <w:pStyle w:val="Underskrifter"/>
            </w:pPr>
          </w:p>
        </w:tc>
      </w:tr>
      <w:tr w:rsidR="0065435A" w:rsidRPr="006960FF">
        <w:tblPrEx>
          <w:tblCellMar>
            <w:top w:w="0" w:type="dxa"/>
            <w:bottom w:w="0" w:type="dxa"/>
          </w:tblCellMar>
        </w:tblPrEx>
        <w:trPr>
          <w:cantSplit/>
        </w:trPr>
        <w:tc>
          <w:tcPr>
            <w:tcW w:w="3046" w:type="dxa"/>
          </w:tcPr>
          <w:p w:rsidR="0065435A" w:rsidRPr="006960FF" w:rsidRDefault="0065435A" w:rsidP="009A3539">
            <w:pPr>
              <w:pStyle w:val="Underskrifter"/>
            </w:pPr>
            <w:r w:rsidRPr="006960FF">
              <w:t>Karin Pilsäter (fp)</w:t>
            </w:r>
          </w:p>
        </w:tc>
        <w:tc>
          <w:tcPr>
            <w:tcW w:w="3047" w:type="dxa"/>
          </w:tcPr>
          <w:p w:rsidR="0065435A" w:rsidRPr="006960FF" w:rsidRDefault="0065435A" w:rsidP="009A3539">
            <w:pPr>
              <w:pStyle w:val="Underskrifter"/>
            </w:pPr>
          </w:p>
        </w:tc>
      </w:tr>
      <w:tr w:rsidR="0065435A" w:rsidRPr="006960FF">
        <w:tblPrEx>
          <w:tblCellMar>
            <w:top w:w="0" w:type="dxa"/>
            <w:bottom w:w="0" w:type="dxa"/>
          </w:tblCellMar>
        </w:tblPrEx>
        <w:trPr>
          <w:cantSplit/>
        </w:trPr>
        <w:tc>
          <w:tcPr>
            <w:tcW w:w="3046" w:type="dxa"/>
          </w:tcPr>
          <w:p w:rsidR="0065435A" w:rsidRPr="006960FF" w:rsidRDefault="0065435A" w:rsidP="009A3539">
            <w:pPr>
              <w:pStyle w:val="Underskrifter"/>
            </w:pPr>
            <w:r w:rsidRPr="006960FF">
              <w:t>Christer Nylander (fp)</w:t>
            </w:r>
          </w:p>
        </w:tc>
        <w:tc>
          <w:tcPr>
            <w:tcW w:w="3047" w:type="dxa"/>
          </w:tcPr>
          <w:p w:rsidR="0065435A" w:rsidRPr="006960FF" w:rsidRDefault="0065435A" w:rsidP="009A3539">
            <w:pPr>
              <w:pStyle w:val="Underskrifter"/>
            </w:pPr>
            <w:r w:rsidRPr="006960FF">
              <w:t>Gunnar Nordmark (fp)</w:t>
            </w:r>
          </w:p>
        </w:tc>
      </w:tr>
      <w:tr w:rsidR="0065435A" w:rsidRPr="006960FF">
        <w:tblPrEx>
          <w:tblCellMar>
            <w:top w:w="0" w:type="dxa"/>
            <w:bottom w:w="0" w:type="dxa"/>
          </w:tblCellMar>
        </w:tblPrEx>
        <w:trPr>
          <w:cantSplit/>
        </w:trPr>
        <w:tc>
          <w:tcPr>
            <w:tcW w:w="3046" w:type="dxa"/>
          </w:tcPr>
          <w:p w:rsidR="0065435A" w:rsidRPr="006960FF" w:rsidRDefault="0065435A" w:rsidP="009A3539">
            <w:pPr>
              <w:pStyle w:val="Underskrifter"/>
            </w:pPr>
            <w:r w:rsidRPr="006960FF">
              <w:t>Bo Könberg (fp)</w:t>
            </w:r>
          </w:p>
        </w:tc>
        <w:tc>
          <w:tcPr>
            <w:tcW w:w="3047" w:type="dxa"/>
          </w:tcPr>
          <w:p w:rsidR="0065435A" w:rsidRPr="006960FF" w:rsidRDefault="0065435A" w:rsidP="009A3539">
            <w:pPr>
              <w:pStyle w:val="Underskrifter"/>
            </w:pPr>
            <w:r w:rsidRPr="006960FF">
              <w:t>Marita Aronson (fp)</w:t>
            </w:r>
          </w:p>
        </w:tc>
      </w:tr>
      <w:tr w:rsidR="0065435A" w:rsidRPr="006960FF">
        <w:tblPrEx>
          <w:tblCellMar>
            <w:top w:w="0" w:type="dxa"/>
            <w:bottom w:w="0" w:type="dxa"/>
          </w:tblCellMar>
        </w:tblPrEx>
        <w:trPr>
          <w:cantSplit/>
        </w:trPr>
        <w:tc>
          <w:tcPr>
            <w:tcW w:w="3046" w:type="dxa"/>
          </w:tcPr>
          <w:p w:rsidR="0065435A" w:rsidRPr="006960FF" w:rsidRDefault="0065435A" w:rsidP="009A3539">
            <w:pPr>
              <w:pStyle w:val="Underskrifter"/>
            </w:pPr>
            <w:r w:rsidRPr="006960FF">
              <w:t>Lars Leijonborg (fp)</w:t>
            </w:r>
          </w:p>
        </w:tc>
        <w:tc>
          <w:tcPr>
            <w:tcW w:w="3047" w:type="dxa"/>
          </w:tcPr>
          <w:p w:rsidR="0065435A" w:rsidRPr="006960FF" w:rsidRDefault="0065435A" w:rsidP="009A3539">
            <w:pPr>
              <w:pStyle w:val="Underskrifter"/>
            </w:pPr>
          </w:p>
        </w:tc>
      </w:tr>
    </w:tbl>
    <w:p w:rsidR="000F2066" w:rsidRPr="006960FF" w:rsidRDefault="000F2066" w:rsidP="0065435A">
      <w:pPr>
        <w:pStyle w:val="Normaltindrag"/>
      </w:pPr>
    </w:p>
    <w:sectPr w:rsidR="000F2066" w:rsidRPr="006960FF" w:rsidSect="006543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719" w:rsidRPr="006960FF" w:rsidRDefault="008C5719">
      <w:r w:rsidRPr="006960FF">
        <w:separator/>
      </w:r>
    </w:p>
  </w:endnote>
  <w:endnote w:type="continuationSeparator" w:id="0">
    <w:p w:rsidR="008C5719" w:rsidRPr="006960FF" w:rsidRDefault="008C5719">
      <w:r w:rsidRPr="00696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2E" w:rsidRPr="006960FF" w:rsidRDefault="006960FF" w:rsidP="0065435A">
    <w:pPr>
      <w:pStyle w:val="Sidfot"/>
    </w:pPr>
    <w:r w:rsidRPr="00696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45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2E" w:rsidRDefault="003C662E">
                          <w:pPr>
                            <w:pStyle w:val="NormalS5sidnrV"/>
                          </w:pPr>
                          <w:r>
                            <w:fldChar w:fldCharType="begin"/>
                          </w:r>
                          <w:r>
                            <w:instrText xml:space="preserve"> PAGE *\charformat</w:instrText>
                          </w:r>
                          <w:r>
                            <w:fldChar w:fldCharType="separate"/>
                          </w:r>
                          <w:r w:rsidR="00AE43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62E" w:rsidRDefault="003C662E">
                    <w:pPr>
                      <w:pStyle w:val="NormalS5sidnrV"/>
                    </w:pPr>
                    <w:r>
                      <w:fldChar w:fldCharType="begin"/>
                    </w:r>
                    <w:r>
                      <w:instrText xml:space="preserve"> PAGE *\charformat</w:instrText>
                    </w:r>
                    <w:r>
                      <w:fldChar w:fldCharType="separate"/>
                    </w:r>
                    <w:r w:rsidR="00AE43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2E" w:rsidRPr="006960FF" w:rsidRDefault="006960FF" w:rsidP="0065435A">
    <w:pPr>
      <w:pStyle w:val="Sidfot"/>
    </w:pPr>
    <w:r w:rsidRPr="00696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648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2E" w:rsidRDefault="003C662E">
                          <w:pPr>
                            <w:pStyle w:val="NormalS5sidnrH"/>
                            <w:ind w:right="0"/>
                          </w:pPr>
                          <w:r>
                            <w:fldChar w:fldCharType="begin"/>
                          </w:r>
                          <w:r>
                            <w:instrText xml:space="preserve"> PAGE *\charformat</w:instrText>
                          </w:r>
                          <w:r>
                            <w:fldChar w:fldCharType="separate"/>
                          </w:r>
                          <w:r w:rsidR="00AE435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62E" w:rsidRDefault="003C662E">
                    <w:pPr>
                      <w:pStyle w:val="NormalS5sidnrH"/>
                      <w:ind w:right="0"/>
                    </w:pPr>
                    <w:r>
                      <w:fldChar w:fldCharType="begin"/>
                    </w:r>
                    <w:r>
                      <w:instrText xml:space="preserve"> PAGE *\charformat</w:instrText>
                    </w:r>
                    <w:r>
                      <w:fldChar w:fldCharType="separate"/>
                    </w:r>
                    <w:r w:rsidR="00AE435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2E" w:rsidRPr="006960FF" w:rsidRDefault="006960FF" w:rsidP="0065435A">
    <w:pPr>
      <w:pStyle w:val="Sidfot"/>
    </w:pPr>
    <w:r w:rsidRPr="00696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529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2E" w:rsidRDefault="003C662E">
                          <w:pPr>
                            <w:pStyle w:val="NormalS5sidnrH"/>
                            <w:ind w:right="0"/>
                          </w:pPr>
                          <w:r>
                            <w:fldChar w:fldCharType="begin"/>
                          </w:r>
                          <w:r>
                            <w:instrText xml:space="preserve"> PAGE *\charformat</w:instrText>
                          </w:r>
                          <w:r>
                            <w:fldChar w:fldCharType="separate"/>
                          </w:r>
                          <w:r w:rsidR="00AE43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62E" w:rsidRDefault="003C662E">
                    <w:pPr>
                      <w:pStyle w:val="NormalS5sidnrH"/>
                      <w:ind w:right="0"/>
                    </w:pPr>
                    <w:r>
                      <w:fldChar w:fldCharType="begin"/>
                    </w:r>
                    <w:r>
                      <w:instrText xml:space="preserve"> PAGE *\charformat</w:instrText>
                    </w:r>
                    <w:r>
                      <w:fldChar w:fldCharType="separate"/>
                    </w:r>
                    <w:r w:rsidR="00AE43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719" w:rsidRPr="006960FF" w:rsidRDefault="008C5719">
      <w:r w:rsidRPr="006960FF">
        <w:separator/>
      </w:r>
    </w:p>
  </w:footnote>
  <w:footnote w:type="continuationSeparator" w:id="0">
    <w:p w:rsidR="008C5719" w:rsidRPr="006960FF" w:rsidRDefault="008C5719">
      <w:r w:rsidRPr="00696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2E" w:rsidRPr="006960FF" w:rsidRDefault="006960FF" w:rsidP="0065435A">
    <w:pPr>
      <w:pStyle w:val="Sidhuvud"/>
    </w:pPr>
    <w:r w:rsidRPr="00696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55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2E" w:rsidRDefault="003C662E">
                          <w:pPr>
                            <w:pStyle w:val="KantRubrikS5V"/>
                          </w:pPr>
                          <w:r>
                            <w:fldChar w:fldCharType="begin"/>
                          </w:r>
                          <w:r>
                            <w:instrText xml:space="preserve"> DOCPROPERTY "YearUser" *\charformat </w:instrText>
                          </w:r>
                          <w:r>
                            <w:fldChar w:fldCharType="separate"/>
                          </w:r>
                          <w:r w:rsidR="00AE435F">
                            <w:t>2005/06</w:t>
                          </w:r>
                          <w:r>
                            <w:fldChar w:fldCharType="end"/>
                          </w:r>
                          <w:r>
                            <w:t>:</w:t>
                          </w:r>
                          <w:r>
                            <w:fldChar w:fldCharType="begin"/>
                          </w:r>
                          <w:r>
                            <w:instrText xml:space="preserve"> DOCPROPERTY "Motionsnummer" *\charformat </w:instrText>
                          </w:r>
                          <w:r>
                            <w:fldChar w:fldCharType="separate"/>
                          </w:r>
                          <w:r w:rsidR="00AE435F">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62E" w:rsidRDefault="003C662E">
                    <w:pPr>
                      <w:pStyle w:val="KantRubrikS5V"/>
                    </w:pPr>
                    <w:r>
                      <w:fldChar w:fldCharType="begin"/>
                    </w:r>
                    <w:r>
                      <w:instrText xml:space="preserve"> DOCPROPERTY "YearUser" *\charformat </w:instrText>
                    </w:r>
                    <w:r>
                      <w:fldChar w:fldCharType="separate"/>
                    </w:r>
                    <w:r w:rsidR="00AE435F">
                      <w:t>2005/06</w:t>
                    </w:r>
                    <w:r>
                      <w:fldChar w:fldCharType="end"/>
                    </w:r>
                    <w:r>
                      <w:t>:</w:t>
                    </w:r>
                    <w:r>
                      <w:fldChar w:fldCharType="begin"/>
                    </w:r>
                    <w:r>
                      <w:instrText xml:space="preserve"> DOCPROPERTY "Motionsnummer" *\charformat </w:instrText>
                    </w:r>
                    <w:r>
                      <w:fldChar w:fldCharType="separate"/>
                    </w:r>
                    <w:r w:rsidR="00AE435F">
                      <w:t>Fi281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2E" w:rsidRPr="006960FF" w:rsidRDefault="006960FF" w:rsidP="0065435A">
    <w:pPr>
      <w:pStyle w:val="Sidhuvud"/>
    </w:pPr>
    <w:r w:rsidRPr="00696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585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62E" w:rsidRDefault="003C662E">
                          <w:pPr>
                            <w:pStyle w:val="KantRubrikS5H"/>
                            <w:ind w:right="0"/>
                          </w:pPr>
                          <w:r>
                            <w:fldChar w:fldCharType="begin"/>
                          </w:r>
                          <w:r>
                            <w:instrText xml:space="preserve"> DOCPROPERTY "YearUser" *\charformat </w:instrText>
                          </w:r>
                          <w:r>
                            <w:fldChar w:fldCharType="separate"/>
                          </w:r>
                          <w:r w:rsidR="00AE435F">
                            <w:t>2005/06</w:t>
                          </w:r>
                          <w:r>
                            <w:fldChar w:fldCharType="end"/>
                          </w:r>
                          <w:r>
                            <w:t>:</w:t>
                          </w:r>
                          <w:r>
                            <w:fldChar w:fldCharType="begin"/>
                          </w:r>
                          <w:r>
                            <w:instrText xml:space="preserve"> DOCPROPERTY "Motionsnummer" *\charformat </w:instrText>
                          </w:r>
                          <w:r>
                            <w:fldChar w:fldCharType="separate"/>
                          </w:r>
                          <w:r w:rsidR="00AE435F">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62E" w:rsidRDefault="003C662E">
                    <w:pPr>
                      <w:pStyle w:val="KantRubrikS5H"/>
                      <w:ind w:right="0"/>
                    </w:pPr>
                    <w:r>
                      <w:fldChar w:fldCharType="begin"/>
                    </w:r>
                    <w:r>
                      <w:instrText xml:space="preserve"> DOCPROPERTY "YearUser" *\charformat </w:instrText>
                    </w:r>
                    <w:r>
                      <w:fldChar w:fldCharType="separate"/>
                    </w:r>
                    <w:r w:rsidR="00AE435F">
                      <w:t>2005/06</w:t>
                    </w:r>
                    <w:r>
                      <w:fldChar w:fldCharType="end"/>
                    </w:r>
                    <w:r>
                      <w:t>:</w:t>
                    </w:r>
                    <w:r>
                      <w:fldChar w:fldCharType="begin"/>
                    </w:r>
                    <w:r>
                      <w:instrText xml:space="preserve"> DOCPROPERTY "Motionsnummer" *\charformat </w:instrText>
                    </w:r>
                    <w:r>
                      <w:fldChar w:fldCharType="separate"/>
                    </w:r>
                    <w:r w:rsidR="00AE435F">
                      <w:t>Fi281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2E" w:rsidRPr="006960FF" w:rsidRDefault="003C662E">
    <w:pPr>
      <w:pStyle w:val="FSHNormal"/>
      <w:tabs>
        <w:tab w:val="right" w:pos="5840"/>
      </w:tabs>
    </w:pPr>
    <w:r w:rsidRPr="006960FF">
      <w:br/>
    </w:r>
    <w:r w:rsidRPr="006960FF">
      <w:fldChar w:fldCharType="begin" w:fldLock="1"/>
    </w:r>
    <w:r w:rsidRPr="006960FF">
      <w:instrText xml:space="preserve"> DOCPROPERTY</w:instrText>
    </w:r>
    <w:r w:rsidRPr="006960FF">
      <w:rPr>
        <w:sz w:val="18"/>
      </w:rPr>
      <w:instrText xml:space="preserve"> "YearUser" *\charformat </w:instrText>
    </w:r>
    <w:r w:rsidRPr="006960FF">
      <w:fldChar w:fldCharType="separate"/>
    </w:r>
    <w:r w:rsidR="00AE435F" w:rsidRPr="006960FF">
      <w:t>2005/06</w:t>
    </w:r>
    <w:r w:rsidRPr="006960FF">
      <w:fldChar w:fldCharType="end"/>
    </w:r>
    <w:r w:rsidRPr="006960FF">
      <w:t xml:space="preserve"> </w:t>
    </w:r>
    <w:r w:rsidRPr="006960FF">
      <w:tab/>
      <w:t xml:space="preserve">mnr: </w:t>
    </w:r>
    <w:r w:rsidRPr="006960FF">
      <w:fldChar w:fldCharType="begin" w:fldLock="1"/>
    </w:r>
    <w:r w:rsidRPr="006960FF">
      <w:instrText xml:space="preserve"> DOCPROPERTY</w:instrText>
    </w:r>
    <w:r w:rsidRPr="006960FF">
      <w:rPr>
        <w:sz w:val="18"/>
      </w:rPr>
      <w:instrText xml:space="preserve"> "Motionsnummer" *\charformat </w:instrText>
    </w:r>
    <w:r w:rsidRPr="006960FF">
      <w:fldChar w:fldCharType="separate"/>
    </w:r>
    <w:r w:rsidR="00AE435F" w:rsidRPr="006960FF">
      <w:t>Fi281</w:t>
    </w:r>
    <w:r w:rsidRPr="006960FF">
      <w:fldChar w:fldCharType="end"/>
    </w:r>
    <w:r w:rsidRPr="006960FF">
      <w:br/>
    </w:r>
    <w:r w:rsidRPr="006960FF">
      <w:fldChar w:fldCharType="begin" w:fldLock="1"/>
    </w:r>
    <w:r w:rsidRPr="006960FF">
      <w:instrText xml:space="preserve"> DOCPROPERTY</w:instrText>
    </w:r>
    <w:r w:rsidRPr="006960FF">
      <w:rPr>
        <w:sz w:val="18"/>
      </w:rPr>
      <w:instrText xml:space="preserve"> "Samling" *\charformat </w:instrText>
    </w:r>
    <w:r w:rsidRPr="006960FF">
      <w:fldChar w:fldCharType="end"/>
    </w:r>
    <w:r w:rsidRPr="006960FF">
      <w:tab/>
      <w:t xml:space="preserve">pnr: </w:t>
    </w:r>
    <w:r w:rsidRPr="006960FF">
      <w:fldChar w:fldCharType="begin" w:fldLock="1"/>
    </w:r>
    <w:r w:rsidRPr="006960FF">
      <w:instrText xml:space="preserve"> DOCPROPERTY</w:instrText>
    </w:r>
    <w:r w:rsidRPr="006960FF">
      <w:rPr>
        <w:sz w:val="18"/>
      </w:rPr>
      <w:instrText xml:space="preserve"> "Partinummer" *\charformat </w:instrText>
    </w:r>
    <w:r w:rsidRPr="006960FF">
      <w:fldChar w:fldCharType="separate"/>
    </w:r>
    <w:r w:rsidR="00AE435F" w:rsidRPr="006960FF">
      <w:t>fp187</w:t>
    </w:r>
    <w:r w:rsidRPr="006960FF">
      <w:fldChar w:fldCharType="end"/>
    </w:r>
  </w:p>
  <w:p w:rsidR="003C662E" w:rsidRPr="006960FF" w:rsidRDefault="003C662E">
    <w:pPr>
      <w:pStyle w:val="FSHRub1"/>
    </w:pPr>
    <w:r w:rsidRPr="006960FF">
      <w:t>Motion till riksdagen</w:t>
    </w:r>
    <w:r w:rsidRPr="006960FF">
      <w:br/>
    </w:r>
    <w:r w:rsidRPr="006960FF">
      <w:fldChar w:fldCharType="begin" w:fldLock="1"/>
    </w:r>
    <w:r w:rsidRPr="006960FF">
      <w:instrText xml:space="preserve"> DOCPROPERTY "YearUser" *\charformat </w:instrText>
    </w:r>
    <w:r w:rsidRPr="006960FF">
      <w:fldChar w:fldCharType="separate"/>
    </w:r>
    <w:r w:rsidR="00AE435F" w:rsidRPr="006960FF">
      <w:t>2005/06</w:t>
    </w:r>
    <w:r w:rsidRPr="006960FF">
      <w:fldChar w:fldCharType="end"/>
    </w:r>
    <w:r w:rsidRPr="006960FF">
      <w:t>:</w:t>
    </w:r>
    <w:r w:rsidRPr="006960FF">
      <w:fldChar w:fldCharType="begin" w:fldLock="1"/>
    </w:r>
    <w:r w:rsidRPr="006960FF">
      <w:instrText xml:space="preserve"> DOCPROPERTY "Motionsnummer" *\charformat </w:instrText>
    </w:r>
    <w:r w:rsidRPr="006960FF">
      <w:fldChar w:fldCharType="separate"/>
    </w:r>
    <w:r w:rsidR="00AE435F" w:rsidRPr="006960FF">
      <w:t>Fi281</w:t>
    </w:r>
    <w:r w:rsidRPr="006960FF">
      <w:fldChar w:fldCharType="end"/>
    </w:r>
  </w:p>
  <w:p w:rsidR="003C662E" w:rsidRPr="006960FF" w:rsidRDefault="003C662E">
    <w:pPr>
      <w:pStyle w:val="FSHNormalS5"/>
    </w:pPr>
    <w:r w:rsidRPr="006960FF">
      <w:fldChar w:fldCharType="begin" w:fldLock="1"/>
    </w:r>
    <w:r w:rsidRPr="006960FF">
      <w:instrText xml:space="preserve"> DOCPROPERTY "MotionarText" *\charformat </w:instrText>
    </w:r>
    <w:r w:rsidRPr="006960FF">
      <w:fldChar w:fldCharType="separate"/>
    </w:r>
    <w:r w:rsidR="00AE435F" w:rsidRPr="006960FF">
      <w:t>av Karin Pilsäter m.fl. (fp)</w:t>
    </w:r>
    <w:r w:rsidRPr="006960FF">
      <w:fldChar w:fldCharType="end"/>
    </w:r>
    <w:r w:rsidRPr="006960FF">
      <w:br/>
    </w:r>
    <w:r w:rsidRPr="006960FF">
      <w:fldChar w:fldCharType="begin" w:fldLock="1"/>
    </w:r>
    <w:r w:rsidRPr="006960FF">
      <w:instrText xml:space="preserve"> DOCPROPERTY "SvarFrasKort" *\charformat </w:instrText>
    </w:r>
    <w:r w:rsidRPr="006960FF">
      <w:fldChar w:fldCharType="end"/>
    </w:r>
  </w:p>
  <w:p w:rsidR="003C662E" w:rsidRPr="006960FF" w:rsidRDefault="003C662E">
    <w:pPr>
      <w:pStyle w:val="FSHTitel"/>
    </w:pPr>
    <w:r w:rsidRPr="006960FF">
      <w:fldChar w:fldCharType="begin" w:fldLock="1"/>
    </w:r>
    <w:r w:rsidRPr="006960FF">
      <w:instrText xml:space="preserve"> DOCPROPERTY</w:instrText>
    </w:r>
    <w:r w:rsidRPr="006960FF">
      <w:rPr>
        <w:sz w:val="18"/>
      </w:rPr>
      <w:instrText xml:space="preserve"> "RubrikSvar" *\charformat </w:instrText>
    </w:r>
    <w:r w:rsidRPr="006960FF">
      <w:fldChar w:fldCharType="separate"/>
    </w:r>
    <w:r w:rsidR="00AE435F" w:rsidRPr="006960FF">
      <w:t>Utgiftsområde 2 Samhällsekonomi och finansförvaltning</w:t>
    </w:r>
    <w:r w:rsidRPr="006960FF">
      <w:fldChar w:fldCharType="end"/>
    </w:r>
  </w:p>
  <w:p w:rsidR="003C662E" w:rsidRPr="006960FF" w:rsidRDefault="003C662E" w:rsidP="006543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D94890"/>
    <w:multiLevelType w:val="hybridMultilevel"/>
    <w:tmpl w:val="139EF29C"/>
    <w:lvl w:ilvl="0" w:tplc="9ACAC4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A215E8"/>
    <w:multiLevelType w:val="hybridMultilevel"/>
    <w:tmpl w:val="43906DDE"/>
    <w:lvl w:ilvl="0" w:tplc="D250DA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4902275">
    <w:abstractNumId w:val="14"/>
  </w:num>
  <w:num w:numId="2" w16cid:durableId="365446938">
    <w:abstractNumId w:val="10"/>
  </w:num>
  <w:num w:numId="3" w16cid:durableId="1868909478">
    <w:abstractNumId w:val="11"/>
  </w:num>
  <w:num w:numId="4" w16cid:durableId="1584335101">
    <w:abstractNumId w:val="13"/>
  </w:num>
  <w:num w:numId="5" w16cid:durableId="1910335789">
    <w:abstractNumId w:val="8"/>
  </w:num>
  <w:num w:numId="6" w16cid:durableId="726808130">
    <w:abstractNumId w:val="3"/>
  </w:num>
  <w:num w:numId="7" w16cid:durableId="1386835525">
    <w:abstractNumId w:val="2"/>
  </w:num>
  <w:num w:numId="8" w16cid:durableId="259263523">
    <w:abstractNumId w:val="1"/>
  </w:num>
  <w:num w:numId="9" w16cid:durableId="1598976953">
    <w:abstractNumId w:val="0"/>
  </w:num>
  <w:num w:numId="10" w16cid:durableId="1309241665">
    <w:abstractNumId w:val="9"/>
  </w:num>
  <w:num w:numId="11" w16cid:durableId="216549589">
    <w:abstractNumId w:val="7"/>
  </w:num>
  <w:num w:numId="12" w16cid:durableId="1282227091">
    <w:abstractNumId w:val="6"/>
  </w:num>
  <w:num w:numId="13" w16cid:durableId="1070540185">
    <w:abstractNumId w:val="5"/>
  </w:num>
  <w:num w:numId="14" w16cid:durableId="572813737">
    <w:abstractNumId w:val="4"/>
  </w:num>
  <w:num w:numId="15" w16cid:durableId="636449325">
    <w:abstractNumId w:val="15"/>
  </w:num>
  <w:num w:numId="16" w16cid:durableId="192113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020A0E"/>
    <w:rsid w:val="00020A0E"/>
    <w:rsid w:val="0004381F"/>
    <w:rsid w:val="00064BC3"/>
    <w:rsid w:val="00066775"/>
    <w:rsid w:val="00072FB9"/>
    <w:rsid w:val="000E65A6"/>
    <w:rsid w:val="000F2066"/>
    <w:rsid w:val="00100531"/>
    <w:rsid w:val="00201DFB"/>
    <w:rsid w:val="00204A63"/>
    <w:rsid w:val="00212FF1"/>
    <w:rsid w:val="00230193"/>
    <w:rsid w:val="0025068A"/>
    <w:rsid w:val="002818D3"/>
    <w:rsid w:val="002D11A8"/>
    <w:rsid w:val="003C662E"/>
    <w:rsid w:val="0040199A"/>
    <w:rsid w:val="00445271"/>
    <w:rsid w:val="00461BE8"/>
    <w:rsid w:val="004A0504"/>
    <w:rsid w:val="004E38D9"/>
    <w:rsid w:val="00525FAD"/>
    <w:rsid w:val="005B145B"/>
    <w:rsid w:val="0065435A"/>
    <w:rsid w:val="006600A7"/>
    <w:rsid w:val="006960FF"/>
    <w:rsid w:val="006C44BA"/>
    <w:rsid w:val="0071090B"/>
    <w:rsid w:val="00740D6D"/>
    <w:rsid w:val="00794149"/>
    <w:rsid w:val="007B67A7"/>
    <w:rsid w:val="007C6092"/>
    <w:rsid w:val="00825B00"/>
    <w:rsid w:val="008C5719"/>
    <w:rsid w:val="009A3539"/>
    <w:rsid w:val="00A053C6"/>
    <w:rsid w:val="00AE435F"/>
    <w:rsid w:val="00B13BF0"/>
    <w:rsid w:val="00B156E4"/>
    <w:rsid w:val="00B56334"/>
    <w:rsid w:val="00BD4638"/>
    <w:rsid w:val="00C1285C"/>
    <w:rsid w:val="00C27B7D"/>
    <w:rsid w:val="00C74836"/>
    <w:rsid w:val="00CE085A"/>
    <w:rsid w:val="00CF7A43"/>
    <w:rsid w:val="00D1174F"/>
    <w:rsid w:val="00D46DF8"/>
    <w:rsid w:val="00D50FF8"/>
    <w:rsid w:val="00DC6C70"/>
    <w:rsid w:val="00E22893"/>
    <w:rsid w:val="00E309ED"/>
    <w:rsid w:val="00E360DE"/>
    <w:rsid w:val="00E75D28"/>
    <w:rsid w:val="00E84F25"/>
    <w:rsid w:val="00E85AB5"/>
    <w:rsid w:val="00FA3374"/>
    <w:rsid w:val="00FC0077"/>
    <w:rsid w:val="00FE4A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41321B-AE2A-4E2D-AA95-A38FD3FA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2066"/>
    <w:pPr>
      <w:spacing w:before="125" w:line="250" w:lineRule="atLeast"/>
      <w:jc w:val="both"/>
    </w:pPr>
    <w:rPr>
      <w:sz w:val="19"/>
      <w:lang w:val="sv-SE" w:eastAsia="sv-SE"/>
    </w:rPr>
  </w:style>
  <w:style w:type="paragraph" w:styleId="Rubrik1">
    <w:name w:val="heading 1"/>
    <w:basedOn w:val="Normal"/>
    <w:next w:val="Normal"/>
    <w:qFormat/>
    <w:rsid w:val="000F20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2066"/>
    <w:pPr>
      <w:spacing w:before="500" w:line="250" w:lineRule="exact"/>
      <w:outlineLvl w:val="1"/>
    </w:pPr>
    <w:rPr>
      <w:sz w:val="27"/>
    </w:rPr>
  </w:style>
  <w:style w:type="paragraph" w:styleId="Rubrik3">
    <w:name w:val="heading 3"/>
    <w:aliases w:val="Mellanrubrik"/>
    <w:basedOn w:val="Rubrik2"/>
    <w:next w:val="Normal"/>
    <w:qFormat/>
    <w:rsid w:val="000F2066"/>
    <w:pPr>
      <w:spacing w:before="250" w:after="0"/>
      <w:outlineLvl w:val="2"/>
    </w:pPr>
    <w:rPr>
      <w:b/>
      <w:sz w:val="21"/>
    </w:rPr>
  </w:style>
  <w:style w:type="paragraph" w:styleId="Rubrik4">
    <w:name w:val="heading 4"/>
    <w:aliases w:val="KursivRubrik"/>
    <w:basedOn w:val="Rubrik3"/>
    <w:next w:val="Normal"/>
    <w:qFormat/>
    <w:rsid w:val="000F2066"/>
    <w:pPr>
      <w:outlineLvl w:val="3"/>
    </w:pPr>
    <w:rPr>
      <w:b w:val="0"/>
      <w:i/>
    </w:rPr>
  </w:style>
  <w:style w:type="paragraph" w:styleId="Rubrik5">
    <w:name w:val="heading 5"/>
    <w:aliases w:val="PackadFetRubrik,PackadKursivRubrik"/>
    <w:basedOn w:val="Rubrik4"/>
    <w:next w:val="Normal"/>
    <w:qFormat/>
    <w:rsid w:val="000F2066"/>
    <w:pPr>
      <w:spacing w:before="125"/>
      <w:outlineLvl w:val="4"/>
    </w:pPr>
    <w:rPr>
      <w:i w:val="0"/>
      <w:sz w:val="19"/>
    </w:rPr>
  </w:style>
  <w:style w:type="paragraph" w:styleId="Rubrik6">
    <w:name w:val="heading 6"/>
    <w:basedOn w:val="Rubrik5"/>
    <w:next w:val="Normal"/>
    <w:qFormat/>
    <w:rsid w:val="000F2066"/>
    <w:pPr>
      <w:spacing w:before="50" w:line="200" w:lineRule="exact"/>
      <w:outlineLvl w:val="5"/>
    </w:pPr>
    <w:rPr>
      <w:caps/>
      <w:sz w:val="14"/>
    </w:rPr>
  </w:style>
  <w:style w:type="paragraph" w:styleId="Rubrik7">
    <w:name w:val="heading 7"/>
    <w:basedOn w:val="Rubrik6"/>
    <w:next w:val="Normal"/>
    <w:qFormat/>
    <w:rsid w:val="000F2066"/>
    <w:pPr>
      <w:spacing w:before="0"/>
      <w:outlineLvl w:val="6"/>
    </w:pPr>
  </w:style>
  <w:style w:type="paragraph" w:styleId="Rubrik8">
    <w:name w:val="heading 8"/>
    <w:basedOn w:val="Rubrik7"/>
    <w:next w:val="Normal"/>
    <w:qFormat/>
    <w:rsid w:val="000F2066"/>
    <w:pPr>
      <w:outlineLvl w:val="7"/>
    </w:pPr>
  </w:style>
  <w:style w:type="paragraph" w:styleId="Rubrik9">
    <w:name w:val="heading 9"/>
    <w:basedOn w:val="Rubrik8"/>
    <w:next w:val="Normal"/>
    <w:qFormat/>
    <w:rsid w:val="000F2066"/>
    <w:pPr>
      <w:outlineLvl w:val="8"/>
    </w:pPr>
  </w:style>
  <w:style w:type="character" w:default="1" w:styleId="Standardstycketeckensnitt">
    <w:name w:val="Default Paragraph Font"/>
    <w:semiHidden/>
    <w:rsid w:val="000F206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F2066"/>
  </w:style>
  <w:style w:type="paragraph" w:styleId="Normaltindrag">
    <w:name w:val="Normal Indent"/>
    <w:aliases w:val="Normal_indrag,Normal Indrag"/>
    <w:basedOn w:val="Normal"/>
    <w:link w:val="NormaltindragChar"/>
    <w:rsid w:val="000F2066"/>
    <w:pPr>
      <w:spacing w:before="0"/>
      <w:ind w:firstLine="227"/>
    </w:pPr>
  </w:style>
  <w:style w:type="paragraph" w:styleId="Citat">
    <w:name w:val="Quote"/>
    <w:basedOn w:val="Normal"/>
    <w:next w:val="Normal"/>
    <w:qFormat/>
    <w:rsid w:val="000F2066"/>
    <w:pPr>
      <w:spacing w:line="200" w:lineRule="exact"/>
      <w:ind w:left="340"/>
    </w:pPr>
  </w:style>
  <w:style w:type="paragraph" w:customStyle="1" w:styleId="Citatindrag">
    <w:name w:val="Citat_indrag"/>
    <w:aliases w:val="Packad"/>
    <w:basedOn w:val="Citat"/>
    <w:rsid w:val="000F2066"/>
    <w:pPr>
      <w:spacing w:before="0"/>
      <w:ind w:firstLine="227"/>
    </w:pPr>
  </w:style>
  <w:style w:type="paragraph" w:customStyle="1" w:styleId="FSHNormal">
    <w:name w:val="FSH_Normal"/>
    <w:semiHidden/>
    <w:rsid w:val="000F206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2066"/>
    <w:pPr>
      <w:spacing w:line="240" w:lineRule="auto"/>
    </w:pPr>
  </w:style>
  <w:style w:type="paragraph" w:customStyle="1" w:styleId="FSHNormalS5">
    <w:name w:val="FSH_NormalS5"/>
    <w:basedOn w:val="FSHNormal"/>
    <w:next w:val="FSHNormal"/>
    <w:semiHidden/>
    <w:rsid w:val="000F2066"/>
    <w:pPr>
      <w:keepNext/>
      <w:keepLines/>
      <w:widowControl/>
      <w:spacing w:before="230" w:after="520" w:line="250" w:lineRule="exact"/>
    </w:pPr>
    <w:rPr>
      <w:b/>
      <w:sz w:val="27"/>
    </w:rPr>
  </w:style>
  <w:style w:type="paragraph" w:customStyle="1" w:styleId="FSHNormL">
    <w:name w:val="FSH_NormLÖ"/>
    <w:basedOn w:val="FSHNormal"/>
    <w:next w:val="FSHNormal"/>
    <w:semiHidden/>
    <w:rsid w:val="000F2066"/>
    <w:pPr>
      <w:pBdr>
        <w:top w:val="single" w:sz="12" w:space="1" w:color="auto"/>
      </w:pBdr>
    </w:pPr>
  </w:style>
  <w:style w:type="paragraph" w:customStyle="1" w:styleId="FSHRub1">
    <w:name w:val="FSH_Rub1"/>
    <w:aliases w:val="Rubrik1_S5,Huvudrubrik"/>
    <w:basedOn w:val="FSHNormal"/>
    <w:next w:val="FSHNormal"/>
    <w:semiHidden/>
    <w:rsid w:val="000F206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2066"/>
    <w:pPr>
      <w:spacing w:before="240" w:after="80" w:line="360" w:lineRule="exact"/>
    </w:pPr>
    <w:rPr>
      <w:sz w:val="36"/>
    </w:rPr>
  </w:style>
  <w:style w:type="paragraph" w:customStyle="1" w:styleId="FSHTitel">
    <w:name w:val="FSH_Titel"/>
    <w:aliases w:val="Dokumentrubrik"/>
    <w:basedOn w:val="FSHRub1"/>
    <w:next w:val="FSHNormal"/>
    <w:semiHidden/>
    <w:rsid w:val="000F2066"/>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0F2066"/>
    <w:rPr>
      <w:sz w:val="19"/>
      <w:lang w:val="sv-SE" w:eastAsia="sv-SE" w:bidi="ar-SA"/>
    </w:rPr>
  </w:style>
  <w:style w:type="paragraph" w:customStyle="1" w:styleId="Hemstlrubrik">
    <w:name w:val="Hemstl_rubrik"/>
    <w:basedOn w:val="Rubrik1"/>
    <w:next w:val="Normal"/>
    <w:rsid w:val="0065435A"/>
    <w:pPr>
      <w:spacing w:after="250"/>
    </w:pPr>
  </w:style>
  <w:style w:type="table" w:styleId="Tabellrutnt">
    <w:name w:val="Table Grid"/>
    <w:basedOn w:val="Normaltabell"/>
    <w:rsid w:val="00D50FF8"/>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0F206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2066"/>
    <w:pPr>
      <w:spacing w:line="200" w:lineRule="exact"/>
    </w:pPr>
  </w:style>
  <w:style w:type="paragraph" w:customStyle="1" w:styleId="KantRubrikS5V">
    <w:name w:val="KantRubrikS5V"/>
    <w:basedOn w:val="KantRubrikS5H"/>
    <w:semiHidden/>
    <w:rsid w:val="000F2066"/>
    <w:pPr>
      <w:tabs>
        <w:tab w:val="right" w:pos="1814"/>
        <w:tab w:val="left" w:pos="1899"/>
      </w:tabs>
      <w:ind w:right="0"/>
      <w:jc w:val="left"/>
    </w:pPr>
  </w:style>
  <w:style w:type="paragraph" w:customStyle="1" w:styleId="KantRubrikS5Vrad2">
    <w:name w:val="KantRubrikS5Vrad2"/>
    <w:basedOn w:val="KantRubrikS5V"/>
    <w:semiHidden/>
    <w:rsid w:val="000F2066"/>
    <w:pPr>
      <w:tabs>
        <w:tab w:val="clear" w:pos="1814"/>
        <w:tab w:val="clear" w:pos="1899"/>
        <w:tab w:val="right" w:pos="1418"/>
        <w:tab w:val="left" w:pos="1503"/>
      </w:tabs>
    </w:pPr>
  </w:style>
  <w:style w:type="paragraph" w:customStyle="1" w:styleId="Lagtext">
    <w:name w:val="Lagtext"/>
    <w:basedOn w:val="Lagtextrubrik"/>
    <w:next w:val="Lagtextindrag"/>
    <w:rsid w:val="000F2066"/>
    <w:pPr>
      <w:spacing w:before="0"/>
    </w:pPr>
    <w:rPr>
      <w:sz w:val="19"/>
    </w:rPr>
  </w:style>
  <w:style w:type="paragraph" w:customStyle="1" w:styleId="Lagtextrubrik">
    <w:name w:val="Lagtext_rubrik"/>
    <w:basedOn w:val="Normal"/>
    <w:next w:val="Normal"/>
    <w:rsid w:val="000F2066"/>
    <w:pPr>
      <w:suppressAutoHyphens/>
      <w:spacing w:line="220" w:lineRule="exact"/>
    </w:pPr>
    <w:rPr>
      <w:i/>
      <w:sz w:val="21"/>
    </w:rPr>
  </w:style>
  <w:style w:type="paragraph" w:customStyle="1" w:styleId="Lagtextindrag">
    <w:name w:val="Lagtext_indrag"/>
    <w:basedOn w:val="Lagtext"/>
    <w:rsid w:val="000F2066"/>
    <w:pPr>
      <w:ind w:firstLine="170"/>
    </w:pPr>
  </w:style>
  <w:style w:type="paragraph" w:customStyle="1" w:styleId="NormalA4fot">
    <w:name w:val="Normal_A4fot"/>
    <w:basedOn w:val="Normal"/>
    <w:semiHidden/>
    <w:rsid w:val="000F2066"/>
    <w:pPr>
      <w:spacing w:before="240" w:line="240" w:lineRule="auto"/>
      <w:jc w:val="center"/>
    </w:pPr>
  </w:style>
  <w:style w:type="paragraph" w:customStyle="1" w:styleId="NormalA4sidnr">
    <w:name w:val="Normal_A4sidnr"/>
    <w:basedOn w:val="Normal"/>
    <w:semiHidden/>
    <w:rsid w:val="000F2066"/>
    <w:pPr>
      <w:spacing w:after="240"/>
      <w:jc w:val="center"/>
    </w:pPr>
  </w:style>
  <w:style w:type="paragraph" w:customStyle="1" w:styleId="NormalS5sidnrH">
    <w:name w:val="Normal_S5sidnrH"/>
    <w:basedOn w:val="Normal"/>
    <w:semiHidden/>
    <w:rsid w:val="000F2066"/>
    <w:pPr>
      <w:spacing w:before="0" w:line="240" w:lineRule="auto"/>
      <w:ind w:right="57"/>
      <w:jc w:val="right"/>
    </w:pPr>
  </w:style>
  <w:style w:type="paragraph" w:customStyle="1" w:styleId="NormalS5sidnrV">
    <w:name w:val="Normal_S5sidnrV"/>
    <w:basedOn w:val="NormalS5sidnrH"/>
    <w:semiHidden/>
    <w:rsid w:val="000F2066"/>
    <w:pPr>
      <w:tabs>
        <w:tab w:val="right" w:pos="1814"/>
        <w:tab w:val="left" w:pos="1899"/>
      </w:tabs>
      <w:ind w:right="0"/>
      <w:jc w:val="left"/>
    </w:pPr>
  </w:style>
  <w:style w:type="paragraph" w:customStyle="1" w:styleId="Normal00">
    <w:name w:val="Normal00"/>
    <w:basedOn w:val="Normal"/>
    <w:semiHidden/>
    <w:rsid w:val="000F2066"/>
    <w:pPr>
      <w:spacing w:before="0" w:line="240" w:lineRule="auto"/>
      <w:jc w:val="left"/>
    </w:pPr>
  </w:style>
  <w:style w:type="paragraph" w:customStyle="1" w:styleId="PunktlistaBomb">
    <w:name w:val="Punktlista_Bomb"/>
    <w:aliases w:val="Bomb"/>
    <w:basedOn w:val="Normal"/>
    <w:rsid w:val="000F2066"/>
    <w:pPr>
      <w:numPr>
        <w:numId w:val="2"/>
      </w:numPr>
    </w:pPr>
  </w:style>
  <w:style w:type="paragraph" w:customStyle="1" w:styleId="PunktlistaNummer">
    <w:name w:val="Punktlista_Nummer"/>
    <w:aliases w:val="Nummerlista"/>
    <w:basedOn w:val="Normal"/>
    <w:rsid w:val="000F2066"/>
    <w:pPr>
      <w:numPr>
        <w:numId w:val="3"/>
      </w:numPr>
    </w:pPr>
  </w:style>
  <w:style w:type="paragraph" w:customStyle="1" w:styleId="PunktlistaTankstreck">
    <w:name w:val="Punktlista_Tankstreck"/>
    <w:aliases w:val="Tankstreck"/>
    <w:basedOn w:val="Normal"/>
    <w:rsid w:val="000F2066"/>
    <w:pPr>
      <w:numPr>
        <w:numId w:val="4"/>
      </w:numPr>
    </w:pPr>
  </w:style>
  <w:style w:type="paragraph" w:customStyle="1" w:styleId="RubrikSammanf">
    <w:name w:val="RubrikSammanf"/>
    <w:basedOn w:val="Rubrik1"/>
    <w:next w:val="Normal"/>
    <w:rsid w:val="000F2066"/>
  </w:style>
  <w:style w:type="paragraph" w:customStyle="1" w:styleId="RubrikInnehllsf">
    <w:name w:val="RubrikInnehållsf"/>
    <w:basedOn w:val="RubrikSammanf"/>
    <w:next w:val="Normal"/>
    <w:rsid w:val="000F2066"/>
  </w:style>
  <w:style w:type="paragraph" w:customStyle="1" w:styleId="Tabellochbildrubrik">
    <w:name w:val="Tabell och bildrubrik"/>
    <w:basedOn w:val="Normal"/>
    <w:next w:val="Normal"/>
    <w:rsid w:val="000F2066"/>
    <w:pPr>
      <w:suppressAutoHyphens/>
      <w:spacing w:before="300" w:line="200" w:lineRule="exact"/>
      <w:jc w:val="left"/>
    </w:pPr>
    <w:rPr>
      <w:caps/>
      <w:sz w:val="14"/>
    </w:rPr>
  </w:style>
  <w:style w:type="paragraph" w:customStyle="1" w:styleId="Underskrifter">
    <w:name w:val="Underskrifter"/>
    <w:basedOn w:val="Normal"/>
    <w:rsid w:val="000F2066"/>
    <w:pPr>
      <w:keepNext/>
      <w:keepLines/>
      <w:suppressAutoHyphens/>
      <w:spacing w:before="0" w:after="40" w:line="250" w:lineRule="exact"/>
    </w:pPr>
    <w:rPr>
      <w:i/>
    </w:rPr>
  </w:style>
  <w:style w:type="paragraph" w:customStyle="1" w:styleId="UnderskriftDatum">
    <w:name w:val="UnderskriftDatum"/>
    <w:basedOn w:val="Underskrifter"/>
    <w:next w:val="Underskrifter"/>
    <w:rsid w:val="000F2066"/>
    <w:pPr>
      <w:spacing w:before="250" w:after="125"/>
    </w:pPr>
    <w:rPr>
      <w:i w:val="0"/>
    </w:rPr>
  </w:style>
  <w:style w:type="paragraph" w:styleId="Sidhuvud">
    <w:name w:val="header"/>
    <w:basedOn w:val="Normal"/>
    <w:semiHidden/>
    <w:rsid w:val="000F2066"/>
    <w:pPr>
      <w:tabs>
        <w:tab w:val="center" w:pos="4536"/>
        <w:tab w:val="right" w:pos="9072"/>
      </w:tabs>
    </w:pPr>
  </w:style>
  <w:style w:type="paragraph" w:styleId="Sidfot">
    <w:name w:val="footer"/>
    <w:basedOn w:val="Normal"/>
    <w:semiHidden/>
    <w:rsid w:val="000F2066"/>
    <w:pPr>
      <w:tabs>
        <w:tab w:val="center" w:pos="4536"/>
        <w:tab w:val="right" w:pos="9072"/>
      </w:tabs>
    </w:pPr>
  </w:style>
  <w:style w:type="paragraph" w:styleId="Innehll1">
    <w:name w:val="toc 1"/>
    <w:basedOn w:val="Normal"/>
    <w:next w:val="Innehll2"/>
    <w:semiHidden/>
    <w:rsid w:val="000F2066"/>
    <w:pPr>
      <w:tabs>
        <w:tab w:val="right" w:leader="dot" w:pos="5953"/>
      </w:tabs>
      <w:suppressAutoHyphens/>
      <w:spacing w:before="0"/>
      <w:ind w:right="567"/>
      <w:jc w:val="left"/>
    </w:pPr>
  </w:style>
  <w:style w:type="paragraph" w:styleId="Innehll2">
    <w:name w:val="toc 2"/>
    <w:basedOn w:val="Innehll1"/>
    <w:next w:val="Innehll3"/>
    <w:semiHidden/>
    <w:rsid w:val="000F2066"/>
    <w:pPr>
      <w:ind w:left="284"/>
    </w:pPr>
  </w:style>
  <w:style w:type="paragraph" w:styleId="Innehll3">
    <w:name w:val="toc 3"/>
    <w:basedOn w:val="Innehll2"/>
    <w:next w:val="Innehll4"/>
    <w:semiHidden/>
    <w:rsid w:val="000F2066"/>
    <w:pPr>
      <w:ind w:left="567"/>
    </w:pPr>
  </w:style>
  <w:style w:type="paragraph" w:styleId="Innehll4">
    <w:name w:val="toc 4"/>
    <w:basedOn w:val="Innehll3"/>
    <w:next w:val="Normal"/>
    <w:semiHidden/>
    <w:rsid w:val="000F2066"/>
  </w:style>
  <w:style w:type="paragraph" w:customStyle="1" w:styleId="Hemstlatt">
    <w:name w:val="Hemstl_att"/>
    <w:aliases w:val="HemstPunkt,HemstPunktFlera,HemställansPunkt,Förslagstext"/>
    <w:basedOn w:val="Normal"/>
    <w:next w:val="Normal"/>
    <w:rsid w:val="0065435A"/>
    <w:pPr>
      <w:keepLines/>
      <w:numPr>
        <w:numId w:val="16"/>
      </w:numPr>
      <w:spacing w:before="0"/>
    </w:pPr>
  </w:style>
  <w:style w:type="paragraph" w:styleId="Datum">
    <w:name w:val="Date"/>
    <w:basedOn w:val="Normal"/>
    <w:next w:val="Normal"/>
    <w:semiHidden/>
    <w:rsid w:val="000F2066"/>
  </w:style>
  <w:style w:type="character" w:styleId="Hyperlnk">
    <w:name w:val="Hyperlink"/>
    <w:basedOn w:val="Standardstycketeckensnitt"/>
    <w:semiHidden/>
    <w:rsid w:val="000F2066"/>
    <w:rPr>
      <w:color w:val="0000FF"/>
      <w:u w:val="single"/>
    </w:rPr>
  </w:style>
  <w:style w:type="paragraph" w:styleId="Indragetstycke">
    <w:name w:val="Block Text"/>
    <w:basedOn w:val="Normal"/>
    <w:semiHidden/>
    <w:rsid w:val="000F2066"/>
    <w:pPr>
      <w:spacing w:after="120"/>
      <w:ind w:left="1440" w:right="1440"/>
    </w:pPr>
  </w:style>
  <w:style w:type="paragraph" w:styleId="Innehll5">
    <w:name w:val="toc 5"/>
    <w:basedOn w:val="Innehll4"/>
    <w:next w:val="Normal"/>
    <w:semiHidden/>
    <w:rsid w:val="000F2066"/>
  </w:style>
  <w:style w:type="paragraph" w:styleId="Lista">
    <w:name w:val="List"/>
    <w:basedOn w:val="Normal"/>
    <w:semiHidden/>
    <w:rsid w:val="000F2066"/>
    <w:pPr>
      <w:ind w:left="283" w:hanging="283"/>
    </w:pPr>
  </w:style>
  <w:style w:type="paragraph" w:styleId="Normalwebb">
    <w:name w:val="Normal (Web)"/>
    <w:basedOn w:val="Normal"/>
    <w:semiHidden/>
    <w:rsid w:val="000F2066"/>
    <w:rPr>
      <w:szCs w:val="24"/>
    </w:rPr>
  </w:style>
  <w:style w:type="paragraph" w:styleId="Numreradlista">
    <w:name w:val="List Number"/>
    <w:basedOn w:val="Normal"/>
    <w:semiHidden/>
    <w:rsid w:val="000F2066"/>
    <w:pPr>
      <w:numPr>
        <w:numId w:val="5"/>
      </w:numPr>
    </w:pPr>
  </w:style>
  <w:style w:type="paragraph" w:styleId="Punktlista">
    <w:name w:val="List Bullet"/>
    <w:basedOn w:val="Normal"/>
    <w:semiHidden/>
    <w:rsid w:val="000F2066"/>
    <w:pPr>
      <w:numPr>
        <w:numId w:val="10"/>
      </w:numPr>
    </w:pPr>
  </w:style>
  <w:style w:type="character" w:styleId="Radnummer">
    <w:name w:val="line number"/>
    <w:basedOn w:val="Standardstycketeckensnitt"/>
    <w:semiHidden/>
    <w:rsid w:val="000F2066"/>
  </w:style>
  <w:style w:type="character" w:styleId="Sidnummer">
    <w:name w:val="page number"/>
    <w:basedOn w:val="Standardstycketeckensnitt"/>
    <w:semiHidden/>
    <w:rsid w:val="000F2066"/>
  </w:style>
  <w:style w:type="paragraph" w:styleId="Signatur">
    <w:name w:val="Signature"/>
    <w:basedOn w:val="Normal"/>
    <w:semiHidden/>
    <w:rsid w:val="000F2066"/>
    <w:pPr>
      <w:ind w:left="4252"/>
    </w:pPr>
  </w:style>
  <w:style w:type="paragraph" w:styleId="Underrubrik">
    <w:name w:val="Subtitle"/>
    <w:basedOn w:val="Normal"/>
    <w:qFormat/>
    <w:rsid w:val="000F206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2036</Words>
  <Characters>12323</Characters>
  <Application>Microsoft Office Word</Application>
  <DocSecurity>4</DocSecurity>
  <Lines>280</Lines>
  <Paragraphs>111</Paragraphs>
  <ScaleCrop>false</ScaleCrop>
  <HeadingPairs>
    <vt:vector size="2" baseType="variant">
      <vt:variant>
        <vt:lpstr>Rubrik</vt:lpstr>
      </vt:variant>
      <vt:variant>
        <vt:i4>1</vt:i4>
      </vt:variant>
    </vt:vector>
  </HeadingPairs>
  <TitlesOfParts>
    <vt:vector size="1" baseType="lpstr">
      <vt:lpstr>Fi281</vt:lpstr>
    </vt:vector>
  </TitlesOfParts>
  <Company>Riksdagen</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Fi281</dc:title>
  <dc:subject>Fi281</dc:subject>
  <dc:creator>Riksdagen</dc:creator>
  <cp:keywords>Riksdagen</cp:keywords>
  <dc:description/>
  <cp:lastModifiedBy>Lars Brink</cp:lastModifiedBy>
  <cp:revision>2</cp:revision>
  <cp:lastPrinted>2006-01-13T08:45:00Z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Pilsäter m.fl. (fp)</vt:lpwstr>
  </property>
  <property fmtid="{D5CDD505-2E9C-101B-9397-08002B2CF9AE}" pid="26" name="MotionarLista">
    <vt:lpwstr>Pilsäter, Karin (fp)\Nylander, Christer (fp)\Nordmark, Gunnar (fp)\Könberg, Bo (fp)\Aronson, Marita (fp)\Leijonborg,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Bo Könberg (fp), Marita Aronson (fp), Lars Leijonborg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Fi281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20052006000001020112000001870075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20052006000001020112000001870075</vt:lpwstr>
  </property>
  <property fmtid="{D5CDD505-2E9C-101B-9397-08002B2CF9AE}" pid="50" name="nummer">
    <vt:lpwstr>281</vt:lpwstr>
  </property>
  <property fmtid="{D5CDD505-2E9C-101B-9397-08002B2CF9AE}" pid="51" name="utskottsbeteckning">
    <vt:lpwstr>Fi</vt:lpwstr>
  </property>
</Properties>
</file>