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6FD" w:rsidRDefault="008E76FD">
      <w:pPr>
        <w:pStyle w:val="Rubrik1"/>
        <w:spacing w:before="0"/>
      </w:pPr>
      <w:bookmarkStart w:id="0" w:name="_Toc386352869"/>
      <w:r>
        <w:t>Till konstitutionsutskottet</w:t>
      </w:r>
      <w:bookmarkEnd w:id="0"/>
    </w:p>
    <w:p w:rsidR="008E76FD" w:rsidRDefault="008E76FD">
      <w:r>
        <w:t>Konstitutionsutskottet har berett skatteutskottet tillfälle att yttra sig över proposition 1996/97:90 Bättre möjligheter att samverka vid medborgarkontor och över de motioner som har väckts med anledning av propositionen. Med anledning härav får utskottet anföra följande.</w:t>
      </w:r>
    </w:p>
    <w:p w:rsidR="008E76FD" w:rsidRDefault="008E76FD">
      <w:pPr>
        <w:pStyle w:val="Normaltindrag"/>
      </w:pPr>
      <w:r>
        <w:t>Ett femtiotal kommuner deltar sedan 1994 i en försöksverksamhet med ett organiserat samarbete över kommunala och statliga myndighetsgränser r</w:t>
      </w:r>
      <w:r>
        <w:t>ö</w:t>
      </w:r>
      <w:r>
        <w:t>rande information, rådgivning och annan service gentemot allmänheten. Samarbetet kan också gälla administrativa frågor. Försöksverksamheten regleras i en särskild lag och får pågå till och med första halvåret 1999.</w:t>
      </w:r>
    </w:p>
    <w:p w:rsidR="008E76FD" w:rsidRDefault="008E76FD">
      <w:pPr>
        <w:pStyle w:val="Normaltindrag"/>
      </w:pPr>
      <w:r>
        <w:t>Regeringen föreslår nu att försöksverksamheten byggs ut och att försök</w:t>
      </w:r>
      <w:r>
        <w:t>s</w:t>
      </w:r>
      <w:r>
        <w:t>perioden förlängs med tre år, till och med första halvåret 2002. Avsikten är bl.a. att kommunala och statliga myndigheter skall kunna samverka även i fråga om enkla arbetsuppgifter som innehåller moment av myndighetsutö</w:t>
      </w:r>
      <w:r>
        <w:t>v</w:t>
      </w:r>
      <w:r>
        <w:t>ning eller som kräver tillgång till personregister. Samarbetet skall liksom hittills regleras närmare i ett särskilt avtal som skall godkännas av regerin</w:t>
      </w:r>
      <w:r>
        <w:t>g</w:t>
      </w:r>
      <w:r>
        <w:t>en. Den nya lag som föreslås för försöksverksamheten innebär på skatteo</w:t>
      </w:r>
      <w:r>
        <w:t>m</w:t>
      </w:r>
      <w:r>
        <w:t>rådet att ett samtjänstavtal skall kunna omfatta myndighetsutövning som består i att bevilja jämkning av preliminär skatt för studerande och att i en</w:t>
      </w:r>
      <w:r>
        <w:t>k</w:t>
      </w:r>
      <w:r>
        <w:t>lare fall medge anstånd med att lämna självdeklaration och registrera flyt</w:t>
      </w:r>
      <w:r>
        <w:t>t</w:t>
      </w:r>
      <w:r>
        <w:t>ningsanmälningar. I samtjänsten skall också kunna ingå andra enkla uppgi</w:t>
      </w:r>
      <w:r>
        <w:t>f</w:t>
      </w:r>
      <w:r>
        <w:t>ter, såsom att utfärda utdrag ur taxeringsregister med uppgifter som inte omfattas av sekretess, taxeringsbevis för fastighet, A-skattsedel och perso</w:t>
      </w:r>
      <w:r>
        <w:t>n</w:t>
      </w:r>
      <w:r>
        <w:t>bevis. Olika rent administrativa frågor skall också kunna ingå.</w:t>
      </w:r>
    </w:p>
    <w:p w:rsidR="008E76FD" w:rsidRDefault="008E76FD">
      <w:pPr>
        <w:pStyle w:val="Normaltindrag"/>
      </w:pPr>
      <w:r>
        <w:t>Tre motioner har väckts med anledning av propositionen: K29 av Anders Björck m.fl. (m), K30 av Inger Davidson m.fl. (kd) och K31 av Gudrun Schyman m.fl. (v). I den förstnämnda motionen yrkas avslag på propositi</w:t>
      </w:r>
      <w:r>
        <w:t>o</w:t>
      </w:r>
      <w:r>
        <w:t>nen i vad avser anstånd med självdeklaration och att riksdagen uttalar sig om angelägenheten av att tillgodose den enskildes integritetsskydd och av att beakta kostnadsaspekterna och ta vara på möjligheten till samordningsvin</w:t>
      </w:r>
      <w:r>
        <w:t>s</w:t>
      </w:r>
      <w:r>
        <w:t>ter. Avslagsyrkandet grundar sig på kravet på en rättssäker handläggning även av anståndsärenden. Motionerna K32 och K31 och de andra motioner som behandlas i detta ärende – K403 av Bengt Harding Olson (fp), K537 av Birgitta Gidblom och Monica Öhman (s) och K603 av Inger Davidson m.fl. (kd) – har en allmän karaktär och berör inte direkt de särskilda frågorna på skatteområdet.</w:t>
      </w:r>
    </w:p>
    <w:p w:rsidR="008E76FD" w:rsidRDefault="008E76FD">
      <w:pPr>
        <w:pStyle w:val="Normaltindrag"/>
      </w:pPr>
      <w:r>
        <w:lastRenderedPageBreak/>
        <w:t>Regeringens förslag syftar till att få fördjupade erfarenheter om hur ett ökat samarbete kan förenkla medborgarnas kontakter med myndigheterna och förbättra myndigheternas service till allmänheten. Syftet med försöks</w:t>
      </w:r>
      <w:r>
        <w:softHyphen/>
        <w:t>verk</w:t>
      </w:r>
      <w:r>
        <w:softHyphen/>
        <w:t>samheten är att samtidigt ta vara på möjligheterna att uppnå administr</w:t>
      </w:r>
      <w:r>
        <w:t>a</w:t>
      </w:r>
      <w:r>
        <w:t>tiva besparingar och andra vinster. Inte minst mot bakgrund av det arbete som pågår för att regionalisera skattemyndigheterna är det enligt utskottets uppfattning angeläget att uppgifter på skatteområdet skall kunna ingå i detta samarbete. Att på detta sätt underlätta för allmänheten kan också innebära en värdefull avlastning för skattemyndigheterna. Utskottet utgår samtidigt från att allmänheten även i fortsättningen skall kunna vända sig direkt till skatt</w:t>
      </w:r>
      <w:r>
        <w:t>e</w:t>
      </w:r>
      <w:r>
        <w:t>myndigheterna i frågor som rör deras område och få den hjälp som behövs.</w:t>
      </w:r>
    </w:p>
    <w:p w:rsidR="008E76FD" w:rsidRDefault="008E76FD">
      <w:pPr>
        <w:pStyle w:val="Normaltindrag"/>
      </w:pPr>
      <w:r>
        <w:t>Utskottet vill framhålla att försöksverksamheten givetvis inte får bedrivas på ett sådant sätt att den enskildes krav på rättssäkerhet och integritet sätts åt sidan. Regeringens förslag innehåller därför särskilda begränsningar som innebär att ansökningar skall kunna bifallas i den aktuella samarbetsformen men att ärenden där ett annat beslut kan komma i fråga skall överlämnas till den ansvariga myndigheten. Förslaget innebär vidare att den ansvariga my</w:t>
      </w:r>
      <w:r>
        <w:t>n</w:t>
      </w:r>
      <w:r>
        <w:t>digheten skall ingå ett detaljerat anställnings- eller uppdragsavtal med den person som skall utföra arbetet, om arbetsuppgifterna innefattar någon form av myndighetsutövning eller kräver tillgång till ett personregister. Avsikten är att integritetsfrågorna skall beaktas bl.a. vid regeringens prövning av sa</w:t>
      </w:r>
      <w:r>
        <w:t>m</w:t>
      </w:r>
      <w:r>
        <w:t>tjänstavtalen och att ett godkännande skall kunna återkallas om integritet</w:t>
      </w:r>
      <w:r>
        <w:t>s</w:t>
      </w:r>
      <w:r>
        <w:t>skyddet äventyras. Vad som uttalas i propositionen i dessa frågor och om kostnadsaspekterna innebär att det kan förväntas att regeringen kontinuerligt kommer att följa utvecklingen av försöksverksamheten och vid behov vidta erforderliga åtgärder, utan särskilda ställningstaganden från riksdagens sida.</w:t>
      </w:r>
    </w:p>
    <w:p w:rsidR="008E76FD" w:rsidRDefault="008E76FD">
      <w:pPr>
        <w:pStyle w:val="Normaltindrag"/>
      </w:pPr>
      <w:r>
        <w:t>Det anförda innebär enligt utskottets uppfattning att syftet med motion K29 är tillgodosett.</w:t>
      </w:r>
    </w:p>
    <w:p w:rsidR="008E76FD" w:rsidRDefault="008E76FD">
      <w:pPr>
        <w:pStyle w:val="Normaltindrag"/>
      </w:pPr>
      <w:r>
        <w:t>Med det anförda tillstyrker utskottet propositionen och avstyrker motion K29.</w:t>
      </w:r>
    </w:p>
    <w:p w:rsidR="008E76FD" w:rsidRDefault="008E76FD">
      <w:pPr>
        <w:pStyle w:val="Normaltindrag"/>
      </w:pPr>
      <w:r>
        <w:t>Övriga motioner föranleder ingen kommentar från utskottets sida.</w:t>
      </w:r>
    </w:p>
    <w:p w:rsidR="008E76FD" w:rsidRDefault="008E76FD">
      <w:pPr>
        <w:pStyle w:val="Stockholm"/>
      </w:pPr>
      <w:r>
        <w:t>Stockholm den 22 april 1997</w:t>
      </w:r>
    </w:p>
    <w:p w:rsidR="008E76FD" w:rsidRDefault="008E76FD">
      <w:pPr>
        <w:pStyle w:val="Vgnar"/>
      </w:pPr>
      <w:r>
        <w:t>På skatteutskottets vägnar</w:t>
      </w:r>
    </w:p>
    <w:p w:rsidR="008E76FD" w:rsidRDefault="008E76FD">
      <w:pPr>
        <w:pStyle w:val="Ordfnamn"/>
      </w:pPr>
      <w:bookmarkStart w:id="1" w:name="Ordförande"/>
      <w:bookmarkEnd w:id="1"/>
      <w:r>
        <w:t xml:space="preserve">Lars Hedfors </w:t>
      </w:r>
    </w:p>
    <w:p w:rsidR="008E76FD" w:rsidRDefault="008E76FD">
      <w:pPr>
        <w:pStyle w:val="Deltagare"/>
        <w:spacing w:before="480"/>
      </w:pPr>
      <w:bookmarkStart w:id="2" w:name="Deltagare"/>
      <w:bookmarkEnd w:id="2"/>
      <w:r>
        <w:t>I beslutet har deltagit: Lars Hedfors (s), Sverre Palm (s), Karl Hagström (s), Karl-Gösta Svenson (m), Lisbeth Staaf-Igelström (s), Rolf Kenneryd (c), Björn Ericson (s), Carl Fredrik Graf (m), Isa Halvarsson (fp), Inger Lundberg (s), Per Rosengren (v), Ulla Wester-Rudin (s), Jan-Olof Franzén (m), Ronny Korsberg (mp), Holger Gustafsson (kd), Lars U Granberg (s) och Carl Erik Hedlund (m).</w:t>
      </w:r>
    </w:p>
    <w:p w:rsidR="008E76FD" w:rsidRDefault="008E76FD">
      <w:pPr>
        <w:pStyle w:val="Tryckort"/>
      </w:pPr>
    </w:p>
    <w:p w:rsidR="008E76FD" w:rsidRDefault="008E76FD">
      <w:pPr>
        <w:pStyle w:val="Tryckort"/>
        <w:spacing w:before="240"/>
      </w:pPr>
      <w:r>
        <w:t>Gotab, Stockholm  1997</w:t>
      </w:r>
    </w:p>
    <w:sectPr w:rsidR="008E76F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6FD" w:rsidRDefault="008E76FD">
      <w:pPr>
        <w:spacing w:before="0" w:line="240" w:lineRule="auto"/>
      </w:pPr>
      <w:r>
        <w:separator/>
      </w:r>
    </w:p>
  </w:endnote>
  <w:endnote w:type="continuationSeparator" w:id="0">
    <w:p w:rsidR="008E76FD" w:rsidRDefault="008E76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6FD" w:rsidRDefault="008E76F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6FD" w:rsidRDefault="008E76F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6FD" w:rsidRDefault="008E76F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6FD" w:rsidRDefault="008E76FD">
      <w:pPr>
        <w:spacing w:before="0" w:line="240" w:lineRule="auto"/>
      </w:pPr>
      <w:r>
        <w:separator/>
      </w:r>
    </w:p>
  </w:footnote>
  <w:footnote w:type="continuationSeparator" w:id="0">
    <w:p w:rsidR="008E76FD" w:rsidRDefault="008E76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6FD" w:rsidRDefault="008E76F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1996/97:SkU6y</w:t>
    </w:r>
    <w:r>
      <w:fldChar w:fldCharType="end"/>
    </w:r>
  </w:p>
  <w:p w:rsidR="008E76FD" w:rsidRDefault="008E76F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E76FD" w:rsidRDefault="008E76FD">
    <w:pPr>
      <w:pStyle w:val="SidhuvudV"/>
      <w:framePr w:w="2302" w:h="1928" w:hRule="exact" w:wrap="notBeside"/>
    </w:pPr>
    <w:r>
      <w:fldChar w:fldCharType="end"/>
    </w:r>
  </w:p>
  <w:p w:rsidR="008E76FD" w:rsidRDefault="008E76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6FD" w:rsidRDefault="008E76FD">
    <w:pPr>
      <w:pStyle w:val="SidhuvudKant"/>
      <w:framePr w:hSpace="284" w:wrap="around"/>
    </w:pPr>
    <w:r>
      <w:rPr>
        <w:sz w:val="21"/>
      </w:rPr>
      <w:t>1996/97:SkU6y</w:t>
    </w:r>
  </w:p>
  <w:p w:rsidR="008E76FD" w:rsidRDefault="008E76FD">
    <w:pPr>
      <w:pStyle w:val="SidhuvudKant"/>
      <w:framePr w:hSpace="284" w:wrap="around"/>
      <w:rPr>
        <w:vanish/>
      </w:rPr>
    </w:pPr>
    <w:r>
      <w:rPr>
        <w:vanish/>
      </w:rPr>
      <w:t>&gt;B</w:t>
    </w:r>
  </w:p>
  <w:p w:rsidR="008E76FD" w:rsidRDefault="008E76F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6FD" w:rsidRDefault="008E76F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65" r:id="rId2"/>
      </w:object>
    </w:r>
  </w:p>
  <w:p w:rsidR="008E76FD" w:rsidRDefault="008E76FD">
    <w:pPr>
      <w:pStyle w:val="SidhuvudFVapen"/>
      <w:framePr w:wrap="notBeside" w:x="7253" w:y="188"/>
      <w:spacing w:line="230" w:lineRule="auto"/>
      <w:rPr>
        <w:sz w:val="24"/>
      </w:rPr>
    </w:pPr>
    <w:bookmarkStart w:id="3" w:name="BnrVapen"/>
    <w:r>
      <w:rPr>
        <w:sz w:val="24"/>
      </w:rPr>
      <w:t>1996/97</w:t>
    </w:r>
  </w:p>
  <w:p w:rsidR="008E76FD" w:rsidRDefault="008E76FD">
    <w:pPr>
      <w:pStyle w:val="SidhuvudFVapen"/>
      <w:framePr w:wrap="notBeside" w:x="7253" w:y="188"/>
      <w:spacing w:line="230" w:lineRule="auto"/>
      <w:rPr>
        <w:sz w:val="24"/>
      </w:rPr>
    </w:pPr>
    <w:r>
      <w:rPr>
        <w:sz w:val="24"/>
      </w:rPr>
      <w:t xml:space="preserve">SkU6y </w:t>
    </w:r>
    <w:bookmarkEnd w:id="3"/>
    <w:r w:rsidR="00E7494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276532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FDB3C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E76FD" w:rsidRDefault="008E76FD">
    <w:pPr>
      <w:pStyle w:val="SidhuvudFText"/>
      <w:framePr w:w="5727" w:h="2722" w:hRule="exact" w:hSpace="0" w:wrap="notBeside" w:hAnchor="page" w:x="1135" w:y="568"/>
      <w:spacing w:line="400" w:lineRule="exact"/>
      <w:ind w:right="629"/>
      <w:rPr>
        <w:sz w:val="36"/>
      </w:rPr>
    </w:pPr>
    <w:bookmarkStart w:id="4" w:name="DokumentTyp"/>
    <w:r>
      <w:rPr>
        <w:sz w:val="36"/>
      </w:rPr>
      <w:t xml:space="preserve">Skatteutskottets yttrande </w:t>
    </w:r>
    <w:bookmarkEnd w:id="4"/>
  </w:p>
  <w:p w:rsidR="008E76FD" w:rsidRDefault="008E76FD">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1996/97:SkU6y </w:t>
    </w:r>
    <w:bookmarkEnd w:id="5"/>
    <w:r>
      <w:rPr>
        <w:sz w:val="36"/>
      </w:rPr>
      <w:t xml:space="preserve">       </w:t>
    </w:r>
    <w:bookmarkStart w:id="6" w:name="Utkast"/>
    <w:r>
      <w:rPr>
        <w:sz w:val="36"/>
      </w:rPr>
      <w:t xml:space="preserve"> </w:t>
    </w:r>
  </w:p>
  <w:p w:rsidR="008E76FD" w:rsidRDefault="008E76FD">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Medborgarkontor</w:t>
    </w:r>
    <w:r>
      <w:rPr>
        <w:sz w:val="26"/>
      </w:rPr>
      <w:t xml:space="preserve"> </w:t>
    </w:r>
    <w:bookmarkEnd w:id="7"/>
    <w:r>
      <w:rPr>
        <w:sz w:val="26"/>
      </w:rPr>
      <w:t xml:space="preserve"> </w:t>
    </w:r>
  </w:p>
  <w:p w:rsidR="008E76FD" w:rsidRDefault="008E76FD">
    <w:pPr>
      <w:pStyle w:val="SidhuvudFText"/>
      <w:framePr w:w="5727" w:h="2722" w:hRule="exact" w:hSpace="0" w:wrap="notBeside" w:hAnchor="page" w:x="1135" w:y="568"/>
      <w:spacing w:line="460" w:lineRule="exact"/>
      <w:ind w:right="629"/>
      <w:rPr>
        <w:sz w:val="36"/>
      </w:rPr>
    </w:pPr>
  </w:p>
  <w:p w:rsidR="008E76FD" w:rsidRDefault="008E76FD">
    <w:pPr>
      <w:pStyle w:val="SidhuvudFText"/>
      <w:framePr w:w="5727" w:h="2722" w:hRule="exact" w:hSpace="0" w:wrap="notBeside" w:hAnchor="page" w:x="1135" w:y="568"/>
      <w:spacing w:before="40" w:after="900" w:line="300" w:lineRule="exact"/>
      <w:ind w:right="629"/>
      <w:rPr>
        <w:sz w:val="26"/>
      </w:rPr>
    </w:pPr>
    <w:r>
      <w:rPr>
        <w:sz w:val="26"/>
      </w:rPr>
      <w:t xml:space="preserve"> </w:t>
    </w:r>
  </w:p>
  <w:p w:rsidR="008E76FD" w:rsidRDefault="008E76F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6y"/>
    <w:docVar w:name="Flyttförsök" w:val="JA"/>
    <w:docVar w:name="HelaNamnet" w:val="1996/97:SkU6y"/>
    <w:docVar w:name="NR" w:val="6y"/>
    <w:docVar w:name="RUBRIK" w:val="Medborgarkontor"/>
    <w:docVar w:name="SkapVERSION" w:val="V7.21 970204"/>
    <w:docVar w:name="SkapÅr" w:val="9697"/>
    <w:docVar w:name="Typer" w:val="S"/>
    <w:docVar w:name="USK" w:val="SkU"/>
    <w:docVar w:name="USKKORT" w:val="SkU"/>
    <w:docVar w:name="USKNAMN" w:val="Skatteutskottets"/>
    <w:docVar w:name="USKNAMNG" w:val="skatteutskottets"/>
    <w:docVar w:name="ÅR" w:val="1996/97"/>
  </w:docVars>
  <w:rsids>
    <w:rsidRoot w:val="00A23463"/>
    <w:rsid w:val="008E76FD"/>
    <w:rsid w:val="00A23463"/>
    <w:rsid w:val="00E749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DEC8C5-69A8-4B77-9B97-C97FBFB8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719</Words>
  <Characters>4476</Characters>
  <Application>Microsoft Office Word</Application>
  <DocSecurity>4</DocSecurity>
  <Lines>78</Lines>
  <Paragraphs>17</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6y</dc:title>
  <dc:subject>Skatteutskottets betänkande nr 6y</dc:subject>
  <dc:creator>Riksdagen</dc:creator>
  <cp:keywords>Riksdagen</cp:keywords>
  <cp:lastModifiedBy>Lars Brink</cp:lastModifiedBy>
  <cp:revision>2</cp:revision>
  <cp:lastPrinted>1997-04-23T11:14:00Z</cp:lastPrinted>
  <dcterms:created xsi:type="dcterms:W3CDTF">2025-12-15T18:44:00Z</dcterms:created>
  <dcterms:modified xsi:type="dcterms:W3CDTF">2025-12-15T18:44:00Z</dcterms:modified>
</cp:coreProperties>
</file>