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BA1F74">
        <w:tblPrEx>
          <w:tblCellMar>
            <w:top w:w="0" w:type="dxa"/>
            <w:bottom w:w="0" w:type="dxa"/>
          </w:tblCellMar>
        </w:tblPrEx>
        <w:tc>
          <w:tcPr>
            <w:tcW w:w="2268" w:type="dxa"/>
          </w:tcPr>
          <w:p w:rsidR="00114B22" w:rsidRPr="00BA1F74" w:rsidRDefault="00114B22">
            <w:pPr>
              <w:framePr w:w="4400" w:h="1644" w:wrap="notBeside" w:vAnchor="page" w:hAnchor="page" w:x="6573" w:y="721"/>
              <w:rPr>
                <w:rFonts w:ascii="TradeGothic" w:hAnsi="TradeGothic"/>
                <w:i/>
                <w:sz w:val="18"/>
              </w:rPr>
            </w:pPr>
          </w:p>
        </w:tc>
        <w:tc>
          <w:tcPr>
            <w:tcW w:w="2347" w:type="dxa"/>
            <w:gridSpan w:val="2"/>
          </w:tcPr>
          <w:p w:rsidR="00114B22" w:rsidRPr="00BA1F74" w:rsidRDefault="00114B22">
            <w:pPr>
              <w:framePr w:w="4400" w:h="1644" w:wrap="notBeside" w:vAnchor="page" w:hAnchor="page" w:x="6573" w:y="721"/>
              <w:rPr>
                <w:rFonts w:ascii="TradeGothic" w:hAnsi="TradeGothic"/>
                <w:i/>
                <w:sz w:val="18"/>
              </w:rPr>
            </w:pPr>
          </w:p>
        </w:tc>
      </w:tr>
      <w:tr w:rsidR="00000000" w:rsidRPr="00BA1F74">
        <w:tblPrEx>
          <w:tblCellMar>
            <w:top w:w="0" w:type="dxa"/>
            <w:bottom w:w="0" w:type="dxa"/>
          </w:tblCellMar>
        </w:tblPrEx>
        <w:trPr>
          <w:cantSplit/>
        </w:trPr>
        <w:tc>
          <w:tcPr>
            <w:tcW w:w="4615" w:type="dxa"/>
            <w:gridSpan w:val="3"/>
          </w:tcPr>
          <w:p w:rsidR="00114B22" w:rsidRPr="00BA1F74" w:rsidRDefault="00114B22">
            <w:pPr>
              <w:framePr w:w="4400" w:h="1644" w:wrap="notBeside" w:vAnchor="page" w:hAnchor="page" w:x="6573" w:y="721"/>
              <w:rPr>
                <w:rFonts w:ascii="TradeGothic" w:hAnsi="TradeGothic"/>
                <w:b/>
                <w:sz w:val="22"/>
              </w:rPr>
            </w:pPr>
            <w:r w:rsidRPr="00BA1F74">
              <w:rPr>
                <w:rFonts w:ascii="TradeGothic" w:hAnsi="TradeGothic"/>
                <w:b/>
                <w:sz w:val="22"/>
              </w:rPr>
              <w:t>Rådspromemoria</w:t>
            </w:r>
          </w:p>
        </w:tc>
      </w:tr>
      <w:tr w:rsidR="00000000" w:rsidRPr="00BA1F74">
        <w:tblPrEx>
          <w:tblCellMar>
            <w:top w:w="0" w:type="dxa"/>
            <w:bottom w:w="0" w:type="dxa"/>
          </w:tblCellMar>
        </w:tblPrEx>
        <w:tc>
          <w:tcPr>
            <w:tcW w:w="3402" w:type="dxa"/>
            <w:gridSpan w:val="2"/>
          </w:tcPr>
          <w:p w:rsidR="00114B22" w:rsidRPr="00BA1F74" w:rsidRDefault="00114B22">
            <w:pPr>
              <w:framePr w:w="4400" w:h="1644" w:wrap="notBeside" w:vAnchor="page" w:hAnchor="page" w:x="6573" w:y="721"/>
            </w:pPr>
          </w:p>
        </w:tc>
        <w:tc>
          <w:tcPr>
            <w:tcW w:w="1213" w:type="dxa"/>
          </w:tcPr>
          <w:p w:rsidR="00114B22" w:rsidRPr="00BA1F74" w:rsidRDefault="00114B22">
            <w:pPr>
              <w:framePr w:w="4400" w:h="1644" w:wrap="notBeside" w:vAnchor="page" w:hAnchor="page" w:x="6573" w:y="721"/>
            </w:pPr>
          </w:p>
        </w:tc>
      </w:tr>
      <w:tr w:rsidR="00000000" w:rsidRPr="00BA1F74">
        <w:tblPrEx>
          <w:tblCellMar>
            <w:top w:w="0" w:type="dxa"/>
            <w:bottom w:w="0" w:type="dxa"/>
          </w:tblCellMar>
        </w:tblPrEx>
        <w:tc>
          <w:tcPr>
            <w:tcW w:w="2268" w:type="dxa"/>
          </w:tcPr>
          <w:p w:rsidR="00114B22" w:rsidRPr="00BA1F74" w:rsidRDefault="00114B22">
            <w:pPr>
              <w:framePr w:w="4400" w:h="1644" w:wrap="notBeside" w:vAnchor="page" w:hAnchor="page" w:x="6573" w:y="721"/>
            </w:pPr>
            <w:r w:rsidRPr="00BA1F74">
              <w:t>2006-05-10</w:t>
            </w:r>
          </w:p>
        </w:tc>
        <w:tc>
          <w:tcPr>
            <w:tcW w:w="2347" w:type="dxa"/>
            <w:gridSpan w:val="2"/>
          </w:tcPr>
          <w:p w:rsidR="00114B22" w:rsidRPr="00BA1F74" w:rsidRDefault="00114B22">
            <w:pPr>
              <w:framePr w:w="4400" w:h="1644" w:wrap="notBeside" w:vAnchor="page" w:hAnchor="page" w:x="6573" w:y="721"/>
            </w:pPr>
          </w:p>
        </w:tc>
      </w:tr>
      <w:tr w:rsidR="00000000" w:rsidRPr="00BA1F74">
        <w:tblPrEx>
          <w:tblCellMar>
            <w:top w:w="0" w:type="dxa"/>
            <w:bottom w:w="0" w:type="dxa"/>
          </w:tblCellMar>
        </w:tblPrEx>
        <w:tc>
          <w:tcPr>
            <w:tcW w:w="2268" w:type="dxa"/>
          </w:tcPr>
          <w:p w:rsidR="00114B22" w:rsidRPr="00BA1F74" w:rsidRDefault="00114B22">
            <w:pPr>
              <w:framePr w:w="4400" w:h="1644" w:wrap="notBeside" w:vAnchor="page" w:hAnchor="page" w:x="6573" w:y="721"/>
            </w:pPr>
          </w:p>
        </w:tc>
        <w:tc>
          <w:tcPr>
            <w:tcW w:w="2347" w:type="dxa"/>
            <w:gridSpan w:val="2"/>
          </w:tcPr>
          <w:p w:rsidR="00114B22" w:rsidRPr="00BA1F74" w:rsidRDefault="00114B2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BA1F74">
        <w:tblPrEx>
          <w:tblCellMar>
            <w:top w:w="0" w:type="dxa"/>
            <w:bottom w:w="0" w:type="dxa"/>
          </w:tblCellMar>
        </w:tblPrEx>
        <w:trPr>
          <w:trHeight w:val="284"/>
        </w:trPr>
        <w:tc>
          <w:tcPr>
            <w:tcW w:w="4911" w:type="dxa"/>
          </w:tcPr>
          <w:p w:rsidR="00114B22" w:rsidRPr="00BA1F74" w:rsidRDefault="00114B22">
            <w:pPr>
              <w:pStyle w:val="Avsndare"/>
              <w:framePr w:h="2483" w:wrap="notBeside" w:x="1504"/>
              <w:rPr>
                <w:b/>
                <w:i w:val="0"/>
                <w:sz w:val="22"/>
              </w:rPr>
            </w:pPr>
            <w:r w:rsidRPr="00BA1F74">
              <w:rPr>
                <w:b/>
                <w:i w:val="0"/>
                <w:sz w:val="22"/>
              </w:rPr>
              <w:t>Miljö- och samhällsbyggnadsdepartementet</w:t>
            </w:r>
          </w:p>
        </w:tc>
      </w:tr>
      <w:tr w:rsidR="00000000" w:rsidRPr="00BA1F74">
        <w:tblPrEx>
          <w:tblCellMar>
            <w:top w:w="0" w:type="dxa"/>
            <w:bottom w:w="0" w:type="dxa"/>
          </w:tblCellMar>
        </w:tblPrEx>
        <w:trPr>
          <w:trHeight w:val="284"/>
        </w:trPr>
        <w:tc>
          <w:tcPr>
            <w:tcW w:w="4911" w:type="dxa"/>
          </w:tcPr>
          <w:p w:rsidR="00114B22" w:rsidRPr="00BA1F74" w:rsidRDefault="00114B22">
            <w:pPr>
              <w:pStyle w:val="Avsndare"/>
              <w:framePr w:h="2483" w:wrap="notBeside" w:x="1504"/>
              <w:rPr>
                <w:bCs/>
                <w:iCs/>
              </w:rPr>
            </w:pPr>
          </w:p>
        </w:tc>
      </w:tr>
      <w:tr w:rsidR="00000000" w:rsidRPr="00BA1F74">
        <w:tblPrEx>
          <w:tblCellMar>
            <w:top w:w="0" w:type="dxa"/>
            <w:bottom w:w="0" w:type="dxa"/>
          </w:tblCellMar>
        </w:tblPrEx>
        <w:trPr>
          <w:trHeight w:val="284"/>
        </w:trPr>
        <w:tc>
          <w:tcPr>
            <w:tcW w:w="4911" w:type="dxa"/>
          </w:tcPr>
          <w:p w:rsidR="00114B22" w:rsidRPr="00BA1F74" w:rsidRDefault="00114B22">
            <w:pPr>
              <w:pStyle w:val="Avsndare"/>
              <w:framePr w:h="2483" w:wrap="notBeside" w:x="1504"/>
              <w:rPr>
                <w:bCs/>
                <w:iCs/>
              </w:rPr>
            </w:pPr>
            <w:r w:rsidRPr="00BA1F74">
              <w:rPr>
                <w:bCs/>
                <w:iCs/>
              </w:rPr>
              <w:t>Enheten för kretslopp och kemikalier</w:t>
            </w:r>
          </w:p>
        </w:tc>
      </w:tr>
      <w:tr w:rsidR="00000000" w:rsidRPr="00BA1F74">
        <w:tblPrEx>
          <w:tblCellMar>
            <w:top w:w="0" w:type="dxa"/>
            <w:bottom w:w="0" w:type="dxa"/>
          </w:tblCellMar>
        </w:tblPrEx>
        <w:trPr>
          <w:trHeight w:val="284"/>
        </w:trPr>
        <w:tc>
          <w:tcPr>
            <w:tcW w:w="4911" w:type="dxa"/>
          </w:tcPr>
          <w:p w:rsidR="00114B22" w:rsidRPr="00BA1F74" w:rsidRDefault="00114B22">
            <w:pPr>
              <w:pStyle w:val="Avsndare"/>
              <w:framePr w:h="2483" w:wrap="notBeside" w:x="1504"/>
              <w:rPr>
                <w:bCs/>
                <w:iCs/>
              </w:rPr>
            </w:pPr>
          </w:p>
        </w:tc>
      </w:tr>
      <w:tr w:rsidR="00000000" w:rsidRPr="00BA1F74">
        <w:tblPrEx>
          <w:tblCellMar>
            <w:top w:w="0" w:type="dxa"/>
            <w:bottom w:w="0" w:type="dxa"/>
          </w:tblCellMar>
        </w:tblPrEx>
        <w:trPr>
          <w:trHeight w:val="284"/>
        </w:trPr>
        <w:tc>
          <w:tcPr>
            <w:tcW w:w="4911" w:type="dxa"/>
          </w:tcPr>
          <w:p w:rsidR="00114B22" w:rsidRPr="00BA1F74" w:rsidRDefault="00114B22">
            <w:pPr>
              <w:pStyle w:val="Avsndare"/>
              <w:framePr w:h="2483" w:wrap="notBeside" w:x="1504"/>
              <w:rPr>
                <w:bCs/>
                <w:iCs/>
              </w:rPr>
            </w:pPr>
          </w:p>
        </w:tc>
      </w:tr>
      <w:tr w:rsidR="00000000" w:rsidRPr="00BA1F74">
        <w:tblPrEx>
          <w:tblCellMar>
            <w:top w:w="0" w:type="dxa"/>
            <w:bottom w:w="0" w:type="dxa"/>
          </w:tblCellMar>
        </w:tblPrEx>
        <w:trPr>
          <w:trHeight w:val="284"/>
        </w:trPr>
        <w:tc>
          <w:tcPr>
            <w:tcW w:w="4911" w:type="dxa"/>
          </w:tcPr>
          <w:p w:rsidR="00114B22" w:rsidRPr="00BA1F74" w:rsidRDefault="00114B22">
            <w:pPr>
              <w:pStyle w:val="Avsndare"/>
              <w:framePr w:h="2483" w:wrap="notBeside" w:x="1504"/>
              <w:rPr>
                <w:bCs/>
                <w:iCs/>
              </w:rPr>
            </w:pPr>
          </w:p>
        </w:tc>
      </w:tr>
      <w:tr w:rsidR="00000000" w:rsidRPr="00BA1F74">
        <w:tblPrEx>
          <w:tblCellMar>
            <w:top w:w="0" w:type="dxa"/>
            <w:bottom w:w="0" w:type="dxa"/>
          </w:tblCellMar>
        </w:tblPrEx>
        <w:trPr>
          <w:trHeight w:val="284"/>
        </w:trPr>
        <w:tc>
          <w:tcPr>
            <w:tcW w:w="4911" w:type="dxa"/>
          </w:tcPr>
          <w:p w:rsidR="00114B22" w:rsidRPr="00BA1F74" w:rsidRDefault="00114B22">
            <w:pPr>
              <w:pStyle w:val="Avsndare"/>
              <w:framePr w:h="2483" w:wrap="notBeside" w:x="1504"/>
              <w:rPr>
                <w:bCs/>
                <w:iCs/>
              </w:rPr>
            </w:pPr>
          </w:p>
        </w:tc>
      </w:tr>
      <w:tr w:rsidR="00000000" w:rsidRPr="00BA1F74">
        <w:tblPrEx>
          <w:tblCellMar>
            <w:top w:w="0" w:type="dxa"/>
            <w:bottom w:w="0" w:type="dxa"/>
          </w:tblCellMar>
        </w:tblPrEx>
        <w:trPr>
          <w:trHeight w:val="284"/>
        </w:trPr>
        <w:tc>
          <w:tcPr>
            <w:tcW w:w="4911" w:type="dxa"/>
          </w:tcPr>
          <w:p w:rsidR="00114B22" w:rsidRPr="00BA1F74" w:rsidRDefault="00114B22">
            <w:pPr>
              <w:pStyle w:val="Avsndare"/>
              <w:framePr w:h="2483" w:wrap="notBeside" w:x="1504"/>
              <w:rPr>
                <w:bCs/>
                <w:iCs/>
              </w:rPr>
            </w:pPr>
          </w:p>
        </w:tc>
      </w:tr>
      <w:tr w:rsidR="00000000" w:rsidRPr="00BA1F74">
        <w:tblPrEx>
          <w:tblCellMar>
            <w:top w:w="0" w:type="dxa"/>
            <w:bottom w:w="0" w:type="dxa"/>
          </w:tblCellMar>
        </w:tblPrEx>
        <w:trPr>
          <w:trHeight w:val="284"/>
        </w:trPr>
        <w:tc>
          <w:tcPr>
            <w:tcW w:w="4911" w:type="dxa"/>
          </w:tcPr>
          <w:p w:rsidR="00114B22" w:rsidRPr="00BA1F74" w:rsidRDefault="00114B22">
            <w:pPr>
              <w:pStyle w:val="Avsndare"/>
              <w:framePr w:h="2483" w:wrap="notBeside" w:x="1504"/>
              <w:rPr>
                <w:bCs/>
                <w:iCs/>
              </w:rPr>
            </w:pPr>
          </w:p>
        </w:tc>
      </w:tr>
    </w:tbl>
    <w:p w:rsidR="00114B22" w:rsidRPr="00BA1F74" w:rsidRDefault="00114B22">
      <w:pPr>
        <w:framePr w:w="4400" w:h="2523" w:wrap="notBeside" w:vAnchor="page" w:hAnchor="page" w:x="6453" w:y="2445"/>
        <w:ind w:left="142"/>
        <w:rPr>
          <w:b/>
        </w:rPr>
      </w:pPr>
    </w:p>
    <w:p w:rsidR="00114B22" w:rsidRPr="00BA1F74" w:rsidRDefault="00114B22">
      <w:pPr>
        <w:pStyle w:val="RKrubrik"/>
        <w:pBdr>
          <w:bottom w:val="single" w:sz="6" w:space="1" w:color="auto"/>
        </w:pBdr>
      </w:pPr>
      <w:bookmarkStart w:id="0" w:name="bRubrik"/>
      <w:bookmarkEnd w:id="0"/>
      <w:r w:rsidRPr="00BA1F74">
        <w:t>Rådets möte (Konkurrenskraft) den 29 – 30 maj, 2006</w:t>
      </w:r>
    </w:p>
    <w:p w:rsidR="00114B22" w:rsidRPr="00BA1F74" w:rsidRDefault="00114B22">
      <w:pPr>
        <w:pStyle w:val="RKnormal"/>
      </w:pPr>
    </w:p>
    <w:p w:rsidR="00114B22" w:rsidRPr="00BA1F74" w:rsidRDefault="00114B22">
      <w:pPr>
        <w:pStyle w:val="RKnormal"/>
      </w:pPr>
      <w:r w:rsidRPr="00BA1F74">
        <w:t xml:space="preserve">Dagordningspunkt 10 (b) </w:t>
      </w:r>
    </w:p>
    <w:p w:rsidR="00114B22" w:rsidRPr="00BA1F74" w:rsidRDefault="00114B22">
      <w:pPr>
        <w:ind w:left="567" w:hanging="567"/>
        <w:outlineLvl w:val="0"/>
      </w:pPr>
    </w:p>
    <w:p w:rsidR="00114B22" w:rsidRPr="00BA1F74" w:rsidRDefault="00114B22">
      <w:pPr>
        <w:ind w:left="567" w:hanging="567"/>
        <w:outlineLvl w:val="0"/>
      </w:pPr>
      <w:r w:rsidRPr="00BA1F74">
        <w:t>Rubrik: Conference on "REACH at the second reading", Vienna 30-31 March 2006</w:t>
      </w:r>
    </w:p>
    <w:p w:rsidR="00114B22" w:rsidRPr="00BA1F74" w:rsidRDefault="00114B22">
      <w:pPr>
        <w:ind w:left="1701" w:hanging="567"/>
        <w:rPr>
          <w:i/>
        </w:rPr>
      </w:pPr>
      <w:r w:rsidRPr="00BA1F74">
        <w:rPr>
          <w:i/>
        </w:rPr>
        <w:t>–</w:t>
      </w:r>
      <w:r w:rsidRPr="00BA1F74">
        <w:rPr>
          <w:i/>
        </w:rPr>
        <w:tab/>
        <w:t>Information from the Presidency</w:t>
      </w:r>
    </w:p>
    <w:p w:rsidR="00114B22" w:rsidRPr="00BA1F74" w:rsidRDefault="00114B22">
      <w:pPr>
        <w:pStyle w:val="RKnormal"/>
      </w:pPr>
      <w:r w:rsidRPr="00BA1F74">
        <w:t>Dokument: -</w:t>
      </w:r>
    </w:p>
    <w:p w:rsidR="00114B22" w:rsidRPr="00BA1F74" w:rsidRDefault="00114B22">
      <w:pPr>
        <w:pStyle w:val="RKnormal"/>
      </w:pPr>
    </w:p>
    <w:p w:rsidR="00114B22" w:rsidRPr="00BA1F74" w:rsidRDefault="00114B22">
      <w:pPr>
        <w:spacing w:line="240" w:lineRule="auto"/>
      </w:pPr>
      <w:r w:rsidRPr="00BA1F74">
        <w:t xml:space="preserve">Tidigare dokument: </w:t>
      </w:r>
    </w:p>
    <w:p w:rsidR="00114B22" w:rsidRPr="00BA1F74" w:rsidRDefault="00114B22">
      <w:pPr>
        <w:spacing w:line="240" w:lineRule="auto"/>
        <w:rPr>
          <w:snapToGrid w:val="0"/>
          <w:color w:val="000000"/>
        </w:rPr>
      </w:pPr>
      <w:r w:rsidRPr="00BA1F74">
        <w:rPr>
          <w:snapToGrid w:val="0"/>
          <w:color w:val="000000"/>
        </w:rPr>
        <w:t>15409/03 COMPET 75 ENV 651 CHIMIE 3 CODEC 1692</w:t>
      </w:r>
    </w:p>
    <w:p w:rsidR="00114B22" w:rsidRPr="00BA1F74" w:rsidRDefault="00114B22">
      <w:pPr>
        <w:spacing w:line="240" w:lineRule="auto"/>
        <w:ind w:left="2268"/>
        <w:rPr>
          <w:snapToGrid w:val="0"/>
          <w:color w:val="000000"/>
        </w:rPr>
      </w:pPr>
      <w:r w:rsidRPr="00BA1F74">
        <w:rPr>
          <w:snapToGrid w:val="0"/>
          <w:color w:val="000000"/>
        </w:rPr>
        <w:t>+ ADD 1</w:t>
      </w:r>
    </w:p>
    <w:p w:rsidR="00114B22" w:rsidRPr="00BA1F74" w:rsidRDefault="00114B22">
      <w:pPr>
        <w:spacing w:line="240" w:lineRule="auto"/>
        <w:ind w:left="2268"/>
        <w:rPr>
          <w:snapToGrid w:val="0"/>
          <w:color w:val="000000"/>
        </w:rPr>
      </w:pPr>
      <w:r w:rsidRPr="00BA1F74">
        <w:rPr>
          <w:snapToGrid w:val="0"/>
          <w:color w:val="000000"/>
        </w:rPr>
        <w:t>+ ADD 2</w:t>
      </w:r>
    </w:p>
    <w:p w:rsidR="00114B22" w:rsidRPr="00BA1F74" w:rsidRDefault="00114B22">
      <w:pPr>
        <w:spacing w:line="240" w:lineRule="auto"/>
        <w:ind w:left="2268"/>
        <w:rPr>
          <w:snapToGrid w:val="0"/>
          <w:color w:val="000000"/>
        </w:rPr>
      </w:pPr>
      <w:r w:rsidRPr="00BA1F74">
        <w:rPr>
          <w:snapToGrid w:val="0"/>
          <w:color w:val="000000"/>
        </w:rPr>
        <w:t>+ ADD 3</w:t>
      </w:r>
    </w:p>
    <w:p w:rsidR="00114B22" w:rsidRPr="00BA1F74" w:rsidRDefault="00114B22">
      <w:pPr>
        <w:spacing w:line="240" w:lineRule="auto"/>
        <w:ind w:left="2268"/>
        <w:rPr>
          <w:snapToGrid w:val="0"/>
          <w:color w:val="000000"/>
        </w:rPr>
      </w:pPr>
      <w:r w:rsidRPr="00BA1F74">
        <w:rPr>
          <w:snapToGrid w:val="0"/>
          <w:color w:val="000000"/>
        </w:rPr>
        <w:t>+ ADD 4</w:t>
      </w:r>
    </w:p>
    <w:p w:rsidR="00114B22" w:rsidRPr="00BA1F74" w:rsidRDefault="00114B22">
      <w:pPr>
        <w:spacing w:line="240" w:lineRule="auto"/>
        <w:ind w:left="2268"/>
        <w:rPr>
          <w:snapToGrid w:val="0"/>
          <w:color w:val="000000"/>
        </w:rPr>
      </w:pPr>
      <w:r w:rsidRPr="00BA1F74">
        <w:rPr>
          <w:snapToGrid w:val="0"/>
          <w:color w:val="000000"/>
        </w:rPr>
        <w:t>+ ADD 5</w:t>
      </w:r>
    </w:p>
    <w:p w:rsidR="00114B22" w:rsidRPr="00BA1F74" w:rsidRDefault="00114B22">
      <w:pPr>
        <w:pStyle w:val="RKnormal"/>
        <w:rPr>
          <w:snapToGrid w:val="0"/>
          <w:color w:val="000000"/>
        </w:rPr>
      </w:pPr>
      <w:r w:rsidRPr="00BA1F74">
        <w:rPr>
          <w:snapToGrid w:val="0"/>
          <w:color w:val="000000"/>
        </w:rPr>
        <w:t xml:space="preserve">                                      + ADD 6</w:t>
      </w:r>
    </w:p>
    <w:p w:rsidR="00114B22" w:rsidRPr="00BA1F74" w:rsidRDefault="00114B22">
      <w:pPr>
        <w:pStyle w:val="RKnormal"/>
      </w:pPr>
    </w:p>
    <w:p w:rsidR="00114B22" w:rsidRPr="00BA1F74" w:rsidRDefault="00114B22">
      <w:pPr>
        <w:pStyle w:val="RKnormal"/>
        <w:rPr>
          <w:color w:val="000000"/>
          <w:szCs w:val="19"/>
        </w:rPr>
      </w:pPr>
      <w:r w:rsidRPr="00BA1F74">
        <w:t xml:space="preserve">Fakta-PM M-dep </w:t>
      </w:r>
      <w:r w:rsidRPr="00BA1F74">
        <w:rPr>
          <w:color w:val="000000"/>
          <w:szCs w:val="19"/>
        </w:rPr>
        <w:t>2003/04:FPM110</w:t>
      </w:r>
    </w:p>
    <w:p w:rsidR="00114B22" w:rsidRPr="00BA1F74" w:rsidRDefault="00114B22">
      <w:pPr>
        <w:pStyle w:val="RKnormal"/>
      </w:pPr>
    </w:p>
    <w:p w:rsidR="00114B22" w:rsidRPr="00BA1F74" w:rsidRDefault="00114B22">
      <w:pPr>
        <w:pStyle w:val="RKnormal"/>
      </w:pPr>
      <w:r w:rsidRPr="00BA1F74">
        <w:t>Tidigare behandlad vid samråd med EU-nämnden: 9 december 2005</w:t>
      </w:r>
    </w:p>
    <w:p w:rsidR="00114B22" w:rsidRPr="00BA1F74" w:rsidRDefault="00114B22">
      <w:pPr>
        <w:pStyle w:val="RKrubrik"/>
      </w:pPr>
      <w:r w:rsidRPr="00BA1F74">
        <w:t>Bakgrund</w:t>
      </w:r>
    </w:p>
    <w:p w:rsidR="00114B22" w:rsidRPr="00BA1F74" w:rsidRDefault="00114B22">
      <w:pPr>
        <w:pStyle w:val="RKnormal"/>
      </w:pPr>
      <w:r w:rsidRPr="00BA1F74">
        <w:t xml:space="preserve">Kemikalieförordningen REACH har sedan 2003 förhandlats i rådet. Under hösten 2005 gick förhandlingarna in i en slutlig fas och en politisk överenskommelse kunde nås vid konkurrenskraftsrådet den 13 december 2005. </w:t>
      </w:r>
    </w:p>
    <w:p w:rsidR="00114B22" w:rsidRPr="00BA1F74" w:rsidRDefault="00114B22">
      <w:pPr>
        <w:pStyle w:val="RKnormal"/>
      </w:pPr>
    </w:p>
    <w:p w:rsidR="00114B22" w:rsidRPr="00BA1F74" w:rsidRDefault="00114B22">
      <w:pPr>
        <w:pStyle w:val="RKnormal"/>
      </w:pPr>
      <w:r w:rsidRPr="00BA1F74">
        <w:t xml:space="preserve">Europaparlamentet avslutade sin första läsning, med omröstning i parlamentet under slutet av november 2005. </w:t>
      </w:r>
    </w:p>
    <w:p w:rsidR="00114B22" w:rsidRPr="00BA1F74" w:rsidRDefault="00114B22">
      <w:pPr>
        <w:pStyle w:val="RKnormal"/>
      </w:pPr>
    </w:p>
    <w:p w:rsidR="00114B22" w:rsidRPr="00BA1F74" w:rsidRDefault="00114B22">
      <w:pPr>
        <w:pStyle w:val="RKnormal"/>
        <w:rPr>
          <w:color w:val="000000"/>
        </w:rPr>
      </w:pPr>
      <w:r w:rsidRPr="00BA1F74">
        <w:t xml:space="preserve">Det kommande finska ordförandeskapets målsättning är att parlamentets andra läsning ska starta den 1 juli med </w:t>
      </w:r>
      <w:r w:rsidRPr="00BA1F74">
        <w:rPr>
          <w:color w:val="000000"/>
        </w:rPr>
        <w:t>syfte att nå ett beslut på rådsmötet i november/december 2006.</w:t>
      </w:r>
    </w:p>
    <w:p w:rsidR="00114B22" w:rsidRPr="00BA1F74" w:rsidRDefault="00114B22">
      <w:pPr>
        <w:pStyle w:val="RKnormal"/>
        <w:rPr>
          <w:color w:val="000000"/>
        </w:rPr>
      </w:pPr>
    </w:p>
    <w:p w:rsidR="00114B22" w:rsidRPr="00BA1F74" w:rsidRDefault="00114B22">
      <w:pPr>
        <w:pStyle w:val="RKnormal"/>
      </w:pPr>
      <w:r w:rsidRPr="00BA1F74">
        <w:rPr>
          <w:color w:val="000000"/>
        </w:rPr>
        <w:lastRenderedPageBreak/>
        <w:t>Vid konkurrenskraftsrådet den 29 – 30 maj kommer REACH att komma upp som en informationspunkt från det Österrikiska ordförandeskapet.</w:t>
      </w:r>
    </w:p>
    <w:p w:rsidR="00114B22" w:rsidRPr="00BA1F74" w:rsidRDefault="00114B22">
      <w:pPr>
        <w:pStyle w:val="RKrubrik"/>
      </w:pPr>
      <w:r w:rsidRPr="00BA1F74">
        <w:t>Rättslig grund och beslutsförfarande</w:t>
      </w:r>
    </w:p>
    <w:p w:rsidR="00114B22" w:rsidRPr="00BA1F74" w:rsidRDefault="00114B22">
      <w:pPr>
        <w:pStyle w:val="RKnormal"/>
      </w:pPr>
      <w:r w:rsidRPr="00BA1F74">
        <w:t xml:space="preserve">Artikel 95 i fördraget, medbeslutandeförfarandet  </w:t>
      </w:r>
    </w:p>
    <w:p w:rsidR="00114B22" w:rsidRPr="00BA1F74" w:rsidRDefault="00114B22">
      <w:pPr>
        <w:pStyle w:val="RKrubrik"/>
        <w:rPr>
          <w:i/>
          <w:iCs/>
        </w:rPr>
      </w:pPr>
      <w:r w:rsidRPr="00BA1F74">
        <w:rPr>
          <w:i/>
          <w:iCs/>
        </w:rPr>
        <w:t>Svensk ståndpunkt</w:t>
      </w:r>
    </w:p>
    <w:p w:rsidR="00114B22" w:rsidRPr="00BA1F74" w:rsidRDefault="00114B22">
      <w:pPr>
        <w:pStyle w:val="RKnormal"/>
      </w:pPr>
      <w:r w:rsidRPr="00BA1F74">
        <w:t xml:space="preserve">Sverige välkomnar informationen från det Österrikiska ordförandeskapet. </w:t>
      </w:r>
    </w:p>
    <w:p w:rsidR="00114B22" w:rsidRPr="00BA1F74" w:rsidRDefault="00114B22">
      <w:pPr>
        <w:pStyle w:val="RKnormal"/>
      </w:pPr>
    </w:p>
    <w:p w:rsidR="00114B22" w:rsidRPr="00BA1F74" w:rsidRDefault="00114B22">
      <w:pPr>
        <w:pStyle w:val="RKnormal"/>
        <w:rPr>
          <w:color w:val="000000"/>
        </w:rPr>
      </w:pPr>
      <w:r w:rsidRPr="00BA1F74">
        <w:rPr>
          <w:szCs w:val="15"/>
        </w:rPr>
        <w:t xml:space="preserve">Sverige stödjer den ansvarige </w:t>
      </w:r>
      <w:r w:rsidRPr="00BA1F74">
        <w:rPr>
          <w:color w:val="000000"/>
        </w:rPr>
        <w:t>rapportören i miljöutskottet, Herr Sacconi, och det finska ordförandeskapets målsättning om en start av den andra läsningen i parlamentet till den 1 juli med syfte att nå ett beslut på rådsmötet i november/december 2006.</w:t>
      </w:r>
    </w:p>
    <w:p w:rsidR="00114B22" w:rsidRPr="00BA1F74" w:rsidRDefault="00114B22">
      <w:pPr>
        <w:pStyle w:val="RKnormal"/>
        <w:rPr>
          <w:color w:val="000000"/>
        </w:rPr>
      </w:pPr>
    </w:p>
    <w:p w:rsidR="00114B22" w:rsidRPr="00BA1F74" w:rsidRDefault="00114B22">
      <w:pPr>
        <w:pStyle w:val="RKnormal"/>
      </w:pPr>
      <w:r w:rsidRPr="00BA1F74">
        <w:t xml:space="preserve">Sverige anser att det är glädjande att alla medlemsländer ställde sig bakom Storbritanniens kompromissförslag och att en politisk överenskommelse om REACH kunde nås i rådet den 13 december. </w:t>
      </w:r>
    </w:p>
    <w:p w:rsidR="00114B22" w:rsidRPr="00BA1F74" w:rsidRDefault="00114B22">
      <w:pPr>
        <w:pStyle w:val="RKnormal"/>
      </w:pPr>
    </w:p>
    <w:p w:rsidR="00114B22" w:rsidRPr="00BA1F74" w:rsidRDefault="00114B22">
      <w:pPr>
        <w:pStyle w:val="RKnormal"/>
        <w:rPr>
          <w:color w:val="000000"/>
        </w:rPr>
      </w:pPr>
      <w:r w:rsidRPr="00BA1F74">
        <w:t xml:space="preserve">Sverige kommer dock även fortsättningsvis, framförallt, att driva de frågor där vi tillsammans med andra länder ställde oss bakom två deklarationer på konkurrenskraftsrådet den 13 dec 2005. Förbättrad substitution i likhet med EP: s förslag </w:t>
      </w:r>
      <w:r w:rsidRPr="00BA1F74">
        <w:rPr>
          <w:color w:val="000000"/>
        </w:rPr>
        <w:t>och ett förtydligande om att medlemsstaterna även fortsättningsvis kan tillämpa mer strikta regler som genomför EG:s minimidirektiv på arbetsmiljö- och miljöområdet.</w:t>
      </w:r>
    </w:p>
    <w:p w:rsidR="00114B22" w:rsidRPr="00BA1F74" w:rsidRDefault="00114B22">
      <w:pPr>
        <w:pStyle w:val="RKnormal"/>
      </w:pPr>
    </w:p>
    <w:p w:rsidR="00114B22" w:rsidRPr="00BA1F74" w:rsidRDefault="00114B22">
      <w:pPr>
        <w:pStyle w:val="RKnormal"/>
      </w:pPr>
      <w:r w:rsidRPr="00BA1F74">
        <w:t>När det gäller registrering av ämnen hade Sverige som ett minimum, önskat att kunskapskraven för registrering av lågvolymämnen (1-10 ton) och som säljs till konsumenter skulle höjas. Sverige ställde sig trots detta bakom den nu liggande kompromissen men kommer att arbeta för att datakrav vid registrering av lågvolymämnen inte kommer att försämras.</w:t>
      </w:r>
    </w:p>
    <w:p w:rsidR="00114B22" w:rsidRPr="00BA1F74" w:rsidRDefault="00114B22">
      <w:pPr>
        <w:pStyle w:val="RKrubrik"/>
      </w:pPr>
      <w:r w:rsidRPr="00BA1F74">
        <w:t>Europaparlamentets inställning</w:t>
      </w:r>
    </w:p>
    <w:p w:rsidR="00114B22" w:rsidRPr="00BA1F74" w:rsidRDefault="00114B22">
      <w:pPr>
        <w:pStyle w:val="RKnormal"/>
      </w:pPr>
      <w:r w:rsidRPr="00BA1F74">
        <w:rPr>
          <w:iCs/>
        </w:rPr>
        <w:t>Tiden för andra läsningen är tre månader vilket innebär att en omröstning i parlamentet kan ske i oktober med ett efterföljande beslut under rådsmötet i november/december, förutsatt att det inte blir någon förlikningsprocess.</w:t>
      </w:r>
    </w:p>
    <w:p w:rsidR="00114B22" w:rsidRPr="00BA1F74" w:rsidRDefault="00114B22">
      <w:pPr>
        <w:pStyle w:val="RKrubrik"/>
        <w:rPr>
          <w:i/>
          <w:iCs/>
        </w:rPr>
      </w:pPr>
      <w:r w:rsidRPr="00BA1F74">
        <w:rPr>
          <w:i/>
          <w:iCs/>
        </w:rPr>
        <w:t>Förslaget</w:t>
      </w:r>
    </w:p>
    <w:p w:rsidR="00114B22" w:rsidRPr="00BA1F74" w:rsidRDefault="00114B22">
      <w:pPr>
        <w:pStyle w:val="RKnormal"/>
      </w:pPr>
      <w:bookmarkStart w:id="1" w:name="Text7"/>
      <w:r w:rsidRPr="00BA1F74">
        <w:t>Förslaget, i form av en EG-förordning, ersätter 40 olika avsnitt i nuvarande lagstiftning. Texten är mycket omfattande, 1 300 sidor, men stora delar är hämtade från de bestämmelser som gäller i dag. Förslaget innehåller även många viktiga nyheter och innebär en grundläggande förändring i systemet för att reglera kemikalier. Bland de grundläggande förändringarna kan fyra nämnas:</w:t>
      </w:r>
    </w:p>
    <w:p w:rsidR="00114B22" w:rsidRPr="00BA1F74" w:rsidRDefault="00114B22">
      <w:pPr>
        <w:pStyle w:val="RKnormal"/>
      </w:pPr>
    </w:p>
    <w:p w:rsidR="00114B22" w:rsidRPr="00BA1F74" w:rsidRDefault="00114B22">
      <w:pPr>
        <w:pStyle w:val="RKnormal"/>
        <w:numPr>
          <w:ilvl w:val="0"/>
          <w:numId w:val="1"/>
        </w:numPr>
      </w:pPr>
      <w:r w:rsidRPr="00BA1F74">
        <w:t xml:space="preserve">Ett tydligt ansvar läggs på industrin när det gäller att bedöma och hantera risker med kemikalier. Ansvaret läggs främst på tillverkare och importörer. </w:t>
      </w:r>
    </w:p>
    <w:p w:rsidR="00114B22" w:rsidRPr="00BA1F74" w:rsidRDefault="00114B22">
      <w:pPr>
        <w:pStyle w:val="RKnormal"/>
      </w:pPr>
    </w:p>
    <w:p w:rsidR="00114B22" w:rsidRPr="00BA1F74" w:rsidRDefault="00114B22">
      <w:pPr>
        <w:pStyle w:val="RKnormal"/>
        <w:numPr>
          <w:ilvl w:val="0"/>
          <w:numId w:val="1"/>
        </w:numPr>
      </w:pPr>
      <w:r w:rsidRPr="00BA1F74">
        <w:t xml:space="preserve">Industrin ska registrera cirka 30 000 ämnen inom 11 år efter ikraftträdandet och riskbedöma cirka en tredjedel av dessa. Kemikalier som produceras i stora mängder eller har vissa egenskaper prioriteras. Genom riskbedömningarna ska kunskapen öka om de kemikalier som redan finns på marknaden. </w:t>
      </w:r>
    </w:p>
    <w:p w:rsidR="00114B22" w:rsidRPr="00BA1F74" w:rsidRDefault="00114B22">
      <w:pPr>
        <w:pStyle w:val="RKnormal"/>
      </w:pPr>
    </w:p>
    <w:p w:rsidR="00114B22" w:rsidRPr="00BA1F74" w:rsidRDefault="00114B22">
      <w:pPr>
        <w:pStyle w:val="RKnormal"/>
        <w:numPr>
          <w:ilvl w:val="0"/>
          <w:numId w:val="1"/>
        </w:numPr>
      </w:pPr>
      <w:r w:rsidRPr="00BA1F74">
        <w:t xml:space="preserve">Kemikalier med vissa farliga egenskaper ska inte få användas utan särskilt tillstånd. </w:t>
      </w:r>
    </w:p>
    <w:p w:rsidR="00114B22" w:rsidRPr="00BA1F74" w:rsidRDefault="00114B22">
      <w:pPr>
        <w:pStyle w:val="RKnormal"/>
      </w:pPr>
    </w:p>
    <w:p w:rsidR="00114B22" w:rsidRPr="00BA1F74" w:rsidRDefault="00114B22">
      <w:pPr>
        <w:pStyle w:val="RKnormal"/>
        <w:numPr>
          <w:ilvl w:val="0"/>
          <w:numId w:val="1"/>
        </w:numPr>
      </w:pPr>
      <w:r w:rsidRPr="00BA1F74">
        <w:t>En ny självständig europeisk myndighet ska administrera kemikaliesystemet i samarbete med kommissionen och medlemsländernas myndigheter.</w:t>
      </w:r>
    </w:p>
    <w:p w:rsidR="00114B22" w:rsidRPr="00BA1F74" w:rsidRDefault="00114B22">
      <w:pPr>
        <w:pStyle w:val="RKnormal"/>
      </w:pPr>
    </w:p>
    <w:p w:rsidR="00114B22" w:rsidRPr="00BA1F74" w:rsidRDefault="00114B22">
      <w:pPr>
        <w:pStyle w:val="RKnormal"/>
        <w:numPr>
          <w:ilvl w:val="0"/>
          <w:numId w:val="1"/>
        </w:numPr>
      </w:pPr>
      <w:r w:rsidRPr="00BA1F74">
        <w:t>Kemikalieanvändning som redan omfattas av särskilda regler om till exempel tillståndsprövning ingår inte, eller bara delvis. Exempel är bekämpningsmedel, läkemedel, genmodifierade organismer (GMO) och kosmetika.</w:t>
      </w:r>
      <w:bookmarkEnd w:id="1"/>
    </w:p>
    <w:p w:rsidR="00114B22" w:rsidRPr="00BA1F74" w:rsidRDefault="00114B22">
      <w:pPr>
        <w:pStyle w:val="RKrubrik"/>
        <w:rPr>
          <w:i/>
          <w:iCs/>
        </w:rPr>
      </w:pPr>
      <w:r w:rsidRPr="00BA1F74">
        <w:rPr>
          <w:i/>
          <w:iCs/>
        </w:rPr>
        <w:t>Gällande svenska regler och förslagets effekter på dessa</w:t>
      </w:r>
    </w:p>
    <w:p w:rsidR="00114B22" w:rsidRPr="00BA1F74" w:rsidRDefault="00114B22">
      <w:pPr>
        <w:rPr>
          <w:sz w:val="20"/>
        </w:rPr>
      </w:pPr>
      <w:bookmarkStart w:id="2" w:name="Text8"/>
      <w:r w:rsidRPr="00BA1F74">
        <w:t>De svenska bestämmelserna om allmänkemikalier finns främst i miljöbalken (i första hand 14 kap.) i förordningen (1998:941) om kemiska produkter och biotekniska organismer samt i Kemikalieinspektionens föreskrifter (KIFS). De övergripande bestämmelserna i miljöbalken kommer att behöva ses över lagtekniskt mot bakgrund av att REACH är utformad som en direkt gällande förordning. De svenska föreskrifterna på lägre nivå motsvarar till största delen de gällande EG-reglerna. Dessa föreskrifter kommer att ersättas</w:t>
      </w:r>
      <w:r w:rsidRPr="00BA1F74">
        <w:t xml:space="preserve"> av REACH. De särskilda svenska krav som finns på några områden bör inte påverkas av REACH. Föreskrifter om klassificering och märkning kommer inte heller att ändras genom detta förslag, men kommer däremot att påverkas av det utlovade förslaget om genomförande av det globala systemet för klassificering och märkning.</w:t>
      </w:r>
    </w:p>
    <w:p w:rsidR="00114B22" w:rsidRPr="00BA1F74" w:rsidRDefault="00114B22"/>
    <w:p w:rsidR="00114B22" w:rsidRPr="00BA1F74" w:rsidRDefault="00114B22">
      <w:pPr>
        <w:spacing w:line="240" w:lineRule="auto"/>
      </w:pPr>
      <w:r w:rsidRPr="00BA1F74">
        <w:t>REACH kräver medverkan från svenska myndigheter (i första hand KEMI men även andra myndigheter såsom Nutek, Arbetsmiljöverket, Naturvårdsverket och Räddningsverket) vid utvecklingen av det tekniska underlaget för REACH (interimsstrategin). Vid tillämpningen av REACH när systemet väl trätt i kraft är det nödvändigt att involvera en bred krets av aktörer som inkluderar både myndigheter, näringslivets organisationer samt andra intressenter. KemI har ett pågående regeringsuppdrag</w:t>
      </w:r>
      <w:r w:rsidRPr="00BA1F74">
        <w:rPr>
          <w:rStyle w:val="Fotnotsreferens"/>
        </w:rPr>
        <w:footnoteReference w:id="1"/>
      </w:r>
      <w:r w:rsidRPr="00BA1F74">
        <w:t xml:space="preserve"> att ta fram en strategi för genomförandet av REACH i Sverige som bland annat inkluderar lämpligt sätt att organisera/genomföra informations- och utbildningsinsatser både till företag och till myndigheter. </w:t>
      </w:r>
    </w:p>
    <w:p w:rsidR="00114B22" w:rsidRPr="00BA1F74" w:rsidRDefault="00114B22"/>
    <w:p w:rsidR="00114B22" w:rsidRPr="00BA1F74" w:rsidRDefault="00114B22">
      <w:r w:rsidRPr="00BA1F74">
        <w:t xml:space="preserve">Förslaget saknar tidsramar för tillståndsprövning vilket för Sveriges del kan innebära att miljömålen i Kemikaliestrategi för Giftfrimiljö (2000/01:65) inte kan uppnås i tid. </w:t>
      </w:r>
      <w:bookmarkEnd w:id="2"/>
    </w:p>
    <w:p w:rsidR="00114B22" w:rsidRPr="00BA1F74" w:rsidRDefault="00114B22">
      <w:pPr>
        <w:pStyle w:val="RKrubrik"/>
      </w:pPr>
      <w:r w:rsidRPr="00BA1F74">
        <w:t>Ekonomiska konsekvenser</w:t>
      </w:r>
    </w:p>
    <w:p w:rsidR="00114B22" w:rsidRPr="00BA1F74" w:rsidRDefault="00114B22">
      <w:pPr>
        <w:pStyle w:val="Rubrik4"/>
      </w:pPr>
      <w:r w:rsidRPr="00BA1F74">
        <w:t>EU:s budget och statsbudgeten</w:t>
      </w:r>
    </w:p>
    <w:p w:rsidR="00114B22" w:rsidRPr="00BA1F74" w:rsidRDefault="00114B22">
      <w:pPr>
        <w:spacing w:line="240" w:lineRule="auto"/>
      </w:pPr>
      <w:r w:rsidRPr="00BA1F74">
        <w:t>Enligt finansieringsöversikten i förslaget kommer kostnaderna för kemikaliemyndigheten till större delen att finansieras med avgifter. För den första 11-årsperioden räknar man med att 22 % av kost</w:t>
      </w:r>
      <w:r w:rsidRPr="00BA1F74">
        <w:t>naderna (78,8 miljoner €) behöver finansieras över EU-budgeten medan resten betalas av avgifter.</w:t>
      </w:r>
    </w:p>
    <w:p w:rsidR="00114B22" w:rsidRPr="00BA1F74" w:rsidRDefault="00114B22">
      <w:pPr>
        <w:spacing w:line="240" w:lineRule="auto"/>
      </w:pPr>
    </w:p>
    <w:p w:rsidR="00114B22" w:rsidRPr="00BA1F74" w:rsidRDefault="00114B22">
      <w:pPr>
        <w:spacing w:line="240" w:lineRule="auto"/>
      </w:pPr>
      <w:r w:rsidRPr="00BA1F74">
        <w:t xml:space="preserve">REACH kräver medverkan från svenska myndigheter (i första hand KEMI men även Nutek) vid utvecklingen av det tekniska underlaget för REACH (interimsstrategin) </w:t>
      </w:r>
      <w:r w:rsidRPr="00BA1F74">
        <w:t>och vid tillämpningen av REACH när systemet väl trätt i kraft. Insatserna från de nationella myndigheterna är delvis av obligatorisk karaktär, men beror till stor del på den nationella ambitionsnivån. Utvärdering av registreringsunderlag är en obligatorisk uppgift för de nationella myndigheterna. För detta arbete sägs i förslaget att ke</w:t>
      </w:r>
      <w:r w:rsidRPr="00BA1F74">
        <w:t>mikaliemyndigheten kommer att ersätta de nationella myndigheterna med upp till 5000 € för varje ärende. Till stor del innebär REACH en fortsättning på arbete som redan bedrivs av myndigheterna, t.ex. inom ramen för det existerande ämnesprogrammet. Flera up</w:t>
      </w:r>
      <w:r w:rsidRPr="00BA1F74">
        <w:t>pgifter är dock helt nya.</w:t>
      </w:r>
    </w:p>
    <w:p w:rsidR="00114B22" w:rsidRPr="00BA1F74" w:rsidRDefault="00114B22">
      <w:pPr>
        <w:spacing w:line="240" w:lineRule="auto"/>
      </w:pPr>
    </w:p>
    <w:p w:rsidR="00114B22" w:rsidRPr="00BA1F74" w:rsidRDefault="00114B22">
      <w:pPr>
        <w:spacing w:line="240" w:lineRule="auto"/>
      </w:pPr>
      <w:r w:rsidRPr="00BA1F74">
        <w:t>I övrigt torde de centrala myndigheterna och kommunerna främst påverkas genom ändrade och delvis mer omfattande krav på tillsyn.</w:t>
      </w:r>
    </w:p>
    <w:p w:rsidR="00114B22" w:rsidRPr="00BA1F74" w:rsidRDefault="00114B22">
      <w:pPr>
        <w:spacing w:line="240" w:lineRule="auto"/>
      </w:pPr>
    </w:p>
    <w:sectPr w:rsidR="00114B22" w:rsidRPr="00BA1F7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B22" w:rsidRPr="00BA1F74" w:rsidRDefault="00114B22">
      <w:pPr>
        <w:spacing w:line="240" w:lineRule="auto"/>
      </w:pPr>
      <w:r w:rsidRPr="00BA1F74">
        <w:separator/>
      </w:r>
    </w:p>
  </w:endnote>
  <w:endnote w:type="continuationSeparator" w:id="0">
    <w:p w:rsidR="00114B22" w:rsidRPr="00BA1F74" w:rsidRDefault="00114B22">
      <w:pPr>
        <w:spacing w:line="240" w:lineRule="auto"/>
      </w:pPr>
      <w:r w:rsidRPr="00BA1F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B22" w:rsidRPr="00BA1F74" w:rsidRDefault="00114B22">
      <w:pPr>
        <w:spacing w:line="240" w:lineRule="auto"/>
      </w:pPr>
      <w:r w:rsidRPr="00BA1F74">
        <w:separator/>
      </w:r>
    </w:p>
  </w:footnote>
  <w:footnote w:type="continuationSeparator" w:id="0">
    <w:p w:rsidR="00114B22" w:rsidRPr="00BA1F74" w:rsidRDefault="00114B22">
      <w:pPr>
        <w:spacing w:line="240" w:lineRule="auto"/>
      </w:pPr>
      <w:r w:rsidRPr="00BA1F74">
        <w:continuationSeparator/>
      </w:r>
    </w:p>
  </w:footnote>
  <w:footnote w:id="1">
    <w:p w:rsidR="00114B22" w:rsidRPr="00BA1F74" w:rsidRDefault="00114B22">
      <w:pPr>
        <w:pStyle w:val="Fotnotstext"/>
      </w:pPr>
      <w:r w:rsidRPr="00BA1F74">
        <w:rPr>
          <w:rStyle w:val="Fotnotsreferens"/>
        </w:rPr>
        <w:footnoteRef/>
      </w:r>
      <w:r w:rsidRPr="00BA1F74">
        <w:t xml:space="preserve"> Kemikalieinspektionens  regleringsbrev för 2005,  punkt 1.2 samt i Miljöpropositionen 2005/04:150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B22" w:rsidRPr="00BA1F74" w:rsidRDefault="00114B22">
    <w:pPr>
      <w:pStyle w:val="Sidhuvud"/>
      <w:framePr w:wrap="around" w:vAnchor="text" w:hAnchor="margin" w:xAlign="right" w:y="1"/>
      <w:rPr>
        <w:rStyle w:val="Sidnummer"/>
      </w:rPr>
    </w:pPr>
    <w:r w:rsidRPr="00BA1F74">
      <w:rPr>
        <w:rStyle w:val="Sidnummer"/>
      </w:rPr>
      <w:fldChar w:fldCharType="begin" w:fldLock="1"/>
    </w:r>
    <w:r w:rsidRPr="00BA1F74">
      <w:rPr>
        <w:rStyle w:val="Sidnummer"/>
      </w:rPr>
      <w:instrText xml:space="preserve">PAGE  </w:instrText>
    </w:r>
    <w:r w:rsidRPr="00BA1F74">
      <w:rPr>
        <w:rStyle w:val="Sidnummer"/>
      </w:rPr>
      <w:fldChar w:fldCharType="separate"/>
    </w:r>
    <w:r w:rsidRPr="00BA1F74">
      <w:rPr>
        <w:rStyle w:val="Sidnummer"/>
      </w:rPr>
      <w:t>2</w:t>
    </w:r>
    <w:r w:rsidRPr="00BA1F7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BA1F74">
      <w:tblPrEx>
        <w:tblCellMar>
          <w:top w:w="0" w:type="dxa"/>
          <w:bottom w:w="0" w:type="dxa"/>
        </w:tblCellMar>
      </w:tblPrEx>
      <w:trPr>
        <w:cantSplit/>
      </w:trPr>
      <w:tc>
        <w:tcPr>
          <w:tcW w:w="3119" w:type="dxa"/>
        </w:tcPr>
        <w:p w:rsidR="00114B22" w:rsidRPr="00BA1F74" w:rsidRDefault="00114B22">
          <w:pPr>
            <w:pStyle w:val="Sidhuvud"/>
            <w:spacing w:line="200" w:lineRule="atLeast"/>
            <w:ind w:right="357"/>
            <w:rPr>
              <w:rFonts w:ascii="TradeGothic" w:hAnsi="TradeGothic"/>
              <w:b/>
              <w:bCs/>
              <w:sz w:val="16"/>
            </w:rPr>
          </w:pPr>
        </w:p>
      </w:tc>
      <w:tc>
        <w:tcPr>
          <w:tcW w:w="4111" w:type="dxa"/>
          <w:tcMar>
            <w:left w:w="567" w:type="dxa"/>
          </w:tcMar>
        </w:tcPr>
        <w:p w:rsidR="00114B22" w:rsidRPr="00BA1F74" w:rsidRDefault="00114B22">
          <w:pPr>
            <w:pStyle w:val="Sidhuvud"/>
            <w:ind w:right="360"/>
          </w:pPr>
        </w:p>
      </w:tc>
      <w:tc>
        <w:tcPr>
          <w:tcW w:w="1525" w:type="dxa"/>
        </w:tcPr>
        <w:p w:rsidR="00114B22" w:rsidRPr="00BA1F74" w:rsidRDefault="00114B22">
          <w:pPr>
            <w:pStyle w:val="Sidhuvud"/>
            <w:ind w:right="360"/>
          </w:pPr>
        </w:p>
      </w:tc>
    </w:tr>
  </w:tbl>
  <w:p w:rsidR="00114B22" w:rsidRPr="00BA1F74" w:rsidRDefault="00114B2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B22" w:rsidRPr="00BA1F74" w:rsidRDefault="00114B22">
    <w:pPr>
      <w:pStyle w:val="Sidhuvud"/>
      <w:framePr w:wrap="around" w:vAnchor="text" w:hAnchor="margin" w:xAlign="right" w:y="1"/>
      <w:rPr>
        <w:rStyle w:val="Sidnummer"/>
      </w:rPr>
    </w:pPr>
    <w:r w:rsidRPr="00BA1F74">
      <w:rPr>
        <w:rStyle w:val="Sidnummer"/>
      </w:rPr>
      <w:fldChar w:fldCharType="begin" w:fldLock="1"/>
    </w:r>
    <w:r w:rsidRPr="00BA1F74">
      <w:rPr>
        <w:rStyle w:val="Sidnummer"/>
      </w:rPr>
      <w:instrText xml:space="preserve">PAGE  </w:instrText>
    </w:r>
    <w:r w:rsidRPr="00BA1F74">
      <w:rPr>
        <w:rStyle w:val="Sidnummer"/>
      </w:rPr>
      <w:fldChar w:fldCharType="separate"/>
    </w:r>
    <w:r w:rsidRPr="00BA1F74">
      <w:rPr>
        <w:rStyle w:val="Sidnummer"/>
      </w:rPr>
      <w:t>3</w:t>
    </w:r>
    <w:r w:rsidRPr="00BA1F7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BA1F74">
      <w:tblPrEx>
        <w:tblCellMar>
          <w:top w:w="0" w:type="dxa"/>
          <w:bottom w:w="0" w:type="dxa"/>
        </w:tblCellMar>
      </w:tblPrEx>
      <w:trPr>
        <w:cantSplit/>
      </w:trPr>
      <w:tc>
        <w:tcPr>
          <w:tcW w:w="3119" w:type="dxa"/>
        </w:tcPr>
        <w:p w:rsidR="00114B22" w:rsidRPr="00BA1F74" w:rsidRDefault="00114B22">
          <w:pPr>
            <w:pStyle w:val="Sidhuvud"/>
            <w:spacing w:line="200" w:lineRule="atLeast"/>
            <w:ind w:right="357"/>
            <w:rPr>
              <w:rFonts w:ascii="TradeGothic" w:hAnsi="TradeGothic"/>
              <w:b/>
              <w:bCs/>
              <w:sz w:val="16"/>
            </w:rPr>
          </w:pPr>
        </w:p>
      </w:tc>
      <w:tc>
        <w:tcPr>
          <w:tcW w:w="4111" w:type="dxa"/>
          <w:tcMar>
            <w:left w:w="567" w:type="dxa"/>
          </w:tcMar>
        </w:tcPr>
        <w:p w:rsidR="00114B22" w:rsidRPr="00BA1F74" w:rsidRDefault="00114B22">
          <w:pPr>
            <w:pStyle w:val="Sidhuvud"/>
            <w:ind w:right="360"/>
          </w:pPr>
        </w:p>
      </w:tc>
      <w:tc>
        <w:tcPr>
          <w:tcW w:w="1525" w:type="dxa"/>
        </w:tcPr>
        <w:p w:rsidR="00114B22" w:rsidRPr="00BA1F74" w:rsidRDefault="00114B22">
          <w:pPr>
            <w:pStyle w:val="Sidhuvud"/>
            <w:ind w:right="360"/>
          </w:pPr>
        </w:p>
      </w:tc>
    </w:tr>
  </w:tbl>
  <w:p w:rsidR="00114B22" w:rsidRPr="00BA1F74" w:rsidRDefault="00114B2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B22" w:rsidRPr="00BA1F74" w:rsidRDefault="00BA1F74">
    <w:pPr>
      <w:framePr w:w="2948" w:h="1321" w:hRule="exact" w:wrap="notBeside" w:vAnchor="page" w:hAnchor="page" w:x="1362" w:y="653"/>
    </w:pPr>
    <w:r w:rsidRPr="00BA1F7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14B22" w:rsidRPr="00BA1F74" w:rsidRDefault="00114B22">
    <w:pPr>
      <w:pStyle w:val="RKrubrik"/>
      <w:keepNext w:val="0"/>
      <w:tabs>
        <w:tab w:val="clear" w:pos="1134"/>
        <w:tab w:val="clear" w:pos="2835"/>
      </w:tabs>
      <w:spacing w:before="0" w:after="0" w:line="320" w:lineRule="atLeast"/>
      <w:rPr>
        <w:bCs/>
      </w:rPr>
    </w:pPr>
  </w:p>
  <w:p w:rsidR="00114B22" w:rsidRPr="00BA1F74" w:rsidRDefault="00114B22">
    <w:pPr>
      <w:rPr>
        <w:rFonts w:ascii="TradeGothic" w:hAnsi="TradeGothic"/>
        <w:b/>
        <w:bCs/>
        <w:spacing w:val="12"/>
        <w:sz w:val="22"/>
      </w:rPr>
    </w:pPr>
  </w:p>
  <w:p w:rsidR="00114B22" w:rsidRPr="00BA1F74" w:rsidRDefault="00114B22">
    <w:pPr>
      <w:pStyle w:val="RKrubrik"/>
      <w:keepNext w:val="0"/>
      <w:tabs>
        <w:tab w:val="clear" w:pos="1134"/>
        <w:tab w:val="clear" w:pos="2835"/>
      </w:tabs>
      <w:spacing w:before="0" w:after="0" w:line="320" w:lineRule="atLeast"/>
      <w:rPr>
        <w:bCs/>
      </w:rPr>
    </w:pPr>
  </w:p>
  <w:p w:rsidR="00114B22" w:rsidRPr="00BA1F74" w:rsidRDefault="00114B2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D2DF8"/>
    <w:multiLevelType w:val="hybridMultilevel"/>
    <w:tmpl w:val="8C180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931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CC426C"/>
    <w:rsid w:val="00114B22"/>
    <w:rsid w:val="00BA1F74"/>
    <w:rsid w:val="00CC42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37E4A5-CBF9-4D8D-9CBA-34A73B5A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1000</Words>
  <Characters>6151</Characters>
  <Application>Microsoft Office Word</Application>
  <DocSecurity>4</DocSecurity>
  <Lines>170</Lines>
  <Paragraphs>58</Paragraphs>
  <ScaleCrop>false</ScaleCrop>
  <HeadingPairs>
    <vt:vector size="2" baseType="variant">
      <vt:variant>
        <vt:lpstr>Titel</vt:lpstr>
      </vt:variant>
      <vt:variant>
        <vt:i4>1</vt:i4>
      </vt:variant>
    </vt:vector>
  </HeadingPairs>
  <TitlesOfParts>
    <vt:vector size="1" baseType="lpstr">
      <vt:lpstr/>
    </vt:vector>
  </TitlesOfParts>
  <Company>Regeringskansliet</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2025-12-16T23:08:00Z</dcterms:created>
  <dcterms:modified xsi:type="dcterms:W3CDTF">2025-12-16T23:08:00Z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ies>
</file>