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35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27 november 2013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torsdagen den 21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2013/14:10 Torsdagen den 21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2013/14:158 av Torbjörn Björlund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USA som rättsstat och frågan om "the Cuban Five"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2013/14:163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vatten i Palestina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2013/14:33 Fortsatt svenskt deltagande i den internationella säkerhetsstyrkan (ISAF) och framtida deltagande i Natos utbildningsinsats (RSM) i Afghanistan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2013/14:U5 av Torbjörn Björlund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2013/14:U6 av Mikael Jansson och Julia Kronlid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KOM(2013) 812 Förslag till Europaparlamentets och rådets förordning om informationsåtgärder och säljfrämjande åtgärder för jordbruksprodukter på den inre marknaden och i tredjeland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januari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2013/14:MJU4 Ändringar i växtskyddslagen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2013/14:MJU6 Marknadsföring av modersmjölksersättning och tillskottsnäring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2013/14:SfU5 Förstärkt nedsättning av egenavgifter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2013/14:SkU5 Ändring i skatteavtalet mellan Sverige och Botswana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2013/14:SkU6 Informationsutbytesavtal med Bahrain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2013/14:SkU7 Informationsutbytesavtal med Belize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2013/14:SfU3 Nya åldersgränser och ökad flexibilitet i föräldraförsäkringen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2013/14:SfU4 Utbetalning av barnbidrag och flerbarnstillägg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 res. (MP)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2013/14:JuU6 Ökade möjligheter att förebygga våld i nära relationer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2013/14:FiU3 Utgiftsområde 25 Allmänna bidrag till kommuner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2013/14:FiU8 Vissa avgiftsfrågor på finansmarknadsområdet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2013/14:KU7 Vital kommunal demokrati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27 november 2013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e9ca0541-bc98-457b-948e-566d44ede74e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12792-559A-4563-AAA9-A1C28AA6338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27 november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