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CA9" w:rsidRPr="00D94081" w:rsidRDefault="00655CA9" w:rsidP="00655CA9">
      <w:pPr>
        <w:rPr>
          <w:szCs w:val="24"/>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655CA9" w:rsidRPr="00D94081" w:rsidTr="001C2C46">
        <w:tc>
          <w:tcPr>
            <w:tcW w:w="9141" w:type="dxa"/>
          </w:tcPr>
          <w:p w:rsidR="00655CA9" w:rsidRPr="00D94081" w:rsidRDefault="00655CA9" w:rsidP="001C2C46">
            <w:pPr>
              <w:rPr>
                <w:szCs w:val="24"/>
              </w:rPr>
            </w:pPr>
            <w:r w:rsidRPr="00D94081">
              <w:rPr>
                <w:szCs w:val="24"/>
              </w:rPr>
              <w:t>RIKSDAGEN</w:t>
            </w:r>
          </w:p>
          <w:p w:rsidR="00655CA9" w:rsidRPr="00D94081" w:rsidRDefault="00655CA9" w:rsidP="001C2C46">
            <w:pPr>
              <w:rPr>
                <w:szCs w:val="24"/>
              </w:rPr>
            </w:pPr>
            <w:r w:rsidRPr="00D94081">
              <w:rPr>
                <w:szCs w:val="24"/>
              </w:rPr>
              <w:t>TRAFIKUTSKOTTET</w:t>
            </w:r>
          </w:p>
        </w:tc>
      </w:tr>
    </w:tbl>
    <w:p w:rsidR="00655CA9" w:rsidRPr="00D94081" w:rsidRDefault="00655CA9" w:rsidP="00655CA9">
      <w:pPr>
        <w:rPr>
          <w:szCs w:val="24"/>
        </w:rPr>
      </w:pPr>
    </w:p>
    <w:p w:rsidR="00655CA9" w:rsidRPr="00D94081" w:rsidRDefault="00655CA9" w:rsidP="00655CA9">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655CA9" w:rsidRPr="00D94081" w:rsidTr="001C2C46">
        <w:trPr>
          <w:cantSplit/>
          <w:trHeight w:val="742"/>
        </w:trPr>
        <w:tc>
          <w:tcPr>
            <w:tcW w:w="1985" w:type="dxa"/>
          </w:tcPr>
          <w:p w:rsidR="00655CA9" w:rsidRPr="00D94081" w:rsidRDefault="00655CA9" w:rsidP="001C2C46">
            <w:pPr>
              <w:rPr>
                <w:b/>
                <w:szCs w:val="24"/>
              </w:rPr>
            </w:pPr>
            <w:r w:rsidRPr="00D94081">
              <w:rPr>
                <w:b/>
                <w:szCs w:val="24"/>
              </w:rPr>
              <w:t xml:space="preserve">PROTOKOLL </w:t>
            </w:r>
          </w:p>
        </w:tc>
        <w:tc>
          <w:tcPr>
            <w:tcW w:w="6463" w:type="dxa"/>
          </w:tcPr>
          <w:p w:rsidR="00655CA9" w:rsidRPr="00D94081" w:rsidRDefault="00655CA9" w:rsidP="001C2C46">
            <w:pPr>
              <w:rPr>
                <w:b/>
                <w:szCs w:val="24"/>
              </w:rPr>
            </w:pPr>
            <w:r w:rsidRPr="00D94081">
              <w:rPr>
                <w:b/>
                <w:szCs w:val="24"/>
              </w:rPr>
              <w:t>UTSKOTTSSAMMANTRÄDE 2020/21: 4</w:t>
            </w:r>
          </w:p>
          <w:p w:rsidR="00655CA9" w:rsidRPr="00D94081" w:rsidRDefault="00655CA9" w:rsidP="001C2C46">
            <w:pPr>
              <w:rPr>
                <w:b/>
                <w:szCs w:val="24"/>
              </w:rPr>
            </w:pPr>
          </w:p>
        </w:tc>
      </w:tr>
      <w:tr w:rsidR="00655CA9" w:rsidRPr="00D94081" w:rsidTr="001C2C46">
        <w:tc>
          <w:tcPr>
            <w:tcW w:w="1985" w:type="dxa"/>
          </w:tcPr>
          <w:p w:rsidR="00655CA9" w:rsidRPr="00D94081" w:rsidRDefault="00655CA9" w:rsidP="001C2C46">
            <w:pPr>
              <w:rPr>
                <w:szCs w:val="24"/>
              </w:rPr>
            </w:pPr>
            <w:r w:rsidRPr="00D94081">
              <w:rPr>
                <w:szCs w:val="24"/>
              </w:rPr>
              <w:t>DATUM</w:t>
            </w:r>
          </w:p>
        </w:tc>
        <w:tc>
          <w:tcPr>
            <w:tcW w:w="6463" w:type="dxa"/>
          </w:tcPr>
          <w:p w:rsidR="00655CA9" w:rsidRPr="00D94081" w:rsidRDefault="00655CA9" w:rsidP="001C2C46">
            <w:pPr>
              <w:rPr>
                <w:szCs w:val="24"/>
              </w:rPr>
            </w:pPr>
            <w:r w:rsidRPr="00D94081">
              <w:rPr>
                <w:szCs w:val="24"/>
              </w:rPr>
              <w:t>2020-10-13</w:t>
            </w:r>
          </w:p>
        </w:tc>
      </w:tr>
      <w:tr w:rsidR="00655CA9" w:rsidRPr="00D94081" w:rsidTr="001C2C46">
        <w:tc>
          <w:tcPr>
            <w:tcW w:w="1985" w:type="dxa"/>
          </w:tcPr>
          <w:p w:rsidR="00655CA9" w:rsidRPr="00D94081" w:rsidRDefault="00655CA9" w:rsidP="001C2C46">
            <w:pPr>
              <w:rPr>
                <w:szCs w:val="24"/>
              </w:rPr>
            </w:pPr>
            <w:r w:rsidRPr="00D94081">
              <w:rPr>
                <w:szCs w:val="24"/>
              </w:rPr>
              <w:t>TID</w:t>
            </w:r>
          </w:p>
        </w:tc>
        <w:tc>
          <w:tcPr>
            <w:tcW w:w="6463" w:type="dxa"/>
          </w:tcPr>
          <w:p w:rsidR="00655CA9" w:rsidRPr="00D94081" w:rsidRDefault="00655CA9" w:rsidP="001C2C46">
            <w:pPr>
              <w:rPr>
                <w:szCs w:val="24"/>
              </w:rPr>
            </w:pPr>
            <w:r w:rsidRPr="00D94081">
              <w:rPr>
                <w:szCs w:val="24"/>
              </w:rPr>
              <w:t>11.00 – 12.0</w:t>
            </w:r>
            <w:r w:rsidR="00422EB2">
              <w:rPr>
                <w:szCs w:val="24"/>
              </w:rPr>
              <w:t>5</w:t>
            </w:r>
          </w:p>
        </w:tc>
      </w:tr>
      <w:tr w:rsidR="00655CA9" w:rsidRPr="00D94081" w:rsidTr="001C2C46">
        <w:tc>
          <w:tcPr>
            <w:tcW w:w="1985" w:type="dxa"/>
          </w:tcPr>
          <w:p w:rsidR="00655CA9" w:rsidRPr="00D94081" w:rsidRDefault="00655CA9" w:rsidP="001C2C46">
            <w:pPr>
              <w:rPr>
                <w:szCs w:val="24"/>
              </w:rPr>
            </w:pPr>
            <w:r w:rsidRPr="00D94081">
              <w:rPr>
                <w:szCs w:val="24"/>
              </w:rPr>
              <w:t>NÄRVARANDE</w:t>
            </w:r>
          </w:p>
        </w:tc>
        <w:tc>
          <w:tcPr>
            <w:tcW w:w="6463" w:type="dxa"/>
          </w:tcPr>
          <w:p w:rsidR="00655CA9" w:rsidRPr="00D94081" w:rsidRDefault="00655CA9" w:rsidP="001C2C46">
            <w:pPr>
              <w:rPr>
                <w:szCs w:val="24"/>
              </w:rPr>
            </w:pPr>
            <w:r w:rsidRPr="00D94081">
              <w:rPr>
                <w:szCs w:val="24"/>
              </w:rPr>
              <w:t>Se bilaga 1</w:t>
            </w:r>
          </w:p>
        </w:tc>
      </w:tr>
    </w:tbl>
    <w:p w:rsidR="00655CA9" w:rsidRPr="00D94081" w:rsidRDefault="00655CA9" w:rsidP="00655CA9">
      <w:pPr>
        <w:rPr>
          <w:szCs w:val="24"/>
        </w:rPr>
      </w:pPr>
    </w:p>
    <w:p w:rsidR="00655CA9" w:rsidRPr="00D94081" w:rsidRDefault="00655CA9" w:rsidP="00655CA9">
      <w:pPr>
        <w:tabs>
          <w:tab w:val="left" w:pos="1701"/>
        </w:tabs>
        <w:rPr>
          <w:snapToGrid w:val="0"/>
          <w:color w:val="000000"/>
          <w:szCs w:val="24"/>
        </w:rPr>
      </w:pPr>
    </w:p>
    <w:p w:rsidR="00655CA9" w:rsidRPr="00D94081" w:rsidRDefault="00655CA9" w:rsidP="00655CA9">
      <w:pPr>
        <w:tabs>
          <w:tab w:val="left" w:pos="1701"/>
        </w:tabs>
        <w:rPr>
          <w:snapToGrid w:val="0"/>
          <w:color w:val="000000"/>
          <w:szCs w:val="24"/>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655CA9" w:rsidRPr="00D94081" w:rsidTr="001C2C46">
        <w:tc>
          <w:tcPr>
            <w:tcW w:w="567" w:type="dxa"/>
          </w:tcPr>
          <w:p w:rsidR="00655CA9" w:rsidRPr="00D94081" w:rsidRDefault="00655CA9" w:rsidP="001C2C46">
            <w:pPr>
              <w:tabs>
                <w:tab w:val="left" w:pos="1701"/>
              </w:tabs>
              <w:rPr>
                <w:b/>
                <w:snapToGrid w:val="0"/>
                <w:szCs w:val="24"/>
              </w:rPr>
            </w:pPr>
            <w:r w:rsidRPr="00D94081">
              <w:rPr>
                <w:b/>
                <w:snapToGrid w:val="0"/>
                <w:szCs w:val="24"/>
              </w:rPr>
              <w:t>§ 1</w:t>
            </w:r>
          </w:p>
        </w:tc>
        <w:tc>
          <w:tcPr>
            <w:tcW w:w="6946" w:type="dxa"/>
            <w:gridSpan w:val="2"/>
          </w:tcPr>
          <w:p w:rsidR="00655CA9" w:rsidRPr="00D94081" w:rsidRDefault="00655CA9" w:rsidP="001C2C46">
            <w:pPr>
              <w:rPr>
                <w:b/>
                <w:bCs/>
                <w:color w:val="000000"/>
                <w:szCs w:val="24"/>
              </w:rPr>
            </w:pPr>
            <w:r w:rsidRPr="00D94081">
              <w:rPr>
                <w:b/>
                <w:bCs/>
                <w:color w:val="000000"/>
                <w:szCs w:val="24"/>
              </w:rPr>
              <w:t>Medgivande att del</w:t>
            </w:r>
            <w:r w:rsidR="00375D0B">
              <w:rPr>
                <w:b/>
                <w:bCs/>
                <w:color w:val="000000"/>
                <w:szCs w:val="24"/>
              </w:rPr>
              <w:t>t</w:t>
            </w:r>
            <w:r w:rsidRPr="00D94081">
              <w:rPr>
                <w:b/>
                <w:bCs/>
                <w:color w:val="000000"/>
                <w:szCs w:val="24"/>
              </w:rPr>
              <w:t>a på distans</w:t>
            </w:r>
          </w:p>
          <w:p w:rsidR="00655CA9" w:rsidRPr="00D94081" w:rsidRDefault="00655CA9" w:rsidP="001C2C46">
            <w:pPr>
              <w:rPr>
                <w:snapToGrid w:val="0"/>
                <w:szCs w:val="24"/>
              </w:rPr>
            </w:pPr>
          </w:p>
          <w:p w:rsidR="00655CA9" w:rsidRPr="00D94081" w:rsidRDefault="00655CA9" w:rsidP="001C2C46">
            <w:pPr>
              <w:tabs>
                <w:tab w:val="left" w:pos="1701"/>
              </w:tabs>
              <w:rPr>
                <w:rFonts w:eastAsiaTheme="minorHAnsi"/>
                <w:bCs/>
                <w:color w:val="000000"/>
                <w:szCs w:val="24"/>
                <w:lang w:eastAsia="en-US"/>
              </w:rPr>
            </w:pPr>
            <w:r w:rsidRPr="00D94081">
              <w:rPr>
                <w:szCs w:val="24"/>
              </w:rPr>
              <w:t>Utskottet beslutade att tillåta följande ordinarie ledamöter och suppleanter:</w:t>
            </w:r>
            <w:r w:rsidRPr="00D94081">
              <w:rPr>
                <w:rFonts w:eastAsiaTheme="minorHAnsi"/>
                <w:bCs/>
                <w:color w:val="000000"/>
                <w:szCs w:val="24"/>
                <w:lang w:eastAsia="en-US"/>
              </w:rPr>
              <w:t xml:space="preserve"> </w:t>
            </w:r>
            <w:r w:rsidR="00E21104">
              <w:rPr>
                <w:rFonts w:eastAsiaTheme="minorHAnsi"/>
                <w:bCs/>
                <w:color w:val="000000"/>
                <w:szCs w:val="24"/>
                <w:lang w:eastAsia="en-US"/>
              </w:rPr>
              <w:t xml:space="preserve">Anders Åkesson (C), </w:t>
            </w:r>
            <w:r w:rsidRPr="00D94081">
              <w:rPr>
                <w:rFonts w:eastAsiaTheme="minorHAnsi"/>
                <w:bCs/>
                <w:color w:val="000000"/>
                <w:szCs w:val="24"/>
                <w:lang w:eastAsia="en-US"/>
              </w:rPr>
              <w:t xml:space="preserve">Magnus Jacobsson (KD), </w:t>
            </w:r>
            <w:r w:rsidR="000D16E6">
              <w:rPr>
                <w:rFonts w:eastAsiaTheme="minorHAnsi"/>
                <w:bCs/>
                <w:color w:val="000000"/>
                <w:szCs w:val="24"/>
                <w:lang w:eastAsia="en-US"/>
              </w:rPr>
              <w:t>Denis Begic (S)</w:t>
            </w:r>
            <w:r w:rsidR="003D3E90">
              <w:rPr>
                <w:rFonts w:eastAsiaTheme="minorHAnsi"/>
                <w:bCs/>
                <w:color w:val="000000"/>
                <w:szCs w:val="24"/>
                <w:lang w:eastAsia="en-US"/>
              </w:rPr>
              <w:t xml:space="preserve"> Jasenko Omanovic (S), </w:t>
            </w:r>
            <w:r w:rsidRPr="00D94081">
              <w:rPr>
                <w:rFonts w:eastAsiaTheme="minorHAnsi"/>
                <w:bCs/>
                <w:color w:val="000000"/>
                <w:szCs w:val="24"/>
                <w:lang w:eastAsia="en-US"/>
              </w:rPr>
              <w:t>Sten Bergheden (M), Anders Hansson (M),</w:t>
            </w:r>
            <w:r w:rsidR="00F424CC">
              <w:rPr>
                <w:rFonts w:eastAsiaTheme="minorHAnsi"/>
                <w:bCs/>
                <w:color w:val="000000"/>
                <w:szCs w:val="24"/>
                <w:lang w:eastAsia="en-US"/>
              </w:rPr>
              <w:t xml:space="preserve"> Thomas Morell </w:t>
            </w:r>
            <w:r w:rsidR="00F424CC" w:rsidRPr="00D94081">
              <w:rPr>
                <w:rFonts w:eastAsiaTheme="minorHAnsi"/>
                <w:bCs/>
                <w:color w:val="000000"/>
                <w:szCs w:val="24"/>
                <w:lang w:eastAsia="en-US"/>
              </w:rPr>
              <w:t>(SD),</w:t>
            </w:r>
            <w:r w:rsidR="00F424CC">
              <w:rPr>
                <w:rFonts w:eastAsiaTheme="minorHAnsi"/>
                <w:bCs/>
                <w:color w:val="000000"/>
                <w:szCs w:val="24"/>
                <w:lang w:eastAsia="en-US"/>
              </w:rPr>
              <w:t xml:space="preserve"> </w:t>
            </w:r>
            <w:r w:rsidR="00422EB2">
              <w:rPr>
                <w:rFonts w:eastAsiaTheme="minorHAnsi"/>
                <w:bCs/>
                <w:color w:val="000000"/>
                <w:szCs w:val="24"/>
                <w:lang w:eastAsia="en-US"/>
              </w:rPr>
              <w:t xml:space="preserve">Johan Büser (S), </w:t>
            </w:r>
            <w:r w:rsidR="00F424CC">
              <w:rPr>
                <w:rFonts w:eastAsiaTheme="minorHAnsi"/>
                <w:bCs/>
                <w:color w:val="000000"/>
                <w:szCs w:val="24"/>
                <w:lang w:eastAsia="en-US"/>
              </w:rPr>
              <w:t xml:space="preserve">Elin Gustafsson (S), </w:t>
            </w:r>
            <w:r w:rsidRPr="00D94081">
              <w:rPr>
                <w:rFonts w:eastAsiaTheme="minorHAnsi"/>
                <w:bCs/>
                <w:color w:val="000000"/>
                <w:szCs w:val="24"/>
                <w:lang w:eastAsia="en-US"/>
              </w:rPr>
              <w:t>Helena Gellerman (L),</w:t>
            </w:r>
            <w:r w:rsidR="00F424CC">
              <w:rPr>
                <w:rFonts w:eastAsiaTheme="minorHAnsi"/>
                <w:bCs/>
                <w:color w:val="000000"/>
                <w:szCs w:val="24"/>
                <w:lang w:eastAsia="en-US"/>
              </w:rPr>
              <w:t xml:space="preserve"> Patrik Jönsson</w:t>
            </w:r>
            <w:r w:rsidR="00F424CC" w:rsidRPr="00D94081">
              <w:rPr>
                <w:rFonts w:eastAsiaTheme="minorHAnsi"/>
                <w:bCs/>
                <w:color w:val="000000"/>
                <w:szCs w:val="24"/>
                <w:lang w:eastAsia="en-US"/>
              </w:rPr>
              <w:t xml:space="preserve"> (SD), </w:t>
            </w:r>
            <w:r w:rsidR="00422EB2">
              <w:rPr>
                <w:rFonts w:eastAsiaTheme="minorHAnsi"/>
                <w:bCs/>
                <w:color w:val="000000"/>
                <w:szCs w:val="24"/>
                <w:lang w:eastAsia="en-US"/>
              </w:rPr>
              <w:t xml:space="preserve">Emma Berginger (MP), </w:t>
            </w:r>
            <w:r w:rsidRPr="00D94081">
              <w:rPr>
                <w:rFonts w:eastAsiaTheme="minorHAnsi"/>
                <w:bCs/>
                <w:color w:val="000000"/>
                <w:szCs w:val="24"/>
                <w:lang w:eastAsia="en-US"/>
              </w:rPr>
              <w:t>Åsa Coenraads (M), Abraham Halef (S), Mikael Larsson (C)</w:t>
            </w:r>
            <w:r w:rsidR="00F424CC">
              <w:rPr>
                <w:rFonts w:eastAsiaTheme="minorHAnsi"/>
                <w:bCs/>
                <w:color w:val="000000"/>
                <w:szCs w:val="24"/>
                <w:lang w:eastAsia="en-US"/>
              </w:rPr>
              <w:t xml:space="preserve"> </w:t>
            </w:r>
            <w:r w:rsidRPr="00D94081">
              <w:rPr>
                <w:rFonts w:eastAsiaTheme="minorHAnsi"/>
                <w:bCs/>
                <w:color w:val="000000"/>
                <w:szCs w:val="24"/>
                <w:lang w:eastAsia="en-US"/>
              </w:rPr>
              <w:t xml:space="preserve">Jessica Thunander (V) </w:t>
            </w:r>
            <w:r w:rsidR="00F424CC">
              <w:rPr>
                <w:rFonts w:eastAsiaTheme="minorHAnsi"/>
                <w:bCs/>
                <w:color w:val="000000"/>
                <w:szCs w:val="24"/>
                <w:lang w:eastAsia="en-US"/>
              </w:rPr>
              <w:t xml:space="preserve">och Anne-Li Sjölund (C) </w:t>
            </w:r>
            <w:r w:rsidRPr="00D94081">
              <w:rPr>
                <w:rFonts w:eastAsiaTheme="minorHAnsi"/>
                <w:bCs/>
                <w:color w:val="000000"/>
                <w:szCs w:val="24"/>
                <w:lang w:eastAsia="en-US"/>
              </w:rPr>
              <w:t>s</w:t>
            </w:r>
            <w:r w:rsidRPr="00D94081">
              <w:rPr>
                <w:szCs w:val="24"/>
              </w:rPr>
              <w:t xml:space="preserve">amt en tjänsteman från trafikutskottets kansli </w:t>
            </w:r>
            <w:r w:rsidRPr="00D94081">
              <w:rPr>
                <w:rFonts w:eastAsiaTheme="minorHAnsi"/>
                <w:bCs/>
                <w:color w:val="000000"/>
                <w:szCs w:val="24"/>
                <w:lang w:eastAsia="en-US"/>
              </w:rPr>
              <w:t>att vara uppkopplade via videolänk.</w:t>
            </w:r>
          </w:p>
          <w:p w:rsidR="00655CA9" w:rsidRPr="00D94081" w:rsidRDefault="00655CA9" w:rsidP="001C2C46">
            <w:pPr>
              <w:tabs>
                <w:tab w:val="left" w:pos="1701"/>
              </w:tabs>
              <w:rPr>
                <w:rFonts w:eastAsiaTheme="minorHAnsi"/>
                <w:bCs/>
                <w:color w:val="000000"/>
                <w:szCs w:val="24"/>
                <w:lang w:eastAsia="en-US"/>
              </w:rPr>
            </w:pPr>
          </w:p>
          <w:p w:rsidR="00655CA9" w:rsidRPr="00D94081" w:rsidRDefault="00655CA9" w:rsidP="001C2C46">
            <w:pPr>
              <w:tabs>
                <w:tab w:val="left" w:pos="1701"/>
              </w:tabs>
              <w:rPr>
                <w:rFonts w:eastAsiaTheme="minorHAnsi"/>
                <w:bCs/>
                <w:color w:val="000000"/>
                <w:szCs w:val="24"/>
                <w:lang w:eastAsia="en-US"/>
              </w:rPr>
            </w:pPr>
            <w:r w:rsidRPr="00D94081">
              <w:rPr>
                <w:rFonts w:eastAsiaTheme="minorHAnsi"/>
                <w:bCs/>
                <w:color w:val="000000"/>
                <w:szCs w:val="24"/>
                <w:lang w:eastAsia="en-US"/>
              </w:rPr>
              <w:t>Denna paragraf justerades omedelbart.</w:t>
            </w:r>
          </w:p>
          <w:p w:rsidR="00655CA9" w:rsidRPr="00D94081" w:rsidRDefault="00655CA9" w:rsidP="001C2C46">
            <w:pPr>
              <w:rPr>
                <w:snapToGrid w:val="0"/>
                <w:szCs w:val="24"/>
              </w:rPr>
            </w:pPr>
          </w:p>
        </w:tc>
      </w:tr>
      <w:tr w:rsidR="00655CA9" w:rsidRPr="00516CD2" w:rsidTr="001C2C46">
        <w:tc>
          <w:tcPr>
            <w:tcW w:w="567" w:type="dxa"/>
          </w:tcPr>
          <w:p w:rsidR="00655CA9" w:rsidRPr="00D94081" w:rsidRDefault="00655CA9" w:rsidP="001C2C46">
            <w:pPr>
              <w:tabs>
                <w:tab w:val="left" w:pos="1701"/>
              </w:tabs>
              <w:rPr>
                <w:b/>
                <w:snapToGrid w:val="0"/>
                <w:szCs w:val="24"/>
              </w:rPr>
            </w:pPr>
            <w:r w:rsidRPr="00D94081">
              <w:rPr>
                <w:b/>
                <w:snapToGrid w:val="0"/>
                <w:szCs w:val="24"/>
              </w:rPr>
              <w:t>§ 2</w:t>
            </w:r>
          </w:p>
          <w:p w:rsidR="00655CA9" w:rsidRPr="00D94081" w:rsidRDefault="00655CA9" w:rsidP="001C2C46">
            <w:pPr>
              <w:tabs>
                <w:tab w:val="left" w:pos="1701"/>
              </w:tabs>
              <w:rPr>
                <w:b/>
                <w:snapToGrid w:val="0"/>
                <w:szCs w:val="24"/>
              </w:rPr>
            </w:pPr>
          </w:p>
          <w:p w:rsidR="00655CA9" w:rsidRPr="00D94081" w:rsidRDefault="00655CA9" w:rsidP="001C2C46">
            <w:pPr>
              <w:tabs>
                <w:tab w:val="left" w:pos="1701"/>
              </w:tabs>
              <w:rPr>
                <w:b/>
                <w:snapToGrid w:val="0"/>
                <w:szCs w:val="24"/>
              </w:rPr>
            </w:pPr>
          </w:p>
          <w:p w:rsidR="00655CA9" w:rsidRPr="00D94081" w:rsidRDefault="00655CA9" w:rsidP="001C2C46">
            <w:pPr>
              <w:tabs>
                <w:tab w:val="left" w:pos="1701"/>
              </w:tabs>
              <w:rPr>
                <w:b/>
                <w:snapToGrid w:val="0"/>
                <w:szCs w:val="24"/>
              </w:rPr>
            </w:pPr>
          </w:p>
          <w:p w:rsidR="00655CA9" w:rsidRPr="00D94081" w:rsidRDefault="00655CA9" w:rsidP="001C2C46">
            <w:pPr>
              <w:tabs>
                <w:tab w:val="left" w:pos="1701"/>
              </w:tabs>
              <w:rPr>
                <w:b/>
                <w:snapToGrid w:val="0"/>
                <w:szCs w:val="24"/>
              </w:rPr>
            </w:pPr>
          </w:p>
          <w:p w:rsidR="00655CA9" w:rsidRPr="00D94081" w:rsidRDefault="00655CA9" w:rsidP="001C2C46">
            <w:pPr>
              <w:tabs>
                <w:tab w:val="left" w:pos="1701"/>
              </w:tabs>
              <w:rPr>
                <w:b/>
                <w:snapToGrid w:val="0"/>
                <w:szCs w:val="24"/>
              </w:rPr>
            </w:pPr>
          </w:p>
          <w:p w:rsidR="00655CA9" w:rsidRPr="00D94081" w:rsidRDefault="00655CA9" w:rsidP="001C2C46">
            <w:pPr>
              <w:tabs>
                <w:tab w:val="left" w:pos="1701"/>
              </w:tabs>
              <w:rPr>
                <w:b/>
                <w:snapToGrid w:val="0"/>
                <w:szCs w:val="24"/>
              </w:rPr>
            </w:pPr>
          </w:p>
          <w:p w:rsidR="00422EB2" w:rsidRDefault="00422EB2" w:rsidP="001C2C46">
            <w:pPr>
              <w:tabs>
                <w:tab w:val="left" w:pos="1701"/>
              </w:tabs>
              <w:rPr>
                <w:b/>
                <w:snapToGrid w:val="0"/>
                <w:szCs w:val="24"/>
              </w:rPr>
            </w:pPr>
          </w:p>
          <w:p w:rsidR="00422EB2" w:rsidRDefault="00422EB2" w:rsidP="001C2C46">
            <w:pPr>
              <w:tabs>
                <w:tab w:val="left" w:pos="1701"/>
              </w:tabs>
              <w:rPr>
                <w:b/>
                <w:snapToGrid w:val="0"/>
                <w:szCs w:val="24"/>
              </w:rPr>
            </w:pPr>
          </w:p>
          <w:p w:rsidR="00422EB2" w:rsidRDefault="00422EB2" w:rsidP="001C2C46">
            <w:pPr>
              <w:tabs>
                <w:tab w:val="left" w:pos="1701"/>
              </w:tabs>
              <w:rPr>
                <w:b/>
                <w:snapToGrid w:val="0"/>
                <w:szCs w:val="24"/>
              </w:rPr>
            </w:pPr>
          </w:p>
          <w:p w:rsidR="00422EB2" w:rsidRDefault="00422EB2" w:rsidP="001C2C46">
            <w:pPr>
              <w:tabs>
                <w:tab w:val="left" w:pos="1701"/>
              </w:tabs>
              <w:rPr>
                <w:b/>
                <w:snapToGrid w:val="0"/>
                <w:szCs w:val="24"/>
              </w:rPr>
            </w:pPr>
          </w:p>
          <w:p w:rsidR="00422EB2" w:rsidRDefault="00422EB2" w:rsidP="001C2C46">
            <w:pPr>
              <w:tabs>
                <w:tab w:val="left" w:pos="1701"/>
              </w:tabs>
              <w:rPr>
                <w:b/>
                <w:snapToGrid w:val="0"/>
                <w:szCs w:val="24"/>
              </w:rPr>
            </w:pPr>
          </w:p>
          <w:p w:rsidR="00422EB2" w:rsidRDefault="00422EB2" w:rsidP="001C2C46">
            <w:pPr>
              <w:tabs>
                <w:tab w:val="left" w:pos="1701"/>
              </w:tabs>
              <w:rPr>
                <w:b/>
                <w:snapToGrid w:val="0"/>
                <w:szCs w:val="24"/>
              </w:rPr>
            </w:pPr>
          </w:p>
          <w:p w:rsidR="00422EB2" w:rsidRDefault="00422EB2" w:rsidP="001C2C46">
            <w:pPr>
              <w:tabs>
                <w:tab w:val="left" w:pos="1701"/>
              </w:tabs>
              <w:rPr>
                <w:b/>
                <w:snapToGrid w:val="0"/>
                <w:szCs w:val="24"/>
              </w:rPr>
            </w:pPr>
          </w:p>
          <w:p w:rsidR="00422EB2" w:rsidRDefault="00422EB2" w:rsidP="001C2C46">
            <w:pPr>
              <w:tabs>
                <w:tab w:val="left" w:pos="1701"/>
              </w:tabs>
              <w:rPr>
                <w:b/>
                <w:snapToGrid w:val="0"/>
                <w:szCs w:val="24"/>
              </w:rPr>
            </w:pPr>
          </w:p>
          <w:p w:rsidR="00422EB2" w:rsidRDefault="00422EB2" w:rsidP="001C2C46">
            <w:pPr>
              <w:tabs>
                <w:tab w:val="left" w:pos="1701"/>
              </w:tabs>
              <w:rPr>
                <w:b/>
                <w:snapToGrid w:val="0"/>
                <w:szCs w:val="24"/>
              </w:rPr>
            </w:pPr>
          </w:p>
          <w:p w:rsidR="00422EB2" w:rsidRDefault="00422EB2" w:rsidP="001C2C46">
            <w:pPr>
              <w:tabs>
                <w:tab w:val="left" w:pos="1701"/>
              </w:tabs>
              <w:rPr>
                <w:b/>
                <w:snapToGrid w:val="0"/>
                <w:szCs w:val="24"/>
              </w:rPr>
            </w:pPr>
          </w:p>
          <w:p w:rsidR="00422EB2" w:rsidRDefault="00422EB2" w:rsidP="001C2C46">
            <w:pPr>
              <w:tabs>
                <w:tab w:val="left" w:pos="1701"/>
              </w:tabs>
              <w:rPr>
                <w:b/>
                <w:snapToGrid w:val="0"/>
                <w:szCs w:val="24"/>
              </w:rPr>
            </w:pPr>
          </w:p>
          <w:p w:rsidR="00422EB2" w:rsidRDefault="00422EB2" w:rsidP="001C2C46">
            <w:pPr>
              <w:tabs>
                <w:tab w:val="left" w:pos="1701"/>
              </w:tabs>
              <w:rPr>
                <w:b/>
                <w:snapToGrid w:val="0"/>
                <w:szCs w:val="24"/>
              </w:rPr>
            </w:pPr>
          </w:p>
          <w:p w:rsidR="00422EB2" w:rsidRDefault="00422EB2" w:rsidP="001C2C46">
            <w:pPr>
              <w:tabs>
                <w:tab w:val="left" w:pos="1701"/>
              </w:tabs>
              <w:rPr>
                <w:b/>
                <w:snapToGrid w:val="0"/>
                <w:szCs w:val="24"/>
              </w:rPr>
            </w:pPr>
          </w:p>
          <w:p w:rsidR="003A7BE6" w:rsidRDefault="003D3E90" w:rsidP="001C2C46">
            <w:pPr>
              <w:tabs>
                <w:tab w:val="left" w:pos="1701"/>
              </w:tabs>
              <w:rPr>
                <w:b/>
                <w:snapToGrid w:val="0"/>
                <w:szCs w:val="24"/>
              </w:rPr>
            </w:pPr>
            <w:r>
              <w:rPr>
                <w:b/>
                <w:snapToGrid w:val="0"/>
                <w:szCs w:val="24"/>
              </w:rPr>
              <w:br/>
            </w:r>
            <w:r w:rsidR="003A7BE6">
              <w:rPr>
                <w:b/>
                <w:snapToGrid w:val="0"/>
                <w:szCs w:val="24"/>
              </w:rPr>
              <w:t>§ 3</w:t>
            </w: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p>
          <w:p w:rsidR="003D3E90" w:rsidRDefault="003D3E90" w:rsidP="001C2C46">
            <w:pPr>
              <w:tabs>
                <w:tab w:val="left" w:pos="1701"/>
              </w:tabs>
              <w:rPr>
                <w:b/>
                <w:snapToGrid w:val="0"/>
                <w:szCs w:val="24"/>
              </w:rPr>
            </w:pPr>
            <w:r>
              <w:rPr>
                <w:b/>
                <w:snapToGrid w:val="0"/>
                <w:szCs w:val="24"/>
              </w:rPr>
              <w:t>§ 4</w:t>
            </w:r>
          </w:p>
          <w:p w:rsidR="003D3E90" w:rsidRPr="00D94081" w:rsidRDefault="003D3E90" w:rsidP="003D3E90">
            <w:pPr>
              <w:tabs>
                <w:tab w:val="left" w:pos="1701"/>
              </w:tabs>
              <w:rPr>
                <w:b/>
                <w:snapToGrid w:val="0"/>
                <w:szCs w:val="24"/>
              </w:rPr>
            </w:pPr>
          </w:p>
        </w:tc>
        <w:tc>
          <w:tcPr>
            <w:tcW w:w="6946" w:type="dxa"/>
            <w:gridSpan w:val="2"/>
          </w:tcPr>
          <w:p w:rsidR="00375D0B" w:rsidRPr="00375D0B" w:rsidRDefault="00655CA9" w:rsidP="001C2C46">
            <w:pPr>
              <w:tabs>
                <w:tab w:val="left" w:pos="1701"/>
              </w:tabs>
              <w:rPr>
                <w:rFonts w:eastAsiaTheme="minorHAnsi"/>
                <w:b/>
                <w:color w:val="000000"/>
                <w:szCs w:val="24"/>
                <w:lang w:eastAsia="en-US"/>
              </w:rPr>
            </w:pPr>
            <w:r w:rsidRPr="00375D0B">
              <w:rPr>
                <w:rFonts w:eastAsiaTheme="minorHAnsi"/>
                <w:b/>
                <w:color w:val="000000"/>
                <w:szCs w:val="24"/>
                <w:lang w:eastAsia="en-US"/>
              </w:rPr>
              <w:lastRenderedPageBreak/>
              <w:t>Överläggning om kommande lagstiftningspaket om digitala tjänster</w:t>
            </w:r>
          </w:p>
          <w:p w:rsidR="0063032A" w:rsidRPr="00D94081" w:rsidRDefault="0063032A" w:rsidP="00375D0B">
            <w:pPr>
              <w:autoSpaceDE w:val="0"/>
              <w:autoSpaceDN w:val="0"/>
              <w:spacing w:before="147" w:line="276" w:lineRule="auto"/>
              <w:ind w:right="248"/>
              <w:rPr>
                <w:szCs w:val="24"/>
              </w:rPr>
            </w:pPr>
            <w:r w:rsidRPr="00D94081">
              <w:rPr>
                <w:color w:val="231F20"/>
                <w:szCs w:val="24"/>
              </w:rPr>
              <w:t xml:space="preserve">Utskottet överlade med statsrådet </w:t>
            </w:r>
            <w:r w:rsidR="000D76FC">
              <w:rPr>
                <w:color w:val="231F20"/>
                <w:szCs w:val="24"/>
              </w:rPr>
              <w:t>Anders</w:t>
            </w:r>
            <w:r w:rsidRPr="00D94081">
              <w:rPr>
                <w:color w:val="231F20"/>
                <w:szCs w:val="24"/>
              </w:rPr>
              <w:t xml:space="preserve"> Ygeman, som tillsammans med medarbetare från Infrastrukturdepartementet deltog på distans.</w:t>
            </w:r>
          </w:p>
          <w:p w:rsidR="0063032A" w:rsidRPr="00D94081" w:rsidRDefault="0063032A" w:rsidP="00375D0B">
            <w:pPr>
              <w:autoSpaceDE w:val="0"/>
              <w:autoSpaceDN w:val="0"/>
              <w:spacing w:before="113" w:line="276" w:lineRule="auto"/>
              <w:ind w:right="248"/>
              <w:rPr>
                <w:color w:val="231F20"/>
                <w:szCs w:val="24"/>
              </w:rPr>
            </w:pPr>
            <w:r w:rsidRPr="00D94081">
              <w:rPr>
                <w:color w:val="231F20"/>
                <w:szCs w:val="24"/>
              </w:rPr>
              <w:t xml:space="preserve">Underlaget utgjordes av Regeringskansliets överläggningspromemoria (dnr. </w:t>
            </w:r>
            <w:proofErr w:type="gramStart"/>
            <w:r w:rsidRPr="00D94081">
              <w:rPr>
                <w:color w:val="231F20"/>
                <w:szCs w:val="24"/>
              </w:rPr>
              <w:t>354-2020</w:t>
            </w:r>
            <w:proofErr w:type="gramEnd"/>
            <w:r w:rsidRPr="00D94081">
              <w:rPr>
                <w:color w:val="231F20"/>
                <w:szCs w:val="24"/>
              </w:rPr>
              <w:t>/21).</w:t>
            </w:r>
          </w:p>
          <w:p w:rsidR="0063032A" w:rsidRDefault="0063032A" w:rsidP="00375D0B">
            <w:pPr>
              <w:autoSpaceDE w:val="0"/>
              <w:autoSpaceDN w:val="0"/>
              <w:spacing w:before="113" w:line="276" w:lineRule="auto"/>
              <w:ind w:right="396"/>
              <w:rPr>
                <w:color w:val="231F20"/>
                <w:szCs w:val="24"/>
              </w:rPr>
            </w:pPr>
            <w:r w:rsidRPr="00D94081">
              <w:rPr>
                <w:color w:val="231F20"/>
                <w:szCs w:val="24"/>
              </w:rPr>
              <w:t xml:space="preserve">Statsrådet redogjorde för regeringens ståndpunkt i enlighet med överläggningspromemorian (bilaga </w:t>
            </w:r>
            <w:r w:rsidR="00516CD2" w:rsidRPr="00516CD2">
              <w:rPr>
                <w:color w:val="231F20"/>
                <w:szCs w:val="24"/>
              </w:rPr>
              <w:t>1</w:t>
            </w:r>
            <w:r w:rsidRPr="00D94081">
              <w:rPr>
                <w:color w:val="231F20"/>
                <w:szCs w:val="24"/>
              </w:rPr>
              <w:t>).</w:t>
            </w:r>
          </w:p>
          <w:p w:rsidR="00375D0B" w:rsidRPr="00D94081" w:rsidRDefault="00375D0B" w:rsidP="00375D0B">
            <w:pPr>
              <w:autoSpaceDE w:val="0"/>
              <w:autoSpaceDN w:val="0"/>
              <w:spacing w:before="113" w:line="276" w:lineRule="auto"/>
              <w:ind w:right="396"/>
              <w:rPr>
                <w:szCs w:val="24"/>
              </w:rPr>
            </w:pPr>
            <w:r w:rsidRPr="00375D0B">
              <w:rPr>
                <w:szCs w:val="24"/>
              </w:rPr>
              <w:t xml:space="preserve">Överläggningen motiverade statsrådet att instämma i behovet av att tydligare betona vikten av personlig integritet. </w:t>
            </w:r>
          </w:p>
          <w:p w:rsidR="0063032A" w:rsidRPr="00D94081" w:rsidRDefault="0063032A" w:rsidP="00375D0B">
            <w:pPr>
              <w:autoSpaceDE w:val="0"/>
              <w:autoSpaceDN w:val="0"/>
              <w:spacing w:before="146" w:line="276" w:lineRule="auto"/>
              <w:rPr>
                <w:szCs w:val="24"/>
              </w:rPr>
            </w:pPr>
            <w:r w:rsidRPr="00D94081">
              <w:rPr>
                <w:color w:val="231F20"/>
                <w:szCs w:val="24"/>
              </w:rPr>
              <w:t>Ordföranden konstaterade att det fanns stöd för regeringens ståndpunkt.</w:t>
            </w:r>
          </w:p>
          <w:p w:rsidR="0063032A" w:rsidRPr="00D94081" w:rsidRDefault="0063032A" w:rsidP="0063032A">
            <w:pPr>
              <w:rPr>
                <w:color w:val="231F20"/>
                <w:szCs w:val="24"/>
              </w:rPr>
            </w:pPr>
          </w:p>
          <w:p w:rsidR="0063032A" w:rsidRPr="00D94081" w:rsidRDefault="0063032A" w:rsidP="0063032A">
            <w:pPr>
              <w:rPr>
                <w:color w:val="231F20"/>
                <w:szCs w:val="24"/>
              </w:rPr>
            </w:pPr>
            <w:r w:rsidRPr="00D94081">
              <w:rPr>
                <w:color w:val="231F20"/>
                <w:szCs w:val="24"/>
              </w:rPr>
              <w:t>Denna paragraf förklarades omedelbart justerad.</w:t>
            </w:r>
          </w:p>
          <w:p w:rsidR="00D94081" w:rsidRPr="00D94081" w:rsidRDefault="003D3E90" w:rsidP="00375D0B">
            <w:pPr>
              <w:autoSpaceDE w:val="0"/>
              <w:autoSpaceDN w:val="0"/>
              <w:spacing w:before="147" w:line="276" w:lineRule="auto"/>
              <w:ind w:right="248"/>
              <w:rPr>
                <w:b/>
                <w:bCs/>
                <w:color w:val="231F20"/>
                <w:szCs w:val="24"/>
              </w:rPr>
            </w:pPr>
            <w:r>
              <w:rPr>
                <w:b/>
                <w:snapToGrid w:val="0"/>
                <w:szCs w:val="24"/>
              </w:rPr>
              <w:br/>
            </w:r>
            <w:r w:rsidR="00375D0B">
              <w:rPr>
                <w:b/>
                <w:bCs/>
                <w:color w:val="231F20"/>
                <w:szCs w:val="24"/>
              </w:rPr>
              <w:t>Överläggning om u</w:t>
            </w:r>
            <w:r w:rsidR="00D94081" w:rsidRPr="00D94081">
              <w:rPr>
                <w:b/>
                <w:bCs/>
                <w:color w:val="231F20"/>
                <w:szCs w:val="24"/>
              </w:rPr>
              <w:t>ppföljande lagstiftning till EU:s datastrategi</w:t>
            </w:r>
          </w:p>
          <w:p w:rsidR="00D94081" w:rsidRPr="00D94081" w:rsidRDefault="00D94081" w:rsidP="00D94081">
            <w:pPr>
              <w:autoSpaceDE w:val="0"/>
              <w:autoSpaceDN w:val="0"/>
              <w:spacing w:before="114" w:line="276" w:lineRule="auto"/>
              <w:ind w:left="100" w:right="248"/>
              <w:rPr>
                <w:color w:val="231F20"/>
                <w:szCs w:val="24"/>
              </w:rPr>
            </w:pPr>
            <w:r w:rsidRPr="00D94081">
              <w:rPr>
                <w:color w:val="231F20"/>
                <w:szCs w:val="24"/>
              </w:rPr>
              <w:t xml:space="preserve">Utskottet överlade med statsrådet </w:t>
            </w:r>
            <w:r w:rsidR="000D76FC">
              <w:rPr>
                <w:color w:val="231F20"/>
                <w:szCs w:val="24"/>
              </w:rPr>
              <w:t>Anders</w:t>
            </w:r>
            <w:r w:rsidRPr="00D94081">
              <w:rPr>
                <w:color w:val="231F20"/>
                <w:szCs w:val="24"/>
              </w:rPr>
              <w:t xml:space="preserve"> Ygeman, som tillsammans med medarbetare från Infrastrukturdepartementet deltog på distans.</w:t>
            </w:r>
          </w:p>
          <w:p w:rsidR="00D94081" w:rsidRPr="00D94081" w:rsidRDefault="00D94081" w:rsidP="00D94081">
            <w:pPr>
              <w:autoSpaceDE w:val="0"/>
              <w:autoSpaceDN w:val="0"/>
              <w:spacing w:before="114" w:line="276" w:lineRule="auto"/>
              <w:ind w:left="100" w:right="248"/>
              <w:rPr>
                <w:color w:val="231F20"/>
                <w:szCs w:val="24"/>
              </w:rPr>
            </w:pPr>
            <w:r w:rsidRPr="00D94081">
              <w:rPr>
                <w:color w:val="231F20"/>
                <w:szCs w:val="24"/>
              </w:rPr>
              <w:t xml:space="preserve">Underlaget utgjordes av Regeringskansliets överläggningspromemoria (dnr. </w:t>
            </w:r>
            <w:proofErr w:type="gramStart"/>
            <w:r w:rsidRPr="00D94081">
              <w:rPr>
                <w:color w:val="231F20"/>
                <w:szCs w:val="24"/>
              </w:rPr>
              <w:t>354-2020</w:t>
            </w:r>
            <w:proofErr w:type="gramEnd"/>
            <w:r w:rsidRPr="00D94081">
              <w:rPr>
                <w:color w:val="231F20"/>
                <w:szCs w:val="24"/>
              </w:rPr>
              <w:t>/21).</w:t>
            </w:r>
          </w:p>
          <w:p w:rsidR="00D94081" w:rsidRDefault="00D94081" w:rsidP="00D94081">
            <w:pPr>
              <w:autoSpaceDE w:val="0"/>
              <w:autoSpaceDN w:val="0"/>
              <w:spacing w:before="114" w:line="276" w:lineRule="auto"/>
              <w:ind w:left="100" w:right="248"/>
              <w:rPr>
                <w:color w:val="231F20"/>
                <w:szCs w:val="24"/>
              </w:rPr>
            </w:pPr>
            <w:r w:rsidRPr="00D94081">
              <w:rPr>
                <w:color w:val="231F20"/>
                <w:szCs w:val="24"/>
              </w:rPr>
              <w:t xml:space="preserve">Statsrådet redogjorde för regeringens ståndpunkt i enlighet med </w:t>
            </w:r>
            <w:r w:rsidRPr="00D94081">
              <w:rPr>
                <w:color w:val="231F20"/>
                <w:szCs w:val="24"/>
              </w:rPr>
              <w:lastRenderedPageBreak/>
              <w:t xml:space="preserve">överläggningspromemorian (bilaga </w:t>
            </w:r>
            <w:r w:rsidR="00516CD2" w:rsidRPr="00516CD2">
              <w:rPr>
                <w:color w:val="231F20"/>
                <w:szCs w:val="24"/>
              </w:rPr>
              <w:t>2</w:t>
            </w:r>
            <w:r w:rsidRPr="00D94081">
              <w:rPr>
                <w:color w:val="231F20"/>
                <w:szCs w:val="24"/>
              </w:rPr>
              <w:t>).</w:t>
            </w:r>
          </w:p>
          <w:p w:rsidR="00375D0B" w:rsidRPr="00D94081" w:rsidRDefault="00375D0B" w:rsidP="00375D0B">
            <w:pPr>
              <w:autoSpaceDE w:val="0"/>
              <w:autoSpaceDN w:val="0"/>
              <w:spacing w:before="114" w:line="276" w:lineRule="auto"/>
              <w:ind w:left="100" w:right="248"/>
              <w:rPr>
                <w:color w:val="231F20"/>
                <w:szCs w:val="24"/>
              </w:rPr>
            </w:pPr>
            <w:r w:rsidRPr="00375D0B">
              <w:rPr>
                <w:color w:val="231F20"/>
                <w:szCs w:val="24"/>
              </w:rPr>
              <w:t>Överläggningen motiverade statsrådet att instämma i behovet av att framhålla vikten av att ansvarsfrågan för datakvalitet lyfts fram i det rättsliga ramverket.</w:t>
            </w:r>
          </w:p>
          <w:p w:rsidR="00D94081" w:rsidRPr="00D94081" w:rsidRDefault="00D94081" w:rsidP="00D94081">
            <w:pPr>
              <w:autoSpaceDE w:val="0"/>
              <w:autoSpaceDN w:val="0"/>
              <w:spacing w:before="114" w:line="276" w:lineRule="auto"/>
              <w:ind w:left="100" w:right="248"/>
              <w:rPr>
                <w:color w:val="231F20"/>
                <w:szCs w:val="24"/>
              </w:rPr>
            </w:pPr>
            <w:r w:rsidRPr="00D94081">
              <w:rPr>
                <w:color w:val="231F20"/>
                <w:szCs w:val="24"/>
              </w:rPr>
              <w:t>Ordföranden konstaterade att det fanns stöd för regeringens ståndpunkt</w:t>
            </w:r>
            <w:r w:rsidR="00375D0B">
              <w:rPr>
                <w:color w:val="231F20"/>
                <w:szCs w:val="24"/>
              </w:rPr>
              <w:t>.</w:t>
            </w:r>
          </w:p>
          <w:p w:rsidR="003A7BE6" w:rsidRPr="003A7BE6" w:rsidRDefault="00D94081" w:rsidP="003A7BE6">
            <w:pPr>
              <w:autoSpaceDE w:val="0"/>
              <w:autoSpaceDN w:val="0"/>
              <w:spacing w:before="147" w:line="276" w:lineRule="auto"/>
              <w:ind w:left="100" w:right="248"/>
              <w:rPr>
                <w:color w:val="231F20"/>
                <w:szCs w:val="24"/>
              </w:rPr>
            </w:pPr>
            <w:r w:rsidRPr="00D94081">
              <w:rPr>
                <w:color w:val="231F20"/>
                <w:szCs w:val="24"/>
              </w:rPr>
              <w:t>Denna paragraf förklarades omedelbart justerad.</w:t>
            </w:r>
            <w:r w:rsidR="003D3E90">
              <w:rPr>
                <w:color w:val="231F20"/>
                <w:szCs w:val="24"/>
              </w:rPr>
              <w:br/>
            </w:r>
          </w:p>
          <w:p w:rsidR="00655CA9" w:rsidRPr="00D94081" w:rsidRDefault="00655CA9" w:rsidP="00655CA9">
            <w:pPr>
              <w:tabs>
                <w:tab w:val="left" w:pos="1701"/>
              </w:tabs>
              <w:rPr>
                <w:rFonts w:eastAsiaTheme="minorHAnsi"/>
                <w:b/>
                <w:bCs/>
                <w:color w:val="000000"/>
                <w:szCs w:val="24"/>
                <w:lang w:eastAsia="en-US"/>
              </w:rPr>
            </w:pPr>
            <w:r w:rsidRPr="00D94081">
              <w:rPr>
                <w:rFonts w:eastAsiaTheme="minorHAnsi"/>
                <w:b/>
                <w:bCs/>
                <w:color w:val="000000"/>
                <w:szCs w:val="24"/>
                <w:lang w:eastAsia="en-US"/>
              </w:rPr>
              <w:t xml:space="preserve">Justering av protokoll </w:t>
            </w:r>
            <w:r w:rsidRPr="00D94081">
              <w:rPr>
                <w:rFonts w:eastAsiaTheme="minorHAnsi"/>
                <w:b/>
                <w:bCs/>
                <w:color w:val="000000"/>
                <w:szCs w:val="24"/>
                <w:lang w:eastAsia="en-US"/>
              </w:rPr>
              <w:br/>
            </w:r>
          </w:p>
        </w:tc>
      </w:tr>
      <w:tr w:rsidR="00655CA9" w:rsidRPr="00D94081" w:rsidTr="001C2C46">
        <w:tc>
          <w:tcPr>
            <w:tcW w:w="567" w:type="dxa"/>
          </w:tcPr>
          <w:p w:rsidR="00655CA9" w:rsidRPr="00D94081" w:rsidRDefault="00655CA9" w:rsidP="003A7BE6">
            <w:pPr>
              <w:tabs>
                <w:tab w:val="left" w:pos="1701"/>
              </w:tabs>
              <w:spacing w:line="276" w:lineRule="auto"/>
              <w:rPr>
                <w:b/>
                <w:snapToGrid w:val="0"/>
                <w:szCs w:val="24"/>
              </w:rPr>
            </w:pPr>
          </w:p>
          <w:p w:rsidR="00655CA9" w:rsidRPr="00D94081" w:rsidRDefault="00655CA9" w:rsidP="001C2C46">
            <w:pPr>
              <w:tabs>
                <w:tab w:val="left" w:pos="1701"/>
              </w:tabs>
              <w:rPr>
                <w:b/>
                <w:snapToGrid w:val="0"/>
                <w:szCs w:val="24"/>
              </w:rPr>
            </w:pPr>
          </w:p>
        </w:tc>
        <w:tc>
          <w:tcPr>
            <w:tcW w:w="6946" w:type="dxa"/>
            <w:gridSpan w:val="2"/>
          </w:tcPr>
          <w:p w:rsidR="00655CA9" w:rsidRPr="00D94081" w:rsidRDefault="00655CA9" w:rsidP="001C2C46">
            <w:pPr>
              <w:rPr>
                <w:color w:val="000000"/>
                <w:szCs w:val="24"/>
              </w:rPr>
            </w:pPr>
            <w:r w:rsidRPr="00D94081">
              <w:rPr>
                <w:color w:val="000000"/>
                <w:szCs w:val="24"/>
              </w:rPr>
              <w:t>Utskottet justerade protokoll 2020/21:</w:t>
            </w:r>
            <w:r w:rsidR="003D3E90">
              <w:rPr>
                <w:color w:val="000000"/>
                <w:szCs w:val="24"/>
              </w:rPr>
              <w:t>3</w:t>
            </w:r>
            <w:r w:rsidRPr="00D94081">
              <w:rPr>
                <w:color w:val="000000"/>
                <w:szCs w:val="24"/>
              </w:rPr>
              <w:t>.</w:t>
            </w:r>
          </w:p>
        </w:tc>
      </w:tr>
      <w:tr w:rsidR="00655CA9" w:rsidRPr="00D94081" w:rsidTr="001C2C46">
        <w:tc>
          <w:tcPr>
            <w:tcW w:w="567" w:type="dxa"/>
          </w:tcPr>
          <w:p w:rsidR="00655CA9" w:rsidRPr="00D94081" w:rsidRDefault="003A7BE6" w:rsidP="001C2C46">
            <w:pPr>
              <w:tabs>
                <w:tab w:val="left" w:pos="1701"/>
              </w:tabs>
              <w:rPr>
                <w:b/>
                <w:snapToGrid w:val="0"/>
                <w:szCs w:val="24"/>
              </w:rPr>
            </w:pPr>
            <w:r>
              <w:rPr>
                <w:b/>
                <w:snapToGrid w:val="0"/>
                <w:szCs w:val="24"/>
              </w:rPr>
              <w:t xml:space="preserve">§ </w:t>
            </w:r>
            <w:r w:rsidR="003D3E90">
              <w:rPr>
                <w:b/>
                <w:snapToGrid w:val="0"/>
                <w:szCs w:val="24"/>
              </w:rPr>
              <w:t>5</w:t>
            </w:r>
          </w:p>
          <w:p w:rsidR="00655CA9" w:rsidRPr="00D94081" w:rsidRDefault="00655CA9" w:rsidP="001C2C46">
            <w:pPr>
              <w:tabs>
                <w:tab w:val="left" w:pos="1701"/>
              </w:tabs>
              <w:rPr>
                <w:b/>
                <w:snapToGrid w:val="0"/>
                <w:szCs w:val="24"/>
              </w:rPr>
            </w:pPr>
          </w:p>
          <w:p w:rsidR="00655CA9" w:rsidRPr="00D94081" w:rsidRDefault="00655CA9" w:rsidP="001C2C46">
            <w:pPr>
              <w:tabs>
                <w:tab w:val="left" w:pos="1701"/>
              </w:tabs>
              <w:rPr>
                <w:b/>
                <w:snapToGrid w:val="0"/>
                <w:szCs w:val="24"/>
              </w:rPr>
            </w:pPr>
          </w:p>
          <w:p w:rsidR="00655CA9" w:rsidRPr="00D94081" w:rsidRDefault="00655CA9" w:rsidP="001C2C46">
            <w:pPr>
              <w:tabs>
                <w:tab w:val="left" w:pos="1701"/>
              </w:tabs>
              <w:rPr>
                <w:b/>
                <w:snapToGrid w:val="0"/>
                <w:szCs w:val="24"/>
              </w:rPr>
            </w:pPr>
          </w:p>
          <w:p w:rsidR="00DE082E" w:rsidRPr="00D94081" w:rsidRDefault="00DE082E" w:rsidP="001C2C46">
            <w:pPr>
              <w:tabs>
                <w:tab w:val="left" w:pos="1701"/>
              </w:tabs>
              <w:rPr>
                <w:b/>
                <w:snapToGrid w:val="0"/>
                <w:szCs w:val="24"/>
              </w:rPr>
            </w:pPr>
          </w:p>
          <w:p w:rsidR="00DE082E" w:rsidRPr="00D94081" w:rsidRDefault="00DE082E" w:rsidP="001C2C46">
            <w:pPr>
              <w:tabs>
                <w:tab w:val="left" w:pos="1701"/>
              </w:tabs>
              <w:rPr>
                <w:b/>
                <w:snapToGrid w:val="0"/>
                <w:szCs w:val="24"/>
              </w:rPr>
            </w:pPr>
          </w:p>
          <w:p w:rsidR="00DE082E" w:rsidRPr="00D94081" w:rsidRDefault="00DE082E" w:rsidP="001C2C46">
            <w:pPr>
              <w:tabs>
                <w:tab w:val="left" w:pos="1701"/>
              </w:tabs>
              <w:rPr>
                <w:b/>
                <w:snapToGrid w:val="0"/>
                <w:szCs w:val="24"/>
              </w:rPr>
            </w:pPr>
          </w:p>
          <w:p w:rsidR="00655CA9" w:rsidRPr="00D94081" w:rsidRDefault="00655CA9" w:rsidP="001C2C46">
            <w:pPr>
              <w:tabs>
                <w:tab w:val="left" w:pos="1701"/>
              </w:tabs>
              <w:rPr>
                <w:b/>
                <w:snapToGrid w:val="0"/>
                <w:szCs w:val="24"/>
              </w:rPr>
            </w:pPr>
            <w:r w:rsidRPr="00D94081">
              <w:rPr>
                <w:b/>
                <w:snapToGrid w:val="0"/>
                <w:szCs w:val="24"/>
              </w:rPr>
              <w:t xml:space="preserve">§ </w:t>
            </w:r>
            <w:r w:rsidR="003D3E90">
              <w:rPr>
                <w:b/>
                <w:snapToGrid w:val="0"/>
                <w:szCs w:val="24"/>
              </w:rPr>
              <w:t xml:space="preserve">6 </w:t>
            </w:r>
          </w:p>
        </w:tc>
        <w:tc>
          <w:tcPr>
            <w:tcW w:w="6946" w:type="dxa"/>
            <w:gridSpan w:val="2"/>
          </w:tcPr>
          <w:p w:rsidR="00DE082E" w:rsidRPr="00D94081" w:rsidRDefault="00655CA9" w:rsidP="00655CA9">
            <w:pPr>
              <w:tabs>
                <w:tab w:val="left" w:pos="1701"/>
              </w:tabs>
              <w:spacing w:line="256" w:lineRule="auto"/>
              <w:rPr>
                <w:rFonts w:eastAsiaTheme="minorHAnsi"/>
                <w:b/>
                <w:bCs/>
                <w:color w:val="000000"/>
                <w:szCs w:val="24"/>
                <w:lang w:eastAsia="en-US"/>
              </w:rPr>
            </w:pPr>
            <w:r w:rsidRPr="00D94081">
              <w:rPr>
                <w:rFonts w:eastAsiaTheme="minorHAnsi"/>
                <w:b/>
                <w:bCs/>
                <w:color w:val="000000"/>
                <w:szCs w:val="24"/>
                <w:lang w:eastAsia="en-US"/>
              </w:rPr>
              <w:t>Utgiftsram för utgiftsområde 22 Kommunikationer (TU1y)</w:t>
            </w:r>
          </w:p>
          <w:p w:rsidR="00DE082E" w:rsidRPr="00D94081" w:rsidRDefault="00DE082E" w:rsidP="00655CA9">
            <w:pPr>
              <w:tabs>
                <w:tab w:val="left" w:pos="1701"/>
              </w:tabs>
              <w:spacing w:line="256" w:lineRule="auto"/>
              <w:rPr>
                <w:rFonts w:eastAsiaTheme="minorHAnsi"/>
                <w:b/>
                <w:bCs/>
                <w:color w:val="000000"/>
                <w:szCs w:val="24"/>
                <w:lang w:eastAsia="en-US"/>
              </w:rPr>
            </w:pPr>
          </w:p>
          <w:p w:rsidR="00DE082E" w:rsidRPr="00D94081" w:rsidRDefault="00DE082E" w:rsidP="00DE082E">
            <w:pPr>
              <w:rPr>
                <w:rFonts w:eastAsiaTheme="minorHAnsi"/>
                <w:color w:val="000000"/>
                <w:szCs w:val="24"/>
                <w:lang w:eastAsia="en-US"/>
              </w:rPr>
            </w:pPr>
            <w:r w:rsidRPr="00D94081">
              <w:rPr>
                <w:szCs w:val="24"/>
              </w:rPr>
              <w:t xml:space="preserve">Utskottet behandlade frågan om yttrande till finansutskottet över </w:t>
            </w:r>
            <w:r w:rsidRPr="00D94081">
              <w:rPr>
                <w:rFonts w:eastAsiaTheme="minorHAnsi"/>
                <w:color w:val="000000"/>
                <w:szCs w:val="24"/>
                <w:lang w:eastAsia="en-US"/>
              </w:rPr>
              <w:t>proposition 2020/21:1 och motioner.</w:t>
            </w:r>
          </w:p>
          <w:p w:rsidR="00DE082E" w:rsidRPr="00D94081" w:rsidRDefault="00DE082E" w:rsidP="00DE082E">
            <w:pPr>
              <w:rPr>
                <w:rFonts w:eastAsiaTheme="minorHAnsi"/>
                <w:color w:val="000000"/>
                <w:szCs w:val="24"/>
                <w:lang w:eastAsia="en-US"/>
              </w:rPr>
            </w:pPr>
          </w:p>
          <w:p w:rsidR="00DE082E" w:rsidRPr="00D94081" w:rsidRDefault="00DE082E" w:rsidP="00DE082E">
            <w:pPr>
              <w:rPr>
                <w:szCs w:val="24"/>
              </w:rPr>
            </w:pPr>
            <w:r w:rsidRPr="00D94081">
              <w:rPr>
                <w:rFonts w:eastAsiaTheme="minorHAnsi"/>
                <w:color w:val="000000"/>
                <w:szCs w:val="24"/>
                <w:lang w:eastAsia="en-US"/>
              </w:rPr>
              <w:t>Ärendet bordlades.</w:t>
            </w:r>
          </w:p>
          <w:p w:rsidR="00DE082E" w:rsidRPr="00D94081" w:rsidRDefault="00DE082E" w:rsidP="00655CA9">
            <w:pPr>
              <w:tabs>
                <w:tab w:val="left" w:pos="1701"/>
              </w:tabs>
              <w:spacing w:line="256" w:lineRule="auto"/>
              <w:rPr>
                <w:rFonts w:eastAsiaTheme="minorHAnsi"/>
                <w:color w:val="000000"/>
                <w:szCs w:val="24"/>
                <w:lang w:eastAsia="en-US"/>
              </w:rPr>
            </w:pPr>
          </w:p>
          <w:p w:rsidR="00DE082E" w:rsidRPr="00D94081" w:rsidRDefault="00DE082E" w:rsidP="00DE082E">
            <w:pPr>
              <w:tabs>
                <w:tab w:val="left" w:pos="1701"/>
              </w:tabs>
              <w:spacing w:line="256" w:lineRule="auto"/>
              <w:rPr>
                <w:rFonts w:eastAsiaTheme="minorHAnsi"/>
                <w:b/>
                <w:bCs/>
                <w:color w:val="000000"/>
                <w:szCs w:val="24"/>
                <w:lang w:eastAsia="en-US"/>
              </w:rPr>
            </w:pPr>
            <w:r w:rsidRPr="00D94081">
              <w:rPr>
                <w:rFonts w:eastAsiaTheme="minorHAnsi"/>
                <w:b/>
                <w:bCs/>
                <w:color w:val="000000"/>
                <w:szCs w:val="24"/>
                <w:lang w:eastAsia="en-US"/>
              </w:rPr>
              <w:t>Höständringsbudgeten</w:t>
            </w:r>
          </w:p>
          <w:p w:rsidR="00DE082E" w:rsidRPr="00D94081" w:rsidRDefault="00DE082E" w:rsidP="00DE082E">
            <w:pPr>
              <w:rPr>
                <w:rFonts w:eastAsiaTheme="minorHAnsi"/>
                <w:color w:val="000000"/>
                <w:szCs w:val="24"/>
                <w:lang w:eastAsia="en-US"/>
              </w:rPr>
            </w:pPr>
            <w:r w:rsidRPr="00D94081">
              <w:rPr>
                <w:rFonts w:eastAsiaTheme="minorHAnsi"/>
                <w:b/>
                <w:bCs/>
                <w:color w:val="000000"/>
                <w:szCs w:val="24"/>
                <w:lang w:eastAsia="en-US"/>
              </w:rPr>
              <w:br/>
            </w:r>
            <w:r w:rsidRPr="00D94081">
              <w:rPr>
                <w:szCs w:val="24"/>
              </w:rPr>
              <w:t xml:space="preserve">Utskottet behandlade frågan om yttrande till finansutskottet över </w:t>
            </w:r>
            <w:r w:rsidRPr="00D94081">
              <w:rPr>
                <w:rFonts w:eastAsiaTheme="minorHAnsi"/>
                <w:color w:val="000000"/>
                <w:szCs w:val="24"/>
                <w:lang w:eastAsia="en-US"/>
              </w:rPr>
              <w:t>proposition 2020/21:2.</w:t>
            </w:r>
          </w:p>
          <w:p w:rsidR="00DE082E" w:rsidRPr="00D94081" w:rsidRDefault="00DE082E" w:rsidP="00DE082E">
            <w:pPr>
              <w:rPr>
                <w:rFonts w:eastAsiaTheme="minorHAnsi"/>
                <w:color w:val="000000"/>
                <w:szCs w:val="24"/>
                <w:lang w:eastAsia="en-US"/>
              </w:rPr>
            </w:pPr>
          </w:p>
          <w:p w:rsidR="00DE082E" w:rsidRPr="00D94081" w:rsidRDefault="00DE082E" w:rsidP="00DE082E">
            <w:pPr>
              <w:rPr>
                <w:szCs w:val="24"/>
              </w:rPr>
            </w:pPr>
            <w:r w:rsidRPr="00D94081">
              <w:rPr>
                <w:rFonts w:eastAsiaTheme="minorHAnsi"/>
                <w:color w:val="000000"/>
                <w:szCs w:val="24"/>
                <w:lang w:eastAsia="en-US"/>
              </w:rPr>
              <w:t>Utskottet beslutade att inte yttra sig.</w:t>
            </w:r>
          </w:p>
          <w:p w:rsidR="00DE082E" w:rsidRPr="00D94081" w:rsidRDefault="00DE082E" w:rsidP="00655CA9">
            <w:pPr>
              <w:tabs>
                <w:tab w:val="left" w:pos="1701"/>
              </w:tabs>
              <w:spacing w:line="256" w:lineRule="auto"/>
              <w:rPr>
                <w:rFonts w:eastAsiaTheme="minorHAnsi"/>
                <w:color w:val="000000"/>
                <w:szCs w:val="24"/>
                <w:lang w:eastAsia="en-US"/>
              </w:rPr>
            </w:pPr>
          </w:p>
        </w:tc>
      </w:tr>
      <w:tr w:rsidR="00655CA9" w:rsidRPr="00D94081" w:rsidTr="001C2C46">
        <w:tc>
          <w:tcPr>
            <w:tcW w:w="567" w:type="dxa"/>
          </w:tcPr>
          <w:p w:rsidR="00655CA9" w:rsidRPr="00D94081" w:rsidRDefault="00655CA9" w:rsidP="001C2C46">
            <w:pPr>
              <w:tabs>
                <w:tab w:val="left" w:pos="1701"/>
              </w:tabs>
              <w:rPr>
                <w:b/>
                <w:snapToGrid w:val="0"/>
                <w:szCs w:val="24"/>
              </w:rPr>
            </w:pPr>
            <w:r w:rsidRPr="00D94081">
              <w:rPr>
                <w:b/>
                <w:snapToGrid w:val="0"/>
                <w:szCs w:val="24"/>
              </w:rPr>
              <w:t xml:space="preserve">§ </w:t>
            </w:r>
            <w:r w:rsidR="003D3E90">
              <w:rPr>
                <w:b/>
                <w:snapToGrid w:val="0"/>
                <w:szCs w:val="24"/>
              </w:rPr>
              <w:t>7</w:t>
            </w:r>
          </w:p>
          <w:p w:rsidR="00655CA9" w:rsidRPr="00D94081" w:rsidRDefault="00655CA9" w:rsidP="001C2C46">
            <w:pPr>
              <w:tabs>
                <w:tab w:val="left" w:pos="1701"/>
              </w:tabs>
              <w:rPr>
                <w:b/>
                <w:snapToGrid w:val="0"/>
                <w:szCs w:val="24"/>
              </w:rPr>
            </w:pPr>
          </w:p>
          <w:p w:rsidR="00655CA9" w:rsidRPr="00D94081" w:rsidRDefault="00655CA9" w:rsidP="001C2C46">
            <w:pPr>
              <w:tabs>
                <w:tab w:val="left" w:pos="1701"/>
              </w:tabs>
              <w:rPr>
                <w:b/>
                <w:snapToGrid w:val="0"/>
                <w:szCs w:val="24"/>
              </w:rPr>
            </w:pPr>
            <w:r w:rsidRPr="00D94081">
              <w:rPr>
                <w:b/>
                <w:snapToGrid w:val="0"/>
                <w:szCs w:val="24"/>
              </w:rPr>
              <w:t xml:space="preserve"> </w:t>
            </w:r>
          </w:p>
        </w:tc>
        <w:tc>
          <w:tcPr>
            <w:tcW w:w="6946" w:type="dxa"/>
            <w:gridSpan w:val="2"/>
          </w:tcPr>
          <w:p w:rsidR="00181143" w:rsidRPr="00D94081" w:rsidRDefault="00181143" w:rsidP="00181143">
            <w:pPr>
              <w:tabs>
                <w:tab w:val="left" w:pos="1701"/>
              </w:tabs>
              <w:rPr>
                <w:rFonts w:eastAsiaTheme="minorHAnsi"/>
                <w:b/>
                <w:bCs/>
                <w:color w:val="000000"/>
                <w:szCs w:val="24"/>
                <w:lang w:eastAsia="en-US"/>
              </w:rPr>
            </w:pPr>
            <w:r w:rsidRPr="00D94081">
              <w:rPr>
                <w:rFonts w:eastAsiaTheme="minorHAnsi"/>
                <w:b/>
                <w:bCs/>
                <w:color w:val="000000"/>
                <w:szCs w:val="24"/>
                <w:lang w:eastAsia="en-US"/>
              </w:rPr>
              <w:t>Inkomna skrivelser</w:t>
            </w:r>
          </w:p>
          <w:p w:rsidR="00181143" w:rsidRPr="00D94081" w:rsidRDefault="00181143" w:rsidP="00181143">
            <w:pPr>
              <w:tabs>
                <w:tab w:val="left" w:pos="1701"/>
              </w:tabs>
              <w:rPr>
                <w:rFonts w:eastAsiaTheme="minorHAnsi"/>
                <w:bCs/>
                <w:color w:val="000000"/>
                <w:szCs w:val="24"/>
                <w:lang w:eastAsia="en-US"/>
              </w:rPr>
            </w:pPr>
          </w:p>
          <w:p w:rsidR="00181143" w:rsidRPr="00D94081" w:rsidRDefault="00181143" w:rsidP="00181143">
            <w:pPr>
              <w:rPr>
                <w:szCs w:val="24"/>
              </w:rPr>
            </w:pPr>
            <w:r w:rsidRPr="00D94081">
              <w:rPr>
                <w:szCs w:val="24"/>
              </w:rPr>
              <w:t>Anmäldes till utskottet inkomna skrivelser enligt bilaga 2.</w:t>
            </w:r>
          </w:p>
          <w:p w:rsidR="00655CA9" w:rsidRPr="00D94081" w:rsidRDefault="00655CA9" w:rsidP="00DE082E">
            <w:pPr>
              <w:rPr>
                <w:rFonts w:eastAsiaTheme="minorHAnsi"/>
                <w:b/>
                <w:bCs/>
                <w:color w:val="000000"/>
                <w:szCs w:val="24"/>
                <w:lang w:eastAsia="en-US"/>
              </w:rPr>
            </w:pPr>
          </w:p>
        </w:tc>
      </w:tr>
      <w:tr w:rsidR="00655CA9" w:rsidRPr="00D94081" w:rsidTr="001C2C46">
        <w:tc>
          <w:tcPr>
            <w:tcW w:w="567" w:type="dxa"/>
          </w:tcPr>
          <w:p w:rsidR="00655CA9" w:rsidRPr="00D94081" w:rsidRDefault="00655CA9" w:rsidP="001C2C46">
            <w:pPr>
              <w:tabs>
                <w:tab w:val="left" w:pos="1701"/>
              </w:tabs>
              <w:rPr>
                <w:b/>
                <w:snapToGrid w:val="0"/>
                <w:szCs w:val="24"/>
              </w:rPr>
            </w:pPr>
            <w:r w:rsidRPr="00D94081">
              <w:rPr>
                <w:b/>
                <w:snapToGrid w:val="0"/>
                <w:szCs w:val="24"/>
              </w:rPr>
              <w:t xml:space="preserve">§ </w:t>
            </w:r>
            <w:r w:rsidR="003D3E90">
              <w:rPr>
                <w:b/>
                <w:snapToGrid w:val="0"/>
                <w:szCs w:val="24"/>
              </w:rPr>
              <w:t>8</w:t>
            </w:r>
          </w:p>
          <w:p w:rsidR="00655CA9" w:rsidRPr="00D94081" w:rsidRDefault="00655CA9" w:rsidP="001C2C46">
            <w:pPr>
              <w:tabs>
                <w:tab w:val="left" w:pos="1701"/>
              </w:tabs>
              <w:rPr>
                <w:b/>
                <w:snapToGrid w:val="0"/>
                <w:szCs w:val="24"/>
              </w:rPr>
            </w:pPr>
          </w:p>
          <w:p w:rsidR="00655CA9" w:rsidRPr="00D94081" w:rsidRDefault="00655CA9" w:rsidP="001C2C46">
            <w:pPr>
              <w:tabs>
                <w:tab w:val="left" w:pos="1701"/>
              </w:tabs>
              <w:rPr>
                <w:b/>
                <w:snapToGrid w:val="0"/>
                <w:szCs w:val="24"/>
              </w:rPr>
            </w:pPr>
          </w:p>
        </w:tc>
        <w:tc>
          <w:tcPr>
            <w:tcW w:w="6946" w:type="dxa"/>
            <w:gridSpan w:val="2"/>
          </w:tcPr>
          <w:p w:rsidR="00655CA9" w:rsidRDefault="00181143" w:rsidP="00181143">
            <w:pPr>
              <w:rPr>
                <w:rFonts w:eastAsiaTheme="minorHAnsi"/>
                <w:b/>
                <w:bCs/>
                <w:color w:val="000000"/>
                <w:szCs w:val="24"/>
                <w:lang w:eastAsia="en-US"/>
              </w:rPr>
            </w:pPr>
            <w:r w:rsidRPr="00D94081">
              <w:rPr>
                <w:rFonts w:eastAsiaTheme="minorHAnsi"/>
                <w:b/>
                <w:bCs/>
                <w:color w:val="000000"/>
                <w:szCs w:val="24"/>
                <w:lang w:eastAsia="en-US"/>
              </w:rPr>
              <w:t>Övriga frågor</w:t>
            </w:r>
          </w:p>
          <w:p w:rsidR="009D5219" w:rsidRPr="00D94081" w:rsidRDefault="009D5219" w:rsidP="00181143">
            <w:pPr>
              <w:rPr>
                <w:rFonts w:eastAsiaTheme="minorHAnsi"/>
                <w:b/>
                <w:bCs/>
                <w:color w:val="000000"/>
                <w:szCs w:val="24"/>
                <w:lang w:eastAsia="en-US"/>
              </w:rPr>
            </w:pPr>
          </w:p>
          <w:p w:rsidR="00A042A4" w:rsidRPr="00AF0FA0" w:rsidRDefault="00A042A4" w:rsidP="00181143">
            <w:pPr>
              <w:rPr>
                <w:color w:val="000000"/>
                <w:sz w:val="22"/>
              </w:rPr>
            </w:pPr>
            <w:r w:rsidRPr="00D94081">
              <w:rPr>
                <w:rFonts w:eastAsiaTheme="minorHAnsi"/>
                <w:bCs/>
                <w:color w:val="000000"/>
                <w:szCs w:val="24"/>
                <w:lang w:eastAsia="en-US"/>
              </w:rPr>
              <w:t xml:space="preserve">Jens Holm (V) </w:t>
            </w:r>
            <w:r w:rsidR="00AF0FA0">
              <w:rPr>
                <w:rFonts w:eastAsiaTheme="minorHAnsi"/>
                <w:bCs/>
                <w:color w:val="000000"/>
                <w:szCs w:val="24"/>
                <w:lang w:eastAsia="en-US"/>
              </w:rPr>
              <w:t>åter</w:t>
            </w:r>
            <w:r w:rsidRPr="00D94081">
              <w:rPr>
                <w:rFonts w:eastAsiaTheme="minorHAnsi"/>
                <w:bCs/>
                <w:color w:val="000000"/>
                <w:szCs w:val="24"/>
                <w:lang w:eastAsia="en-US"/>
              </w:rPr>
              <w:t>rapporterade från</w:t>
            </w:r>
            <w:r w:rsidR="003D3E90">
              <w:rPr>
                <w:rFonts w:eastAsiaTheme="minorHAnsi"/>
                <w:bCs/>
                <w:color w:val="000000"/>
                <w:szCs w:val="24"/>
                <w:lang w:eastAsia="en-US"/>
              </w:rPr>
              <w:t xml:space="preserve"> den interparlamentariska video-</w:t>
            </w:r>
            <w:r w:rsidR="00AF0FA0">
              <w:rPr>
                <w:rFonts w:eastAsiaTheme="minorHAnsi"/>
                <w:bCs/>
                <w:color w:val="000000"/>
                <w:szCs w:val="24"/>
                <w:lang w:eastAsia="en-US"/>
              </w:rPr>
              <w:t xml:space="preserve">konferensen </w:t>
            </w:r>
            <w:r w:rsidR="00AF0FA0" w:rsidRPr="00AF0FA0">
              <w:rPr>
                <w:color w:val="000000"/>
              </w:rPr>
              <w:t>om den europeiska gröna given som anordna</w:t>
            </w:r>
            <w:r w:rsidR="003D3E90">
              <w:rPr>
                <w:color w:val="000000"/>
              </w:rPr>
              <w:t>de</w:t>
            </w:r>
            <w:r w:rsidR="00AF0FA0" w:rsidRPr="00AF0FA0">
              <w:rPr>
                <w:color w:val="000000"/>
              </w:rPr>
              <w:t>s</w:t>
            </w:r>
            <w:r w:rsidR="00AF0FA0">
              <w:rPr>
                <w:color w:val="000000"/>
              </w:rPr>
              <w:t xml:space="preserve"> inom ramen för det tyska ordförandeskapet den 5 oktober 2020.</w:t>
            </w:r>
          </w:p>
          <w:p w:rsidR="009D5219" w:rsidRDefault="009D5219" w:rsidP="00181143">
            <w:pPr>
              <w:rPr>
                <w:rFonts w:eastAsiaTheme="minorHAnsi"/>
                <w:bCs/>
                <w:color w:val="000000"/>
                <w:szCs w:val="24"/>
                <w:lang w:eastAsia="en-US"/>
              </w:rPr>
            </w:pPr>
          </w:p>
          <w:p w:rsidR="009D5219" w:rsidRPr="00C23667" w:rsidRDefault="009D5219" w:rsidP="009D5219">
            <w:pPr>
              <w:rPr>
                <w:szCs w:val="24"/>
              </w:rPr>
            </w:pPr>
            <w:r w:rsidRPr="00C23667">
              <w:rPr>
                <w:szCs w:val="24"/>
              </w:rPr>
              <w:t>Ledamoten Maria Stockhaus (M) lämnade förslag om att omgående bjuda in företrädare för Trafikverket för att lämna information med anledning av Riksrevisionens granskning ”Drift och underhåll av järnvägar – omfattande kostnadsavvikelser” (</w:t>
            </w:r>
            <w:proofErr w:type="spellStart"/>
            <w:r w:rsidRPr="00C23667">
              <w:rPr>
                <w:szCs w:val="24"/>
              </w:rPr>
              <w:t>RiR</w:t>
            </w:r>
            <w:proofErr w:type="spellEnd"/>
            <w:r w:rsidRPr="00C23667">
              <w:rPr>
                <w:szCs w:val="24"/>
              </w:rPr>
              <w:t xml:space="preserve"> 2020:17). </w:t>
            </w:r>
          </w:p>
          <w:p w:rsidR="009D5219" w:rsidRPr="00C23667" w:rsidRDefault="009D5219" w:rsidP="009D5219">
            <w:pPr>
              <w:rPr>
                <w:szCs w:val="24"/>
              </w:rPr>
            </w:pPr>
            <w:r w:rsidRPr="00C23667">
              <w:rPr>
                <w:szCs w:val="24"/>
              </w:rPr>
              <w:t xml:space="preserve">Utskottet beslutade om att i ett första skede omgående bjuda in Riksrevisionen för att lämna information om den genomförda granskningen och att först därefter fatta beslut i frågan om att bjuda in Trafikverket. </w:t>
            </w:r>
          </w:p>
          <w:p w:rsidR="009D5219" w:rsidRPr="00C23667" w:rsidRDefault="009D5219" w:rsidP="009D5219">
            <w:pPr>
              <w:rPr>
                <w:szCs w:val="24"/>
              </w:rPr>
            </w:pPr>
            <w:r w:rsidRPr="00C23667">
              <w:rPr>
                <w:szCs w:val="24"/>
              </w:rPr>
              <w:t>M- och KD-ledamöterna reserverade sig mot beslutet om att inte omgående bjuda in Trafikverket.</w:t>
            </w:r>
          </w:p>
          <w:p w:rsidR="009D5219" w:rsidRPr="00D94081" w:rsidRDefault="009D5219" w:rsidP="00181143">
            <w:pPr>
              <w:rPr>
                <w:rFonts w:eastAsiaTheme="minorHAnsi"/>
                <w:bCs/>
                <w:color w:val="000000"/>
                <w:szCs w:val="24"/>
                <w:lang w:eastAsia="en-US"/>
              </w:rPr>
            </w:pPr>
          </w:p>
        </w:tc>
      </w:tr>
      <w:tr w:rsidR="00655CA9" w:rsidRPr="00D94081" w:rsidTr="001C2C46">
        <w:tc>
          <w:tcPr>
            <w:tcW w:w="567" w:type="dxa"/>
          </w:tcPr>
          <w:p w:rsidR="00655CA9" w:rsidRPr="00D94081" w:rsidRDefault="00655CA9" w:rsidP="001C2C46">
            <w:pPr>
              <w:tabs>
                <w:tab w:val="left" w:pos="1701"/>
              </w:tabs>
              <w:rPr>
                <w:b/>
                <w:snapToGrid w:val="0"/>
                <w:szCs w:val="24"/>
              </w:rPr>
            </w:pPr>
            <w:r w:rsidRPr="00D94081">
              <w:rPr>
                <w:b/>
                <w:snapToGrid w:val="0"/>
                <w:szCs w:val="24"/>
              </w:rPr>
              <w:t xml:space="preserve">§ </w:t>
            </w:r>
            <w:r w:rsidR="003D3E90">
              <w:rPr>
                <w:b/>
                <w:snapToGrid w:val="0"/>
                <w:szCs w:val="24"/>
              </w:rPr>
              <w:t>9</w:t>
            </w:r>
          </w:p>
        </w:tc>
        <w:tc>
          <w:tcPr>
            <w:tcW w:w="6946" w:type="dxa"/>
            <w:gridSpan w:val="2"/>
          </w:tcPr>
          <w:p w:rsidR="00655CA9" w:rsidRPr="00D94081" w:rsidRDefault="00655CA9" w:rsidP="001C2C46">
            <w:pPr>
              <w:rPr>
                <w:rFonts w:eastAsiaTheme="minorHAnsi"/>
                <w:bCs/>
                <w:color w:val="000000"/>
                <w:szCs w:val="24"/>
                <w:lang w:eastAsia="en-US"/>
              </w:rPr>
            </w:pPr>
            <w:r w:rsidRPr="00D94081">
              <w:rPr>
                <w:b/>
                <w:bCs/>
                <w:color w:val="000000"/>
                <w:szCs w:val="24"/>
              </w:rPr>
              <w:t>Nästa sammanträde</w:t>
            </w:r>
          </w:p>
          <w:p w:rsidR="00655CA9" w:rsidRPr="00D94081" w:rsidRDefault="00655CA9" w:rsidP="001C2C46">
            <w:pPr>
              <w:rPr>
                <w:rFonts w:eastAsiaTheme="minorHAnsi"/>
                <w:bCs/>
                <w:color w:val="000000"/>
                <w:szCs w:val="24"/>
                <w:lang w:eastAsia="en-US"/>
              </w:rPr>
            </w:pPr>
          </w:p>
          <w:p w:rsidR="00655CA9" w:rsidRPr="00D94081" w:rsidRDefault="00655CA9" w:rsidP="001C2C46">
            <w:pPr>
              <w:rPr>
                <w:snapToGrid w:val="0"/>
                <w:szCs w:val="24"/>
              </w:rPr>
            </w:pPr>
            <w:r w:rsidRPr="00D94081">
              <w:rPr>
                <w:snapToGrid w:val="0"/>
                <w:szCs w:val="24"/>
              </w:rPr>
              <w:t>Nästa sammanträde äger rum torsdagen den 15 oktober</w:t>
            </w:r>
            <w:r w:rsidR="00422EB2">
              <w:rPr>
                <w:snapToGrid w:val="0"/>
                <w:szCs w:val="24"/>
              </w:rPr>
              <w:t xml:space="preserve"> kl. 13.00</w:t>
            </w:r>
            <w:r w:rsidRPr="00D94081">
              <w:rPr>
                <w:snapToGrid w:val="0"/>
                <w:szCs w:val="24"/>
              </w:rPr>
              <w:t>.</w:t>
            </w:r>
          </w:p>
          <w:p w:rsidR="00655CA9" w:rsidRPr="00D94081" w:rsidRDefault="00655CA9" w:rsidP="001C2C46">
            <w:pPr>
              <w:rPr>
                <w:rFonts w:eastAsiaTheme="minorHAnsi"/>
                <w:bCs/>
                <w:color w:val="000000"/>
                <w:szCs w:val="24"/>
                <w:lang w:eastAsia="en-US"/>
              </w:rPr>
            </w:pPr>
          </w:p>
        </w:tc>
      </w:tr>
      <w:tr w:rsidR="00655CA9" w:rsidRPr="00D94081" w:rsidTr="001C2C46">
        <w:trPr>
          <w:gridAfter w:val="1"/>
          <w:wAfter w:w="357" w:type="dxa"/>
        </w:trPr>
        <w:tc>
          <w:tcPr>
            <w:tcW w:w="7156" w:type="dxa"/>
            <w:gridSpan w:val="2"/>
          </w:tcPr>
          <w:p w:rsidR="00655CA9" w:rsidRPr="00D94081" w:rsidRDefault="00655CA9" w:rsidP="001C2C46">
            <w:pPr>
              <w:tabs>
                <w:tab w:val="left" w:pos="1701"/>
              </w:tabs>
              <w:rPr>
                <w:szCs w:val="24"/>
              </w:rPr>
            </w:pPr>
          </w:p>
          <w:p w:rsidR="00655CA9" w:rsidRDefault="00655CA9" w:rsidP="001C2C46">
            <w:pPr>
              <w:tabs>
                <w:tab w:val="left" w:pos="1701"/>
              </w:tabs>
              <w:rPr>
                <w:szCs w:val="24"/>
              </w:rPr>
            </w:pPr>
          </w:p>
          <w:p w:rsidR="00655CA9" w:rsidRPr="00D94081" w:rsidRDefault="00655CA9" w:rsidP="001C2C46">
            <w:pPr>
              <w:tabs>
                <w:tab w:val="left" w:pos="1701"/>
              </w:tabs>
              <w:rPr>
                <w:szCs w:val="24"/>
              </w:rPr>
            </w:pPr>
          </w:p>
          <w:p w:rsidR="00655CA9" w:rsidRPr="00D94081" w:rsidRDefault="00655CA9" w:rsidP="001C2C46">
            <w:pPr>
              <w:tabs>
                <w:tab w:val="left" w:pos="1701"/>
              </w:tabs>
              <w:rPr>
                <w:szCs w:val="24"/>
              </w:rPr>
            </w:pPr>
          </w:p>
          <w:p w:rsidR="00655CA9" w:rsidRPr="00D94081" w:rsidRDefault="00655CA9" w:rsidP="001C2C46">
            <w:pPr>
              <w:tabs>
                <w:tab w:val="left" w:pos="1701"/>
              </w:tabs>
              <w:rPr>
                <w:szCs w:val="24"/>
              </w:rPr>
            </w:pPr>
            <w:r w:rsidRPr="00D94081">
              <w:rPr>
                <w:szCs w:val="24"/>
              </w:rPr>
              <w:t>Vid protokollet</w:t>
            </w:r>
          </w:p>
          <w:p w:rsidR="00655CA9" w:rsidRDefault="00655CA9" w:rsidP="001C2C46">
            <w:pPr>
              <w:tabs>
                <w:tab w:val="left" w:pos="1701"/>
              </w:tabs>
              <w:rPr>
                <w:szCs w:val="24"/>
              </w:rPr>
            </w:pPr>
          </w:p>
          <w:p w:rsidR="00952B2B" w:rsidRPr="00D94081" w:rsidRDefault="00952B2B" w:rsidP="001C2C46">
            <w:pPr>
              <w:tabs>
                <w:tab w:val="left" w:pos="1701"/>
              </w:tabs>
              <w:rPr>
                <w:szCs w:val="24"/>
              </w:rPr>
            </w:pPr>
          </w:p>
          <w:p w:rsidR="00655CA9" w:rsidRPr="00D94081" w:rsidRDefault="00655CA9" w:rsidP="001C2C46">
            <w:pPr>
              <w:tabs>
                <w:tab w:val="left" w:pos="1701"/>
              </w:tabs>
              <w:rPr>
                <w:szCs w:val="24"/>
              </w:rPr>
            </w:pPr>
          </w:p>
          <w:p w:rsidR="00655CA9" w:rsidRPr="00D94081" w:rsidRDefault="00655CA9" w:rsidP="001C2C46">
            <w:pPr>
              <w:tabs>
                <w:tab w:val="left" w:pos="1701"/>
              </w:tabs>
              <w:rPr>
                <w:szCs w:val="24"/>
              </w:rPr>
            </w:pPr>
          </w:p>
          <w:p w:rsidR="00655CA9" w:rsidRPr="00D94081" w:rsidRDefault="00655CA9" w:rsidP="001C2C46">
            <w:pPr>
              <w:tabs>
                <w:tab w:val="left" w:pos="1701"/>
              </w:tabs>
              <w:rPr>
                <w:szCs w:val="24"/>
              </w:rPr>
            </w:pPr>
          </w:p>
          <w:p w:rsidR="00655CA9" w:rsidRPr="00D94081" w:rsidRDefault="00655CA9" w:rsidP="001C2C46">
            <w:pPr>
              <w:tabs>
                <w:tab w:val="left" w:pos="1701"/>
              </w:tabs>
              <w:rPr>
                <w:szCs w:val="24"/>
              </w:rPr>
            </w:pPr>
          </w:p>
          <w:p w:rsidR="00655CA9" w:rsidRPr="00D94081" w:rsidRDefault="00655CA9" w:rsidP="001C2C46">
            <w:pPr>
              <w:tabs>
                <w:tab w:val="left" w:pos="1701"/>
              </w:tabs>
              <w:rPr>
                <w:szCs w:val="24"/>
              </w:rPr>
            </w:pPr>
            <w:r w:rsidRPr="00D94081">
              <w:rPr>
                <w:szCs w:val="24"/>
              </w:rPr>
              <w:t>Justeras den 1</w:t>
            </w:r>
            <w:r w:rsidR="00422EB2">
              <w:rPr>
                <w:szCs w:val="24"/>
              </w:rPr>
              <w:t>5</w:t>
            </w:r>
            <w:r w:rsidRPr="00D94081">
              <w:rPr>
                <w:szCs w:val="24"/>
              </w:rPr>
              <w:t xml:space="preserve"> oktober 2020</w:t>
            </w:r>
          </w:p>
          <w:p w:rsidR="00655CA9" w:rsidRDefault="00655CA9" w:rsidP="001C2C46">
            <w:pPr>
              <w:tabs>
                <w:tab w:val="left" w:pos="1701"/>
              </w:tabs>
              <w:rPr>
                <w:szCs w:val="24"/>
              </w:rPr>
            </w:pPr>
          </w:p>
          <w:p w:rsidR="00952B2B" w:rsidRDefault="00952B2B" w:rsidP="001C2C46">
            <w:pPr>
              <w:tabs>
                <w:tab w:val="left" w:pos="1701"/>
              </w:tabs>
              <w:rPr>
                <w:szCs w:val="24"/>
              </w:rPr>
            </w:pPr>
          </w:p>
          <w:p w:rsidR="00952B2B" w:rsidRPr="00D94081" w:rsidRDefault="00952B2B" w:rsidP="001C2C46">
            <w:pPr>
              <w:tabs>
                <w:tab w:val="left" w:pos="1701"/>
              </w:tabs>
              <w:rPr>
                <w:szCs w:val="24"/>
              </w:rPr>
            </w:pPr>
          </w:p>
          <w:p w:rsidR="00655CA9" w:rsidRPr="00D94081" w:rsidRDefault="00655CA9" w:rsidP="001C2C46">
            <w:pPr>
              <w:tabs>
                <w:tab w:val="left" w:pos="1701"/>
              </w:tabs>
              <w:rPr>
                <w:b/>
                <w:szCs w:val="24"/>
              </w:rPr>
            </w:pPr>
          </w:p>
          <w:p w:rsidR="00655CA9" w:rsidRPr="00D94081" w:rsidRDefault="00655CA9" w:rsidP="001C2C46">
            <w:pPr>
              <w:tabs>
                <w:tab w:val="left" w:pos="1701"/>
              </w:tabs>
              <w:rPr>
                <w:szCs w:val="24"/>
              </w:rPr>
            </w:pPr>
            <w:r w:rsidRPr="00D94081">
              <w:rPr>
                <w:szCs w:val="24"/>
              </w:rPr>
              <w:t>Jens Holm</w:t>
            </w:r>
          </w:p>
          <w:p w:rsidR="00655CA9" w:rsidRPr="00D94081" w:rsidRDefault="00655CA9" w:rsidP="001C2C46">
            <w:pPr>
              <w:tabs>
                <w:tab w:val="left" w:pos="1701"/>
              </w:tabs>
              <w:rPr>
                <w:szCs w:val="24"/>
              </w:rPr>
            </w:pPr>
          </w:p>
        </w:tc>
      </w:tr>
    </w:tbl>
    <w:p w:rsidR="00655CA9" w:rsidRPr="00D94081" w:rsidRDefault="00655CA9" w:rsidP="00655CA9">
      <w:pPr>
        <w:pStyle w:val="Brdtext"/>
        <w:rPr>
          <w:szCs w:val="24"/>
        </w:rPr>
      </w:pPr>
    </w:p>
    <w:p w:rsidR="00655CA9" w:rsidRPr="00D94081" w:rsidRDefault="00655CA9" w:rsidP="00655CA9">
      <w:pPr>
        <w:pStyle w:val="Brdtext"/>
        <w:rPr>
          <w:szCs w:val="24"/>
        </w:rPr>
      </w:pPr>
    </w:p>
    <w:p w:rsidR="00655CA9" w:rsidRPr="00D94081" w:rsidRDefault="00655CA9" w:rsidP="00655CA9">
      <w:pPr>
        <w:pStyle w:val="Brdtext"/>
        <w:rPr>
          <w:szCs w:val="24"/>
        </w:rPr>
      </w:pPr>
    </w:p>
    <w:p w:rsidR="00655CA9" w:rsidRPr="00D94081" w:rsidRDefault="00655CA9" w:rsidP="00655CA9">
      <w:pPr>
        <w:pStyle w:val="Brdtext"/>
        <w:rPr>
          <w:szCs w:val="24"/>
        </w:rPr>
      </w:pPr>
    </w:p>
    <w:p w:rsidR="00655CA9" w:rsidRPr="00D94081" w:rsidRDefault="00655CA9" w:rsidP="00655CA9">
      <w:pPr>
        <w:pStyle w:val="Brdtext"/>
        <w:rPr>
          <w:szCs w:val="24"/>
        </w:rPr>
      </w:pPr>
    </w:p>
    <w:p w:rsidR="00655CA9" w:rsidRPr="00D94081" w:rsidRDefault="00655CA9" w:rsidP="00655CA9">
      <w:pPr>
        <w:pStyle w:val="Brdtext"/>
        <w:rPr>
          <w:szCs w:val="24"/>
        </w:rPr>
      </w:pPr>
    </w:p>
    <w:p w:rsidR="00655CA9" w:rsidRPr="00D94081" w:rsidRDefault="00655CA9" w:rsidP="00655CA9">
      <w:pPr>
        <w:pStyle w:val="Brdtext"/>
        <w:rPr>
          <w:szCs w:val="24"/>
        </w:rPr>
      </w:pPr>
    </w:p>
    <w:p w:rsidR="00655CA9" w:rsidRPr="00D94081" w:rsidRDefault="00655CA9" w:rsidP="00655CA9">
      <w:pPr>
        <w:pStyle w:val="Brdtext"/>
        <w:rPr>
          <w:szCs w:val="24"/>
        </w:rPr>
      </w:pPr>
    </w:p>
    <w:p w:rsidR="00655CA9" w:rsidRPr="00D94081" w:rsidRDefault="00655CA9" w:rsidP="00655CA9">
      <w:pPr>
        <w:pStyle w:val="Brdtext"/>
        <w:rPr>
          <w:szCs w:val="24"/>
        </w:rPr>
      </w:pPr>
    </w:p>
    <w:p w:rsidR="00655CA9" w:rsidRPr="00D94081" w:rsidRDefault="00655CA9" w:rsidP="00655CA9">
      <w:pPr>
        <w:pStyle w:val="Brdtext"/>
        <w:rPr>
          <w:szCs w:val="24"/>
        </w:rPr>
      </w:pPr>
    </w:p>
    <w:p w:rsidR="00655CA9" w:rsidRPr="00D94081" w:rsidRDefault="00655CA9" w:rsidP="00655CA9">
      <w:pPr>
        <w:pStyle w:val="Brdtext"/>
        <w:rPr>
          <w:szCs w:val="24"/>
        </w:rPr>
      </w:pPr>
    </w:p>
    <w:p w:rsidR="00D94081" w:rsidRPr="00D94081" w:rsidRDefault="00D94081" w:rsidP="00655CA9">
      <w:pPr>
        <w:pStyle w:val="Brdtext"/>
        <w:rPr>
          <w:szCs w:val="24"/>
        </w:rPr>
      </w:pPr>
    </w:p>
    <w:p w:rsidR="00D94081" w:rsidRPr="00D94081" w:rsidRDefault="00D94081" w:rsidP="00655CA9">
      <w:pPr>
        <w:pStyle w:val="Brdtext"/>
        <w:rPr>
          <w:szCs w:val="24"/>
        </w:rPr>
      </w:pPr>
    </w:p>
    <w:p w:rsidR="00D94081" w:rsidRPr="00D94081" w:rsidRDefault="00D94081" w:rsidP="00655CA9">
      <w:pPr>
        <w:pStyle w:val="Brdtext"/>
        <w:rPr>
          <w:szCs w:val="24"/>
        </w:rPr>
      </w:pPr>
    </w:p>
    <w:p w:rsidR="00D94081" w:rsidRPr="00D94081" w:rsidRDefault="00D94081" w:rsidP="00655CA9">
      <w:pPr>
        <w:pStyle w:val="Brdtext"/>
        <w:rPr>
          <w:szCs w:val="24"/>
        </w:rPr>
      </w:pPr>
    </w:p>
    <w:p w:rsidR="00D94081" w:rsidRPr="00D94081" w:rsidRDefault="00D94081" w:rsidP="00655CA9">
      <w:pPr>
        <w:pStyle w:val="Brdtext"/>
        <w:rPr>
          <w:szCs w:val="24"/>
        </w:rPr>
      </w:pPr>
    </w:p>
    <w:p w:rsidR="00D94081" w:rsidRPr="00D94081" w:rsidRDefault="00D94081" w:rsidP="00655CA9">
      <w:pPr>
        <w:pStyle w:val="Brdtext"/>
        <w:rPr>
          <w:szCs w:val="24"/>
        </w:rPr>
      </w:pPr>
    </w:p>
    <w:p w:rsidR="00D94081" w:rsidRPr="00D94081" w:rsidRDefault="00D94081" w:rsidP="00655CA9">
      <w:pPr>
        <w:pStyle w:val="Brdtext"/>
        <w:rPr>
          <w:szCs w:val="24"/>
        </w:rPr>
      </w:pPr>
    </w:p>
    <w:p w:rsidR="00D94081" w:rsidRPr="00D94081" w:rsidRDefault="00D94081" w:rsidP="00655CA9">
      <w:pPr>
        <w:pStyle w:val="Brdtext"/>
        <w:rPr>
          <w:szCs w:val="24"/>
        </w:rPr>
      </w:pPr>
    </w:p>
    <w:p w:rsidR="00D94081" w:rsidRPr="00D94081" w:rsidRDefault="00D94081" w:rsidP="00655CA9">
      <w:pPr>
        <w:pStyle w:val="Brdtext"/>
        <w:rPr>
          <w:szCs w:val="24"/>
        </w:rPr>
      </w:pPr>
    </w:p>
    <w:p w:rsidR="00D94081" w:rsidRDefault="00D94081" w:rsidP="00655CA9">
      <w:pPr>
        <w:pStyle w:val="Brdtext"/>
        <w:rPr>
          <w:szCs w:val="24"/>
        </w:rPr>
      </w:pPr>
    </w:p>
    <w:p w:rsidR="00952B2B" w:rsidRDefault="00952B2B" w:rsidP="00655CA9">
      <w:pPr>
        <w:pStyle w:val="Brdtext"/>
        <w:rPr>
          <w:szCs w:val="24"/>
        </w:rPr>
      </w:pPr>
    </w:p>
    <w:p w:rsidR="00952B2B" w:rsidRPr="00D94081" w:rsidRDefault="00952B2B" w:rsidP="00655CA9">
      <w:pPr>
        <w:pStyle w:val="Brdtext"/>
        <w:rPr>
          <w:szCs w:val="24"/>
        </w:rPr>
      </w:pPr>
    </w:p>
    <w:p w:rsidR="00D94081" w:rsidRPr="00D94081" w:rsidRDefault="00D94081" w:rsidP="00655CA9">
      <w:pPr>
        <w:pStyle w:val="Brdtext"/>
        <w:rPr>
          <w:szCs w:val="24"/>
        </w:rPr>
      </w:pPr>
    </w:p>
    <w:p w:rsidR="00D94081" w:rsidRPr="00D94081" w:rsidRDefault="00D94081" w:rsidP="00655CA9">
      <w:pPr>
        <w:pStyle w:val="Brdtext"/>
        <w:rPr>
          <w:szCs w:val="24"/>
        </w:rPr>
      </w:pPr>
    </w:p>
    <w:p w:rsidR="00D94081" w:rsidRPr="00D94081" w:rsidRDefault="00D94081" w:rsidP="00655CA9">
      <w:pPr>
        <w:pStyle w:val="Brdtext"/>
        <w:rPr>
          <w:szCs w:val="24"/>
        </w:rPr>
      </w:pPr>
    </w:p>
    <w:p w:rsidR="00D94081" w:rsidRPr="00D94081" w:rsidRDefault="00D94081" w:rsidP="00D94081">
      <w:pPr>
        <w:autoSpaceDE w:val="0"/>
        <w:autoSpaceDN w:val="0"/>
        <w:spacing w:before="147" w:line="276" w:lineRule="auto"/>
        <w:ind w:left="100" w:right="248"/>
        <w:rPr>
          <w:b/>
          <w:bCs/>
          <w:color w:val="231F20"/>
          <w:szCs w:val="24"/>
        </w:rPr>
      </w:pPr>
      <w:r w:rsidRPr="00D94081">
        <w:rPr>
          <w:b/>
          <w:bCs/>
          <w:color w:val="231F20"/>
          <w:szCs w:val="24"/>
        </w:rPr>
        <w:lastRenderedPageBreak/>
        <w:t>Bilaga 1</w:t>
      </w:r>
    </w:p>
    <w:p w:rsidR="00D94081" w:rsidRPr="00D94081" w:rsidRDefault="00D94081" w:rsidP="00D94081">
      <w:pPr>
        <w:autoSpaceDE w:val="0"/>
        <w:autoSpaceDN w:val="0"/>
        <w:spacing w:before="147" w:line="276" w:lineRule="auto"/>
        <w:ind w:left="100" w:right="248"/>
        <w:rPr>
          <w:color w:val="231F20"/>
          <w:szCs w:val="24"/>
        </w:rPr>
      </w:pPr>
      <w:r w:rsidRPr="00D94081">
        <w:rPr>
          <w:color w:val="231F20"/>
          <w:szCs w:val="24"/>
        </w:rPr>
        <w:t xml:space="preserve">Regeringskansliets överläggningspromemoria om ett kommande lagstiftningspaket om </w:t>
      </w:r>
      <w:proofErr w:type="gramStart"/>
      <w:r w:rsidRPr="00D94081">
        <w:rPr>
          <w:color w:val="231F20"/>
          <w:szCs w:val="24"/>
        </w:rPr>
        <w:t>digital tjänster</w:t>
      </w:r>
      <w:proofErr w:type="gramEnd"/>
      <w:r w:rsidRPr="00D94081">
        <w:rPr>
          <w:color w:val="231F20"/>
          <w:szCs w:val="24"/>
        </w:rPr>
        <w:t xml:space="preserve"> (dnr. </w:t>
      </w:r>
      <w:proofErr w:type="gramStart"/>
      <w:r w:rsidRPr="00D94081">
        <w:rPr>
          <w:color w:val="231F20"/>
          <w:szCs w:val="24"/>
        </w:rPr>
        <w:t>354-2020</w:t>
      </w:r>
      <w:proofErr w:type="gramEnd"/>
      <w:r w:rsidRPr="00D94081">
        <w:rPr>
          <w:color w:val="231F20"/>
          <w:szCs w:val="24"/>
        </w:rPr>
        <w:t>/21)</w:t>
      </w:r>
    </w:p>
    <w:p w:rsidR="00D94081" w:rsidRPr="00D94081" w:rsidRDefault="00D94081" w:rsidP="00D94081">
      <w:pPr>
        <w:autoSpaceDE w:val="0"/>
        <w:autoSpaceDN w:val="0"/>
        <w:spacing w:before="147" w:line="276" w:lineRule="auto"/>
        <w:ind w:left="100" w:right="248"/>
        <w:rPr>
          <w:color w:val="231F20"/>
          <w:szCs w:val="24"/>
        </w:rPr>
      </w:pPr>
      <w:r w:rsidRPr="00D94081">
        <w:rPr>
          <w:color w:val="231F20"/>
          <w:szCs w:val="24"/>
        </w:rPr>
        <w:t>Förslag till svensk ståndpunkt: Regeringen välkomnar de planer kommissionen presenterat om ett paket för reglering av digitala tjänster, däribland en översyn av reglerna i e-handelsdirektivet. Revideringen bör bygga på en robust konsekvensanalys som säkerställer ett evidensbaserat regelverk.</w:t>
      </w:r>
    </w:p>
    <w:p w:rsidR="00D94081" w:rsidRPr="00D94081" w:rsidRDefault="00D94081" w:rsidP="00D94081">
      <w:pPr>
        <w:autoSpaceDE w:val="0"/>
        <w:autoSpaceDN w:val="0"/>
        <w:spacing w:before="147" w:line="276" w:lineRule="auto"/>
        <w:ind w:left="100" w:right="248"/>
        <w:rPr>
          <w:color w:val="231F20"/>
          <w:szCs w:val="24"/>
        </w:rPr>
      </w:pPr>
      <w:r w:rsidRPr="00D94081">
        <w:rPr>
          <w:color w:val="231F20"/>
          <w:szCs w:val="24"/>
        </w:rPr>
        <w:t xml:space="preserve">Internetplattformar och </w:t>
      </w:r>
      <w:proofErr w:type="spellStart"/>
      <w:r w:rsidRPr="00D94081">
        <w:rPr>
          <w:color w:val="231F20"/>
          <w:szCs w:val="24"/>
        </w:rPr>
        <w:t>värdtjänster</w:t>
      </w:r>
      <w:proofErr w:type="spellEnd"/>
      <w:r w:rsidRPr="00D94081">
        <w:rPr>
          <w:color w:val="231F20"/>
          <w:szCs w:val="24"/>
        </w:rPr>
        <w:t xml:space="preserve"> behöver ta ett större ansvar för att ta bort och hålla borta uppenbart olagligt innehåll, samt innehåll som möjliggör försäljning av olagliga, farliga och intrångsgörande varor från sina internetplattformar (fortsättningsvis: olagligt innehåll). Samtidigt behövs en balans som bl.a. säkerställer respekten för mänskliga rättigheter, inklusive yttrandefriheten, principen om icke-diskriminering och ger incitament för onlineföretag att växa och vara innovativa. Ett ökat ansvar för att ta bort olagligt innehåll bör dessutom utformas så att det inte försvårar brottsbekämpningen. Den EU-harmonisering som pågår behövs, och kan behöva utökas, för att möjliggöra en digital inre marknad i ljuset av att flera medlemsstater har egna, potentiellt avvikande planer.</w:t>
      </w:r>
    </w:p>
    <w:p w:rsidR="00D94081" w:rsidRPr="00D94081" w:rsidRDefault="00D94081" w:rsidP="00D94081">
      <w:pPr>
        <w:autoSpaceDE w:val="0"/>
        <w:autoSpaceDN w:val="0"/>
        <w:spacing w:before="147" w:line="276" w:lineRule="auto"/>
        <w:ind w:left="100" w:right="248"/>
        <w:rPr>
          <w:color w:val="231F20"/>
          <w:szCs w:val="24"/>
        </w:rPr>
      </w:pPr>
      <w:r w:rsidRPr="00D94081">
        <w:rPr>
          <w:color w:val="231F20"/>
          <w:szCs w:val="24"/>
        </w:rPr>
        <w:t xml:space="preserve">Principerna i e-handelsdirektivet är fortfarande relevanta och behöver finnas kvar, men utvecklas och förtydligas mot bakgrund av den digitala utvecklingen. Regeringen anser att det bör bevakas att ursprungslandsprincipen bevaras, och eventuellt även förstärks. Ett förslag till Digital Services </w:t>
      </w:r>
      <w:proofErr w:type="spellStart"/>
      <w:r w:rsidRPr="00D94081">
        <w:rPr>
          <w:color w:val="231F20"/>
          <w:szCs w:val="24"/>
        </w:rPr>
        <w:t>Act</w:t>
      </w:r>
      <w:proofErr w:type="spellEnd"/>
      <w:r w:rsidRPr="00D94081">
        <w:rPr>
          <w:color w:val="231F20"/>
          <w:szCs w:val="24"/>
        </w:rPr>
        <w:t xml:space="preserve"> bör rikta in sig på horisontella, allmänna principer för internetplattformar och andra informationssamhällets tjänster som i dag finns i e-handelsdirektivet.</w:t>
      </w:r>
    </w:p>
    <w:p w:rsidR="00D94081" w:rsidRPr="00D94081" w:rsidRDefault="00D94081" w:rsidP="00D94081">
      <w:pPr>
        <w:autoSpaceDE w:val="0"/>
        <w:autoSpaceDN w:val="0"/>
        <w:spacing w:before="147" w:line="276" w:lineRule="auto"/>
        <w:ind w:left="100" w:right="248"/>
        <w:rPr>
          <w:color w:val="231F20"/>
          <w:szCs w:val="24"/>
        </w:rPr>
      </w:pPr>
      <w:r w:rsidRPr="00D94081">
        <w:rPr>
          <w:color w:val="231F20"/>
          <w:szCs w:val="24"/>
        </w:rPr>
        <w:t xml:space="preserve">Ett förslag till nytt e-handelsregelverk bör som utgångspunkt endast röra innehåll som enligt nationell lag eller enligt EU-rätten är uppenbart olagligt. Processen för notifiering av olagligt innehåll på internetplattformar och </w:t>
      </w:r>
      <w:proofErr w:type="spellStart"/>
      <w:r w:rsidRPr="00D94081">
        <w:rPr>
          <w:color w:val="231F20"/>
          <w:szCs w:val="24"/>
        </w:rPr>
        <w:t>värdtjänster</w:t>
      </w:r>
      <w:proofErr w:type="spellEnd"/>
      <w:r w:rsidRPr="00D94081">
        <w:rPr>
          <w:color w:val="231F20"/>
          <w:szCs w:val="24"/>
        </w:rPr>
        <w:t xml:space="preserve"> och hur det ska tas ned bör förtydligas och harmoniseras.</w:t>
      </w:r>
    </w:p>
    <w:p w:rsidR="00D94081" w:rsidRPr="00D94081" w:rsidRDefault="00D94081" w:rsidP="00D94081">
      <w:pPr>
        <w:autoSpaceDE w:val="0"/>
        <w:autoSpaceDN w:val="0"/>
        <w:spacing w:before="147" w:line="276" w:lineRule="auto"/>
        <w:ind w:left="100" w:right="248"/>
        <w:rPr>
          <w:color w:val="231F20"/>
          <w:szCs w:val="24"/>
        </w:rPr>
      </w:pPr>
      <w:r w:rsidRPr="00D94081">
        <w:rPr>
          <w:color w:val="231F20"/>
          <w:szCs w:val="24"/>
        </w:rPr>
        <w:t xml:space="preserve">EU-reglerna bör ge incitament till ett mer proaktivt ansvar för internetplattformar och </w:t>
      </w:r>
      <w:proofErr w:type="spellStart"/>
      <w:r w:rsidRPr="00D94081">
        <w:rPr>
          <w:color w:val="231F20"/>
          <w:szCs w:val="24"/>
        </w:rPr>
        <w:t>värdtjänster</w:t>
      </w:r>
      <w:proofErr w:type="spellEnd"/>
      <w:r w:rsidRPr="00D94081">
        <w:rPr>
          <w:color w:val="231F20"/>
          <w:szCs w:val="24"/>
        </w:rPr>
        <w:t xml:space="preserve"> i fråga om att ta ned och hålla borta olagligt innehåll. Detta kan bl.a. göras genom en princip om ”den barmhärtige samariten”. Sådana regler bör också medföra att företag med betydande inflytande tar större ansvar än de med mindre inflytande.</w:t>
      </w:r>
    </w:p>
    <w:p w:rsidR="00D94081" w:rsidRPr="00D94081" w:rsidRDefault="00D94081" w:rsidP="00D94081">
      <w:pPr>
        <w:autoSpaceDE w:val="0"/>
        <w:autoSpaceDN w:val="0"/>
        <w:spacing w:before="147" w:line="276" w:lineRule="auto"/>
        <w:ind w:left="100" w:right="248"/>
        <w:rPr>
          <w:color w:val="231F20"/>
          <w:szCs w:val="24"/>
        </w:rPr>
      </w:pPr>
      <w:r w:rsidRPr="00D94081">
        <w:rPr>
          <w:color w:val="231F20"/>
          <w:szCs w:val="24"/>
        </w:rPr>
        <w:t xml:space="preserve">Internetplattformarna och </w:t>
      </w:r>
      <w:proofErr w:type="spellStart"/>
      <w:r w:rsidRPr="00D94081">
        <w:rPr>
          <w:color w:val="231F20"/>
          <w:szCs w:val="24"/>
        </w:rPr>
        <w:t>värdtjänster</w:t>
      </w:r>
      <w:proofErr w:type="spellEnd"/>
      <w:r w:rsidRPr="00D94081">
        <w:rPr>
          <w:color w:val="231F20"/>
          <w:szCs w:val="24"/>
        </w:rPr>
        <w:t xml:space="preserve"> bör ha transparenta och användarvänliga mekanismer där var och en kan anmäla förekomsten av olagligt innehåll och få information om hur anmälan behandlas</w:t>
      </w:r>
    </w:p>
    <w:p w:rsidR="00D94081" w:rsidRPr="00D94081" w:rsidRDefault="00D94081" w:rsidP="00D94081">
      <w:pPr>
        <w:autoSpaceDE w:val="0"/>
        <w:autoSpaceDN w:val="0"/>
        <w:spacing w:before="147" w:line="276" w:lineRule="auto"/>
        <w:ind w:left="100" w:right="248"/>
        <w:rPr>
          <w:color w:val="231F20"/>
          <w:szCs w:val="24"/>
        </w:rPr>
      </w:pPr>
      <w:r w:rsidRPr="00D94081">
        <w:rPr>
          <w:color w:val="231F20"/>
          <w:szCs w:val="24"/>
        </w:rPr>
        <w:t>Regeringen välkomnar att kommissionen ser över om särskild förhandsreglering kan behövas för att säkerställa konkurrens mot bakgrund av internetplattformars betydande inflytande. Konsekvensanalysen bör bland annat beakta hur ett förslag förhåller sig till översynen av EU:s konkurrensrätt, kraven i EU:s plattformsförordning och utvärderingen av denna.</w:t>
      </w:r>
    </w:p>
    <w:p w:rsidR="00D94081" w:rsidRPr="00D94081" w:rsidRDefault="00D94081" w:rsidP="00655CA9">
      <w:pPr>
        <w:pStyle w:val="Brdtext"/>
        <w:rPr>
          <w:szCs w:val="24"/>
        </w:rPr>
      </w:pPr>
    </w:p>
    <w:p w:rsidR="00D94081" w:rsidRPr="00D94081" w:rsidRDefault="00D94081" w:rsidP="00655CA9">
      <w:pPr>
        <w:pStyle w:val="Brdtext"/>
        <w:rPr>
          <w:szCs w:val="24"/>
        </w:rPr>
      </w:pPr>
    </w:p>
    <w:p w:rsidR="00D94081" w:rsidRPr="00D94081" w:rsidRDefault="00D94081" w:rsidP="00655CA9">
      <w:pPr>
        <w:pStyle w:val="Brdtext"/>
        <w:rPr>
          <w:szCs w:val="24"/>
        </w:rPr>
      </w:pPr>
    </w:p>
    <w:p w:rsidR="00D94081" w:rsidRDefault="00D94081" w:rsidP="00655CA9">
      <w:pPr>
        <w:pStyle w:val="Brdtext"/>
        <w:rPr>
          <w:szCs w:val="24"/>
        </w:rPr>
      </w:pPr>
    </w:p>
    <w:p w:rsidR="00516CD2" w:rsidRPr="00D94081" w:rsidRDefault="00516CD2" w:rsidP="00655CA9">
      <w:pPr>
        <w:pStyle w:val="Brdtext"/>
        <w:rPr>
          <w:szCs w:val="24"/>
        </w:rPr>
      </w:pPr>
    </w:p>
    <w:p w:rsidR="00D94081" w:rsidRPr="00D94081" w:rsidRDefault="00D94081" w:rsidP="00D94081">
      <w:pPr>
        <w:autoSpaceDE w:val="0"/>
        <w:autoSpaceDN w:val="0"/>
        <w:spacing w:before="147" w:line="276" w:lineRule="auto"/>
        <w:ind w:left="100" w:right="248"/>
        <w:rPr>
          <w:color w:val="231F20"/>
          <w:szCs w:val="24"/>
        </w:rPr>
      </w:pPr>
    </w:p>
    <w:p w:rsidR="00D94081" w:rsidRPr="00D94081" w:rsidRDefault="00D94081" w:rsidP="00D94081">
      <w:pPr>
        <w:autoSpaceDE w:val="0"/>
        <w:autoSpaceDN w:val="0"/>
        <w:spacing w:before="147" w:line="276" w:lineRule="auto"/>
        <w:ind w:left="100" w:right="248"/>
        <w:rPr>
          <w:color w:val="231F20"/>
          <w:szCs w:val="24"/>
        </w:rPr>
      </w:pPr>
      <w:r w:rsidRPr="00D94081">
        <w:rPr>
          <w:b/>
          <w:bCs/>
          <w:color w:val="231F20"/>
          <w:szCs w:val="24"/>
        </w:rPr>
        <w:lastRenderedPageBreak/>
        <w:t xml:space="preserve">Bilaga 2 </w:t>
      </w:r>
    </w:p>
    <w:p w:rsidR="00D94081" w:rsidRPr="00D94081" w:rsidRDefault="00D94081" w:rsidP="00D94081">
      <w:pPr>
        <w:autoSpaceDE w:val="0"/>
        <w:autoSpaceDN w:val="0"/>
        <w:spacing w:before="147" w:line="276" w:lineRule="auto"/>
        <w:ind w:left="100" w:right="248"/>
        <w:rPr>
          <w:color w:val="231F20"/>
          <w:szCs w:val="24"/>
        </w:rPr>
      </w:pPr>
      <w:r w:rsidRPr="00D94081">
        <w:rPr>
          <w:color w:val="231F20"/>
          <w:szCs w:val="24"/>
        </w:rPr>
        <w:t xml:space="preserve">Regeringskansliets överläggningspromemoria om uppföljande lagstiftning till EU:s datastrategi (dnr. </w:t>
      </w:r>
      <w:proofErr w:type="gramStart"/>
      <w:r w:rsidRPr="00D94081">
        <w:rPr>
          <w:color w:val="231F20"/>
          <w:szCs w:val="24"/>
        </w:rPr>
        <w:t>354-2020</w:t>
      </w:r>
      <w:proofErr w:type="gramEnd"/>
      <w:r w:rsidRPr="00D94081">
        <w:rPr>
          <w:color w:val="231F20"/>
          <w:szCs w:val="24"/>
        </w:rPr>
        <w:t>/21)</w:t>
      </w:r>
    </w:p>
    <w:p w:rsidR="00D94081" w:rsidRPr="00D94081" w:rsidRDefault="00D94081" w:rsidP="00D94081">
      <w:pPr>
        <w:autoSpaceDE w:val="0"/>
        <w:autoSpaceDN w:val="0"/>
        <w:spacing w:before="147" w:line="276" w:lineRule="auto"/>
        <w:ind w:left="100" w:right="248"/>
        <w:rPr>
          <w:color w:val="231F20"/>
          <w:szCs w:val="24"/>
        </w:rPr>
      </w:pPr>
      <w:r w:rsidRPr="00D94081">
        <w:rPr>
          <w:color w:val="231F20"/>
          <w:szCs w:val="24"/>
        </w:rPr>
        <w:t xml:space="preserve">Förslag till svensk ståndpunkt: Regeringen anser att förslagen i datastrategin är relevanta för att utveckla EU:s och medlemsstaternas förmågor att använda data som strategisk resurs. Åtgärder på området behöver genomföras med ett etiskt förhållningssätt där skyddet för rätten till privatliv, mänskliga fri- och rättigheter inklusive jämställdhet och icke-diskriminering, personlig integritet, skydd av fysiska personer i fråga om behandling av personuppgifter och informations- och cybersäkerhet omhändertas som en integrerad del vid framtagandet av åtgärderna. Det är också viktigt att hänsyn tas till medlemsstaternas kompetens när det gäller nationell säkerhet. Regeringen menar att ett framtida rättsligt ramverk för datautrymmena och övriga åtgärder som läggs fram i datastrategin behöver åtföljas av insatser för kompetensförsörjning. Regeringen anser vidare att åtgärderna inklusive ett framtida rättsligt ramverk för styrning av data i första hand ska baseras på frivillighet, på befintliga strukturer och på befintliga internationella och europeiska standarder som utvecklats i enlighet med kriterierna i Standardiseringsförordningen (1025/2012) – öppenhet, konsensus, transparens. Regeringen anser att förslagen vad gäller tillgängliggörande av data av offentligt intresse (public </w:t>
      </w:r>
      <w:proofErr w:type="spellStart"/>
      <w:r w:rsidRPr="00D94081">
        <w:rPr>
          <w:color w:val="231F20"/>
          <w:szCs w:val="24"/>
        </w:rPr>
        <w:t>interest</w:t>
      </w:r>
      <w:proofErr w:type="spellEnd"/>
      <w:r w:rsidRPr="00D94081">
        <w:rPr>
          <w:color w:val="231F20"/>
          <w:szCs w:val="24"/>
        </w:rPr>
        <w:t xml:space="preserve"> data) behöver föregås av en bedömning av kostnad/nytta och i vilken mån som företag och andra aktörer bör kompenseras ekonomiskt, samt att begreppet ”data av offentligt intresse” behöver definieras tydligare.</w:t>
      </w:r>
    </w:p>
    <w:p w:rsidR="00D94081" w:rsidRPr="00D94081" w:rsidRDefault="00D94081" w:rsidP="00D94081">
      <w:pPr>
        <w:autoSpaceDE w:val="0"/>
        <w:autoSpaceDN w:val="0"/>
        <w:spacing w:before="147" w:line="276" w:lineRule="auto"/>
        <w:ind w:left="100" w:right="248"/>
        <w:rPr>
          <w:color w:val="231F20"/>
          <w:szCs w:val="24"/>
        </w:rPr>
      </w:pPr>
      <w:r w:rsidRPr="00D94081">
        <w:rPr>
          <w:color w:val="231F20"/>
          <w:szCs w:val="24"/>
        </w:rPr>
        <w:t>Regeringen anser att insatserna i EU:s AI-vitbok och EU:s datastrategi är nära anknutna och ömsesidigt förstärkande. Att stärka EU:s förmågor att frigöra data och främja användningen av data är av avgörande betydelse inte minst för AI-utvecklingen och annan digital innovation.</w:t>
      </w:r>
    </w:p>
    <w:p w:rsidR="00D94081" w:rsidRPr="00D94081" w:rsidRDefault="00D94081" w:rsidP="00D94081">
      <w:pPr>
        <w:autoSpaceDE w:val="0"/>
        <w:autoSpaceDN w:val="0"/>
        <w:spacing w:before="147" w:line="276" w:lineRule="auto"/>
        <w:ind w:left="100" w:right="248"/>
        <w:rPr>
          <w:color w:val="231F20"/>
          <w:szCs w:val="24"/>
        </w:rPr>
      </w:pPr>
      <w:r w:rsidRPr="00D94081">
        <w:rPr>
          <w:color w:val="231F20"/>
          <w:szCs w:val="24"/>
        </w:rPr>
        <w:t>Regeringen ser positivt på utveckling av europeiska molntjänster. Tillgången till säkra, effektiva, innovativa och användarvänliga molntjänster som överensstämmer med nationella och europeiska regelverk avseende bl.a. sekretess, dataskydd, säkerhetsskydd och grundläggande rättigheter är av stor betydelse för både den offentliga och den privata sektorns möjligheter att tillvarata digitaliseringens fulla potential. Regeringen anser att eventuella nya uppgifter och åtaganden ska finansieras genom omprioriteringar och inte innebära en ökning av EU-budgeten. Utgiftsdrivande åtgärder på EU-budgeten behöver finansieras genom omprioriteringar i den fleråriga budgetramen (MFF). Regeringen anser vidare att utgångspunkten för samarbetet avseende europeiska molntjänster ska bygga på frivillighet.</w:t>
      </w:r>
    </w:p>
    <w:p w:rsidR="00D94081" w:rsidRPr="00D94081" w:rsidRDefault="00D94081" w:rsidP="00655CA9">
      <w:pPr>
        <w:pStyle w:val="Brdtext"/>
        <w:rPr>
          <w:szCs w:val="24"/>
        </w:rPr>
      </w:pPr>
    </w:p>
    <w:p w:rsidR="00655CA9" w:rsidRPr="00D94081" w:rsidRDefault="00655CA9" w:rsidP="00655CA9">
      <w:pPr>
        <w:pStyle w:val="Brdtext"/>
        <w:rPr>
          <w:szCs w:val="24"/>
        </w:rPr>
      </w:pPr>
    </w:p>
    <w:p w:rsidR="00655CA9" w:rsidRPr="00D94081" w:rsidRDefault="00655CA9" w:rsidP="00655CA9">
      <w:pPr>
        <w:pStyle w:val="Brdtext"/>
        <w:rPr>
          <w:szCs w:val="24"/>
        </w:rPr>
      </w:pPr>
    </w:p>
    <w:p w:rsidR="00655CA9" w:rsidRPr="00D94081" w:rsidRDefault="00655CA9" w:rsidP="00655CA9">
      <w:pPr>
        <w:pStyle w:val="Brdtext"/>
        <w:rPr>
          <w:szCs w:val="24"/>
        </w:rPr>
      </w:pPr>
    </w:p>
    <w:p w:rsidR="00655CA9" w:rsidRDefault="00655CA9" w:rsidP="00655CA9">
      <w:pPr>
        <w:pStyle w:val="Brdtext"/>
        <w:rPr>
          <w:szCs w:val="24"/>
        </w:rPr>
      </w:pPr>
    </w:p>
    <w:p w:rsidR="00516CD2" w:rsidRDefault="00516CD2" w:rsidP="00655CA9">
      <w:pPr>
        <w:pStyle w:val="Brdtext"/>
        <w:rPr>
          <w:szCs w:val="24"/>
        </w:rPr>
      </w:pPr>
    </w:p>
    <w:p w:rsidR="00422EB2" w:rsidRPr="00D94081" w:rsidRDefault="00422EB2" w:rsidP="00655CA9">
      <w:pPr>
        <w:pStyle w:val="Brdtext"/>
        <w:rPr>
          <w:szCs w:val="24"/>
        </w:rPr>
      </w:pPr>
    </w:p>
    <w:p w:rsidR="00655CA9" w:rsidRPr="00D94081" w:rsidRDefault="00655CA9" w:rsidP="00655CA9">
      <w:pPr>
        <w:pStyle w:val="Brdtext"/>
        <w:rPr>
          <w:szCs w:val="24"/>
        </w:rPr>
      </w:pPr>
    </w:p>
    <w:p w:rsidR="00655CA9" w:rsidRPr="00D94081" w:rsidRDefault="00655CA9" w:rsidP="00655CA9">
      <w:pPr>
        <w:pStyle w:val="Brdtext"/>
        <w:rPr>
          <w:szCs w:val="24"/>
        </w:rPr>
      </w:pPr>
    </w:p>
    <w:p w:rsidR="00655CA9" w:rsidRPr="00D94081" w:rsidRDefault="00655CA9" w:rsidP="00655CA9">
      <w:pPr>
        <w:pStyle w:val="Brdtext"/>
        <w:rPr>
          <w:szCs w:val="24"/>
        </w:rPr>
      </w:pPr>
    </w:p>
    <w:p w:rsidR="00655CA9" w:rsidRPr="00D94081" w:rsidRDefault="00655CA9" w:rsidP="00655CA9">
      <w:pPr>
        <w:rPr>
          <w:szCs w:val="24"/>
        </w:rPr>
      </w:pP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655CA9" w:rsidRPr="00D94081" w:rsidTr="001C2C46">
        <w:trPr>
          <w:cantSplit/>
        </w:trPr>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Cs w:val="24"/>
                <w:lang w:val="en-GB" w:eastAsia="en-US"/>
              </w:rPr>
            </w:pPr>
            <w:r w:rsidRPr="00D94081">
              <w:rPr>
                <w:b/>
                <w:szCs w:val="24"/>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Cs w:val="24"/>
                <w:lang w:val="en-GB" w:eastAsia="en-US"/>
              </w:rPr>
            </w:pPr>
            <w:r w:rsidRPr="00D94081">
              <w:rPr>
                <w:b/>
                <w:szCs w:val="24"/>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roofErr w:type="spellStart"/>
            <w:r w:rsidRPr="00D94081">
              <w:rPr>
                <w:b/>
                <w:szCs w:val="24"/>
                <w:lang w:val="en-GB" w:eastAsia="en-US"/>
              </w:rPr>
              <w:t>Bilaga</w:t>
            </w:r>
            <w:proofErr w:type="spellEnd"/>
            <w:r w:rsidRPr="00D94081">
              <w:rPr>
                <w:b/>
                <w:szCs w:val="24"/>
                <w:lang w:val="en-GB" w:eastAsia="en-US"/>
              </w:rPr>
              <w:t xml:space="preserve"> </w:t>
            </w:r>
            <w:r w:rsidR="00D94081" w:rsidRPr="00D94081">
              <w:rPr>
                <w:b/>
                <w:szCs w:val="24"/>
                <w:lang w:val="en-GB" w:eastAsia="en-US"/>
              </w:rPr>
              <w:t xml:space="preserve">3 </w:t>
            </w:r>
            <w:r w:rsidRPr="00D94081">
              <w:rPr>
                <w:b/>
                <w:szCs w:val="24"/>
                <w:lang w:val="en-GB" w:eastAsia="en-US"/>
              </w:rPr>
              <w:t xml:space="preserve">till </w:t>
            </w:r>
            <w:proofErr w:type="spellStart"/>
            <w:r w:rsidRPr="00D94081">
              <w:rPr>
                <w:b/>
                <w:szCs w:val="24"/>
                <w:lang w:val="en-GB" w:eastAsia="en-US"/>
              </w:rPr>
              <w:t>protokoll</w:t>
            </w:r>
            <w:proofErr w:type="spellEnd"/>
            <w:r w:rsidRPr="00D94081">
              <w:rPr>
                <w:szCs w:val="24"/>
                <w:lang w:val="en-GB" w:eastAsia="en-US"/>
              </w:rPr>
              <w:t xml:space="preserve"> </w:t>
            </w:r>
          </w:p>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r w:rsidRPr="00D94081">
              <w:rPr>
                <w:b/>
                <w:szCs w:val="24"/>
                <w:lang w:val="en-GB" w:eastAsia="en-US"/>
              </w:rPr>
              <w:t>2020/21:</w:t>
            </w:r>
            <w:r w:rsidR="00952B2B">
              <w:rPr>
                <w:b/>
                <w:szCs w:val="24"/>
                <w:lang w:val="en-GB" w:eastAsia="en-US"/>
              </w:rPr>
              <w:t>4</w:t>
            </w:r>
          </w:p>
        </w:tc>
      </w:tr>
      <w:tr w:rsidR="00655CA9" w:rsidRPr="00D94081" w:rsidTr="001C2C46">
        <w:trPr>
          <w:cantSplit/>
        </w:trPr>
        <w:tc>
          <w:tcPr>
            <w:tcW w:w="3507"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r w:rsidRPr="00D94081">
              <w:rPr>
                <w:szCs w:val="24"/>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r w:rsidRPr="00D94081">
              <w:rPr>
                <w:szCs w:val="24"/>
                <w:lang w:val="en-GB" w:eastAsia="en-US"/>
              </w:rPr>
              <w:t xml:space="preserve">§ </w:t>
            </w:r>
            <w:r w:rsidR="001935F2">
              <w:rPr>
                <w:szCs w:val="24"/>
                <w:lang w:val="en-GB" w:eastAsia="en-US"/>
              </w:rPr>
              <w:t>2-</w:t>
            </w:r>
            <w:r w:rsidR="00422EB2">
              <w:rPr>
                <w:szCs w:val="24"/>
                <w:lang w:val="en-GB" w:eastAsia="en-US"/>
              </w:rPr>
              <w:t>8</w:t>
            </w:r>
          </w:p>
        </w:tc>
        <w:tc>
          <w:tcPr>
            <w:tcW w:w="712" w:type="dxa"/>
            <w:gridSpan w:val="2"/>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r w:rsidRPr="00D94081">
              <w:rPr>
                <w:szCs w:val="24"/>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r>
      <w:tr w:rsidR="00655CA9" w:rsidRPr="00D94081" w:rsidTr="001C2C46">
        <w:trPr>
          <w:trHeight w:val="282"/>
        </w:trPr>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r w:rsidRPr="00D94081">
              <w:rPr>
                <w:b/>
                <w:i/>
                <w:szCs w:val="24"/>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Cs w:val="24"/>
                <w:lang w:val="en-GB" w:eastAsia="en-US"/>
              </w:rPr>
            </w:pPr>
            <w:r w:rsidRPr="00D94081">
              <w:rPr>
                <w:szCs w:val="24"/>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r w:rsidRPr="00D94081">
              <w:rPr>
                <w:szCs w:val="24"/>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color w:val="000000"/>
                <w:szCs w:val="24"/>
                <w:lang w:val="en-US" w:eastAsia="en-US"/>
              </w:rPr>
              <w:t xml:space="preserve">Jens Holm (V), </w:t>
            </w:r>
            <w:proofErr w:type="spellStart"/>
            <w:r w:rsidRPr="00D94081">
              <w:rPr>
                <w:i/>
                <w:color w:val="000000"/>
                <w:szCs w:val="24"/>
                <w:lang w:val="en-US" w:eastAsia="en-US"/>
              </w:rPr>
              <w:t>ordf</w:t>
            </w:r>
            <w:proofErr w:type="spellEnd"/>
            <w:r w:rsidRPr="00D94081">
              <w:rPr>
                <w:i/>
                <w:color w:val="000000"/>
                <w:szCs w:val="24"/>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1935F2"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r>
              <w:rPr>
                <w:szCs w:val="24"/>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r w:rsidRPr="00D94081">
              <w:rPr>
                <w:szCs w:val="24"/>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color w:val="000000"/>
                <w:szCs w:val="24"/>
                <w:lang w:eastAsia="en-US"/>
              </w:rPr>
            </w:pPr>
            <w:r w:rsidRPr="00D94081">
              <w:rPr>
                <w:color w:val="000000"/>
                <w:szCs w:val="24"/>
                <w:lang w:eastAsia="en-US"/>
              </w:rPr>
              <w:t xml:space="preserve">Anders Åkesson (C), </w:t>
            </w:r>
            <w:r w:rsidRPr="00D94081">
              <w:rPr>
                <w:i/>
                <w:color w:val="000000"/>
                <w:szCs w:val="24"/>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422EB2"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eastAsia="en-US"/>
              </w:rPr>
            </w:pPr>
            <w:r>
              <w:rPr>
                <w:szCs w:val="24"/>
                <w:lang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i/>
                <w:szCs w:val="24"/>
                <w:lang w:val="fr-FR" w:eastAsia="en-US"/>
              </w:rPr>
            </w:pPr>
            <w:r w:rsidRPr="00D94081">
              <w:rPr>
                <w:szCs w:val="24"/>
                <w:lang w:val="fr-FR" w:eastAsia="en-US"/>
              </w:rPr>
              <w:t xml:space="preserve">Magnus </w:t>
            </w:r>
            <w:proofErr w:type="spellStart"/>
            <w:r w:rsidRPr="00D94081">
              <w:rPr>
                <w:szCs w:val="24"/>
                <w:lang w:val="fr-FR" w:eastAsia="en-US"/>
              </w:rPr>
              <w:t>Jacobsson</w:t>
            </w:r>
            <w:proofErr w:type="spellEnd"/>
            <w:r w:rsidRPr="00D94081">
              <w:rPr>
                <w:szCs w:val="24"/>
                <w:lang w:val="fr-FR" w:eastAsia="en-US"/>
              </w:rPr>
              <w:t xml:space="preserve"> (KD) </w:t>
            </w:r>
            <w:proofErr w:type="spellStart"/>
            <w:r w:rsidRPr="00D94081">
              <w:rPr>
                <w:i/>
                <w:szCs w:val="24"/>
                <w:lang w:val="fr-FR" w:eastAsia="en-US"/>
              </w:rPr>
              <w:t>andre</w:t>
            </w:r>
            <w:proofErr w:type="spellEnd"/>
            <w:r w:rsidRPr="00D94081">
              <w:rPr>
                <w:i/>
                <w:szCs w:val="24"/>
                <w:lang w:val="fr-FR" w:eastAsia="en-US"/>
              </w:rPr>
              <w:t xml:space="preserve"> vice </w:t>
            </w:r>
            <w:proofErr w:type="spellStart"/>
            <w:r w:rsidRPr="00D94081">
              <w:rPr>
                <w:i/>
                <w:szCs w:val="24"/>
                <w:lang w:val="fr-FR" w:eastAsia="en-US"/>
              </w:rPr>
              <w:t>ordf</w:t>
            </w:r>
            <w:proofErr w:type="spellEnd"/>
            <w:r w:rsidRPr="00D94081">
              <w:rPr>
                <w:i/>
                <w:szCs w:val="24"/>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fr-FR" w:eastAsia="en-US"/>
              </w:rPr>
            </w:pPr>
            <w:r w:rsidRPr="00D94081">
              <w:rPr>
                <w:szCs w:val="24"/>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eastAsia="en-US"/>
              </w:rPr>
            </w:pPr>
            <w:r w:rsidRPr="00D94081">
              <w:rPr>
                <w:szCs w:val="24"/>
                <w:lang w:eastAsia="en-US"/>
              </w:rPr>
              <w:t>Teres Lindberg (</w:t>
            </w:r>
            <w:proofErr w:type="gramStart"/>
            <w:r w:rsidRPr="00D94081">
              <w:rPr>
                <w:szCs w:val="24"/>
                <w:lang w:eastAsia="en-US"/>
              </w:rPr>
              <w:t xml:space="preserve">S)   </w:t>
            </w:r>
            <w:proofErr w:type="gramEnd"/>
            <w:r w:rsidRPr="00D94081">
              <w:rPr>
                <w:szCs w:val="24"/>
                <w:lang w:eastAsia="en-US"/>
              </w:rPr>
              <w:t xml:space="preserve">                       </w:t>
            </w:r>
            <w:r w:rsidRPr="00D94081">
              <w:rPr>
                <w:i/>
                <w:szCs w:val="24"/>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1935F2"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Pr>
                <w:szCs w:val="24"/>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sidRPr="00D94081">
              <w:rPr>
                <w:szCs w:val="24"/>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spacing w:line="256" w:lineRule="auto"/>
              <w:rPr>
                <w:szCs w:val="24"/>
                <w:lang w:val="en-US" w:eastAsia="en-US"/>
              </w:rPr>
            </w:pPr>
            <w:r w:rsidRPr="00D94081">
              <w:rPr>
                <w:szCs w:val="24"/>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r w:rsidRPr="00D94081">
              <w:rPr>
                <w:szCs w:val="24"/>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Maria Stockhaus(M)</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1935F2"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r>
              <w:rPr>
                <w:szCs w:val="24"/>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r w:rsidRPr="00D94081">
              <w:rPr>
                <w:szCs w:val="24"/>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sidRPr="00D94081">
              <w:rPr>
                <w:szCs w:val="24"/>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sidRPr="00D94081">
              <w:rPr>
                <w:szCs w:val="24"/>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rPr>
          <w:trHeight w:val="276"/>
        </w:trPr>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1935F2"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Pr>
                <w:szCs w:val="24"/>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sidRPr="00D94081">
              <w:rPr>
                <w:szCs w:val="24"/>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sidRPr="00D94081">
              <w:rPr>
                <w:szCs w:val="24"/>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sidRPr="00D94081">
              <w:rPr>
                <w:szCs w:val="24"/>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sidRPr="00D94081">
              <w:rPr>
                <w:szCs w:val="24"/>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sidRPr="00D94081">
              <w:rPr>
                <w:szCs w:val="24"/>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sidRPr="00D94081">
              <w:rPr>
                <w:szCs w:val="24"/>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sidRPr="00D94081">
              <w:rPr>
                <w:szCs w:val="24"/>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422EB2"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Pr>
                <w:szCs w:val="24"/>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422EB2"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Pr>
                <w:szCs w:val="24"/>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r w:rsidRPr="00D94081">
              <w:rPr>
                <w:b/>
                <w:i/>
                <w:szCs w:val="24"/>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sidRPr="00D94081">
              <w:rPr>
                <w:szCs w:val="24"/>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422EB2"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Pr>
                <w:szCs w:val="24"/>
                <w:lang w:val="en-GB" w:eastAsia="en-US"/>
              </w:rPr>
              <w:t>O</w:t>
            </w: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422EB2"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Pr>
                <w:szCs w:val="24"/>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422EB2"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Pr>
                <w:szCs w:val="24"/>
                <w:lang w:val="en-GB" w:eastAsia="en-US"/>
              </w:rPr>
              <w:t>O</w:t>
            </w: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sidRPr="00D94081">
              <w:rPr>
                <w:szCs w:val="24"/>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422EB2"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Pr>
                <w:szCs w:val="24"/>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r w:rsidRPr="00D94081">
              <w:rPr>
                <w:szCs w:val="24"/>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GB" w:eastAsia="en-US"/>
              </w:rPr>
            </w:pPr>
            <w:r w:rsidRPr="00D94081">
              <w:rPr>
                <w:szCs w:val="24"/>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655CA9" w:rsidRPr="000D76FC"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tabs>
                <w:tab w:val="left" w:pos="328"/>
              </w:tabs>
              <w:spacing w:line="256" w:lineRule="auto"/>
              <w:rPr>
                <w:szCs w:val="24"/>
                <w:lang w:val="en-US" w:eastAsia="en-US"/>
              </w:rPr>
            </w:pPr>
            <w:r w:rsidRPr="00D94081">
              <w:rPr>
                <w:szCs w:val="24"/>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tabs>
                <w:tab w:val="left" w:pos="328"/>
              </w:tabs>
              <w:spacing w:line="256" w:lineRule="auto"/>
              <w:rPr>
                <w:szCs w:val="24"/>
                <w:lang w:val="en-US" w:eastAsia="en-US"/>
              </w:rPr>
            </w:pPr>
            <w:r w:rsidRPr="00D94081">
              <w:rPr>
                <w:szCs w:val="24"/>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lastRenderedPageBreak/>
              <w:t>Hampus Hagman (KD)</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655CA9" w:rsidRPr="00D94081" w:rsidTr="001C2C46">
        <w:tc>
          <w:tcPr>
            <w:tcW w:w="3507" w:type="dxa"/>
            <w:tcBorders>
              <w:top w:val="single" w:sz="6" w:space="0" w:color="auto"/>
              <w:left w:val="single" w:sz="6" w:space="0" w:color="auto"/>
              <w:bottom w:val="single" w:sz="6" w:space="0" w:color="auto"/>
              <w:right w:val="single" w:sz="6" w:space="0" w:color="auto"/>
            </w:tcBorders>
            <w:hideMark/>
          </w:tcPr>
          <w:p w:rsidR="00655CA9" w:rsidRPr="00D94081" w:rsidRDefault="00655CA9" w:rsidP="001C2C46">
            <w:pPr>
              <w:spacing w:line="256" w:lineRule="auto"/>
              <w:rPr>
                <w:szCs w:val="24"/>
                <w:lang w:val="en-US" w:eastAsia="en-US"/>
              </w:rPr>
            </w:pPr>
            <w:r w:rsidRPr="00D94081">
              <w:rPr>
                <w:szCs w:val="24"/>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655CA9" w:rsidRPr="00D94081" w:rsidRDefault="00655CA9"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r w:rsidR="00E33E20" w:rsidRPr="00D94081" w:rsidTr="001C2C46">
        <w:tc>
          <w:tcPr>
            <w:tcW w:w="3507" w:type="dxa"/>
            <w:tcBorders>
              <w:top w:val="single" w:sz="6" w:space="0" w:color="auto"/>
              <w:left w:val="single" w:sz="6" w:space="0" w:color="auto"/>
              <w:bottom w:val="single" w:sz="6" w:space="0" w:color="auto"/>
              <w:right w:val="single" w:sz="6" w:space="0" w:color="auto"/>
            </w:tcBorders>
          </w:tcPr>
          <w:p w:rsidR="00E33E20" w:rsidRPr="00D94081" w:rsidRDefault="00E33E20" w:rsidP="001C2C46">
            <w:pPr>
              <w:spacing w:line="256" w:lineRule="auto"/>
              <w:rPr>
                <w:szCs w:val="24"/>
                <w:lang w:val="en-US" w:eastAsia="en-US"/>
              </w:rPr>
            </w:pPr>
            <w:r>
              <w:rPr>
                <w:szCs w:val="24"/>
                <w:lang w:val="en-US" w:eastAsia="en-US"/>
              </w:rPr>
              <w:t xml:space="preserve">Anne-Li </w:t>
            </w:r>
            <w:proofErr w:type="spellStart"/>
            <w:r>
              <w:rPr>
                <w:szCs w:val="24"/>
                <w:lang w:val="en-US" w:eastAsia="en-US"/>
              </w:rPr>
              <w:t>Sjölund</w:t>
            </w:r>
            <w:proofErr w:type="spellEnd"/>
            <w:r>
              <w:rPr>
                <w:szCs w:val="24"/>
                <w:lang w:val="en-US" w:eastAsia="en-US"/>
              </w:rPr>
              <w:t xml:space="preserve"> (C)</w:t>
            </w:r>
          </w:p>
        </w:tc>
        <w:tc>
          <w:tcPr>
            <w:tcW w:w="354" w:type="dxa"/>
            <w:tcBorders>
              <w:top w:val="single" w:sz="6" w:space="0" w:color="auto"/>
              <w:left w:val="single" w:sz="6" w:space="0" w:color="auto"/>
              <w:bottom w:val="single" w:sz="6" w:space="0" w:color="auto"/>
              <w:right w:val="single" w:sz="6" w:space="0" w:color="auto"/>
            </w:tcBorders>
          </w:tcPr>
          <w:p w:rsidR="00E33E20" w:rsidRPr="00D94081" w:rsidRDefault="00E33E20"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33E20" w:rsidRPr="00D94081" w:rsidRDefault="00E33E20"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33E20" w:rsidRPr="00D94081" w:rsidRDefault="00422EB2"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r>
              <w:rPr>
                <w:szCs w:val="24"/>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E33E20" w:rsidRPr="00D94081" w:rsidRDefault="00E33E20"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33E20" w:rsidRPr="00D94081" w:rsidRDefault="00E33E20"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33E20" w:rsidRPr="00D94081" w:rsidRDefault="00E33E20"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33E20" w:rsidRPr="00D94081" w:rsidRDefault="00E33E20"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33E20" w:rsidRPr="00D94081" w:rsidRDefault="00E33E20"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33E20" w:rsidRPr="00D94081" w:rsidRDefault="00E33E20"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33E20" w:rsidRPr="00D94081" w:rsidRDefault="00E33E20"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33E20" w:rsidRPr="00D94081" w:rsidRDefault="00E33E20"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33E20" w:rsidRPr="00D94081" w:rsidRDefault="00E33E20"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33E20" w:rsidRPr="00D94081" w:rsidRDefault="00E33E20"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E33E20" w:rsidRPr="00D94081" w:rsidRDefault="00E33E20" w:rsidP="001C2C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eastAsia="en-US"/>
              </w:rPr>
            </w:pPr>
          </w:p>
        </w:tc>
      </w:tr>
    </w:tbl>
    <w:p w:rsidR="00655CA9" w:rsidRPr="00D94081" w:rsidRDefault="00655CA9" w:rsidP="00655CA9">
      <w:pPr>
        <w:spacing w:before="60" w:line="256" w:lineRule="auto"/>
        <w:rPr>
          <w:szCs w:val="24"/>
        </w:rPr>
      </w:pPr>
      <w:r w:rsidRPr="00D94081">
        <w:rPr>
          <w:szCs w:val="24"/>
          <w:lang w:eastAsia="en-US"/>
        </w:rPr>
        <w:t>N = Närvarande                                                 X = ledamöter som deltagit i handläggningen</w:t>
      </w:r>
      <w:r w:rsidRPr="00D94081">
        <w:rPr>
          <w:szCs w:val="24"/>
          <w:lang w:eastAsia="en-US"/>
        </w:rPr>
        <w:br/>
        <w:t xml:space="preserve">V = Votering                                                     O = </w:t>
      </w:r>
      <w:r w:rsidRPr="00D94081">
        <w:rPr>
          <w:szCs w:val="24"/>
        </w:rPr>
        <w:t>ledamöter som härutöver varit närvarande</w:t>
      </w:r>
    </w:p>
    <w:p w:rsidR="00655CA9" w:rsidRPr="00D94081" w:rsidRDefault="00655CA9" w:rsidP="00655CA9">
      <w:pPr>
        <w:spacing w:before="60" w:line="256" w:lineRule="auto"/>
        <w:rPr>
          <w:szCs w:val="24"/>
        </w:rPr>
      </w:pPr>
    </w:p>
    <w:p w:rsidR="00655CA9" w:rsidRPr="00D94081" w:rsidRDefault="00655CA9" w:rsidP="00655CA9">
      <w:pPr>
        <w:spacing w:before="60" w:line="256" w:lineRule="auto"/>
        <w:rPr>
          <w:szCs w:val="24"/>
          <w:lang w:eastAsia="en-US"/>
        </w:rPr>
      </w:pPr>
    </w:p>
    <w:p w:rsidR="00655CA9" w:rsidRPr="00D94081" w:rsidRDefault="00655CA9" w:rsidP="00655CA9">
      <w:pPr>
        <w:spacing w:before="60" w:line="256" w:lineRule="auto"/>
        <w:rPr>
          <w:szCs w:val="24"/>
          <w:lang w:eastAsia="en-US"/>
        </w:rPr>
      </w:pPr>
    </w:p>
    <w:p w:rsidR="00655CA9" w:rsidRPr="00D94081" w:rsidRDefault="00655CA9" w:rsidP="00655CA9">
      <w:pPr>
        <w:rPr>
          <w:szCs w:val="24"/>
        </w:rPr>
      </w:pPr>
      <w:r w:rsidRPr="00D94081">
        <w:rPr>
          <w:szCs w:val="24"/>
        </w:rPr>
        <w:t>TRAFIKUTSKOTTET        2020-</w:t>
      </w:r>
      <w:r w:rsidR="00523709" w:rsidRPr="00D94081">
        <w:rPr>
          <w:szCs w:val="24"/>
        </w:rPr>
        <w:t>10-13</w:t>
      </w:r>
      <w:r w:rsidRPr="00D94081">
        <w:rPr>
          <w:szCs w:val="24"/>
        </w:rPr>
        <w:t xml:space="preserve">                           Bilaga </w:t>
      </w:r>
      <w:r w:rsidR="00D94081" w:rsidRPr="00D94081">
        <w:rPr>
          <w:szCs w:val="24"/>
        </w:rPr>
        <w:t>4</w:t>
      </w:r>
      <w:r w:rsidRPr="00D94081">
        <w:rPr>
          <w:szCs w:val="24"/>
        </w:rPr>
        <w:t xml:space="preserve"> till protokoll</w:t>
      </w:r>
    </w:p>
    <w:p w:rsidR="00655CA9" w:rsidRPr="00D94081" w:rsidRDefault="00655CA9" w:rsidP="00655CA9">
      <w:pPr>
        <w:rPr>
          <w:szCs w:val="24"/>
        </w:rPr>
      </w:pPr>
      <w:r w:rsidRPr="00D94081">
        <w:rPr>
          <w:szCs w:val="24"/>
        </w:rPr>
        <w:t xml:space="preserve">                                                                                                    2020/21:</w:t>
      </w:r>
      <w:r w:rsidR="00523709" w:rsidRPr="00D94081">
        <w:rPr>
          <w:szCs w:val="24"/>
        </w:rPr>
        <w:t>4</w:t>
      </w:r>
    </w:p>
    <w:p w:rsidR="00A70860" w:rsidRPr="00D94081" w:rsidRDefault="00A70860" w:rsidP="00A70860">
      <w:pPr>
        <w:rPr>
          <w:szCs w:val="24"/>
        </w:rPr>
      </w:pPr>
      <w:r w:rsidRPr="00D94081">
        <w:rPr>
          <w:szCs w:val="24"/>
        </w:rPr>
        <w:t>Skrivelse angående</w:t>
      </w:r>
      <w:r>
        <w:rPr>
          <w:szCs w:val="24"/>
        </w:rPr>
        <w:t xml:space="preserve"> lastvikt för husvagnar</w:t>
      </w:r>
    </w:p>
    <w:p w:rsidR="00A70860" w:rsidRPr="00D94081" w:rsidRDefault="00A70860" w:rsidP="00A70860">
      <w:pPr>
        <w:rPr>
          <w:szCs w:val="24"/>
        </w:rPr>
      </w:pPr>
      <w:r w:rsidRPr="00D94081">
        <w:rPr>
          <w:szCs w:val="24"/>
        </w:rPr>
        <w:t xml:space="preserve">Dnr: </w:t>
      </w:r>
      <w:r>
        <w:rPr>
          <w:szCs w:val="24"/>
        </w:rPr>
        <w:t>53</w:t>
      </w:r>
      <w:r w:rsidRPr="00D94081">
        <w:rPr>
          <w:szCs w:val="24"/>
        </w:rPr>
        <w:t xml:space="preserve"> – 2020/21</w:t>
      </w:r>
    </w:p>
    <w:p w:rsidR="00655CA9" w:rsidRPr="00D94081" w:rsidRDefault="00655CA9" w:rsidP="00655CA9">
      <w:pPr>
        <w:rPr>
          <w:szCs w:val="24"/>
        </w:rPr>
      </w:pPr>
    </w:p>
    <w:p w:rsidR="00655CA9" w:rsidRPr="00D94081" w:rsidRDefault="00655CA9" w:rsidP="00655CA9">
      <w:pPr>
        <w:rPr>
          <w:szCs w:val="24"/>
        </w:rPr>
      </w:pPr>
      <w:r w:rsidRPr="00D94081">
        <w:rPr>
          <w:szCs w:val="24"/>
        </w:rPr>
        <w:t>Skrivelse angående</w:t>
      </w:r>
      <w:r w:rsidR="00F46F55">
        <w:rPr>
          <w:szCs w:val="24"/>
        </w:rPr>
        <w:t xml:space="preserve"> den autonoma flygplatsen</w:t>
      </w:r>
    </w:p>
    <w:p w:rsidR="00655CA9" w:rsidRPr="00D94081" w:rsidRDefault="00655CA9" w:rsidP="00655CA9">
      <w:pPr>
        <w:rPr>
          <w:szCs w:val="24"/>
        </w:rPr>
      </w:pPr>
      <w:r w:rsidRPr="00D94081">
        <w:rPr>
          <w:szCs w:val="24"/>
        </w:rPr>
        <w:t>Dnr: 2</w:t>
      </w:r>
      <w:r w:rsidR="00F46F55">
        <w:rPr>
          <w:szCs w:val="24"/>
        </w:rPr>
        <w:t>67</w:t>
      </w:r>
      <w:r w:rsidRPr="00D94081">
        <w:rPr>
          <w:szCs w:val="24"/>
        </w:rPr>
        <w:t xml:space="preserve"> – 2020/21</w:t>
      </w:r>
    </w:p>
    <w:p w:rsidR="00655CA9" w:rsidRPr="00D94081" w:rsidRDefault="00655CA9" w:rsidP="00655CA9">
      <w:pPr>
        <w:rPr>
          <w:szCs w:val="24"/>
        </w:rPr>
      </w:pPr>
    </w:p>
    <w:p w:rsidR="00523709" w:rsidRPr="00D94081" w:rsidRDefault="00523709" w:rsidP="00523709">
      <w:pPr>
        <w:rPr>
          <w:szCs w:val="24"/>
        </w:rPr>
      </w:pPr>
      <w:r w:rsidRPr="00D94081">
        <w:rPr>
          <w:szCs w:val="24"/>
        </w:rPr>
        <w:t>Skrivelse angående</w:t>
      </w:r>
      <w:r w:rsidR="00F46F55">
        <w:rPr>
          <w:szCs w:val="24"/>
        </w:rPr>
        <w:t xml:space="preserve"> förnyelse av svenskt körkort</w:t>
      </w:r>
    </w:p>
    <w:p w:rsidR="00523709" w:rsidRPr="00D94081" w:rsidRDefault="00523709" w:rsidP="00523709">
      <w:pPr>
        <w:rPr>
          <w:szCs w:val="24"/>
        </w:rPr>
      </w:pPr>
      <w:r w:rsidRPr="00D94081">
        <w:rPr>
          <w:szCs w:val="24"/>
        </w:rPr>
        <w:t>Dnr: 2</w:t>
      </w:r>
      <w:r w:rsidR="00F46F55">
        <w:rPr>
          <w:szCs w:val="24"/>
        </w:rPr>
        <w:t>87</w:t>
      </w:r>
      <w:r w:rsidRPr="00D94081">
        <w:rPr>
          <w:szCs w:val="24"/>
        </w:rPr>
        <w:t xml:space="preserve"> – 2020/21</w:t>
      </w:r>
    </w:p>
    <w:p w:rsidR="00523709" w:rsidRPr="00D94081" w:rsidRDefault="00523709" w:rsidP="00655CA9">
      <w:pPr>
        <w:tabs>
          <w:tab w:val="left" w:pos="8623"/>
        </w:tabs>
        <w:rPr>
          <w:szCs w:val="24"/>
        </w:rPr>
      </w:pPr>
    </w:p>
    <w:p w:rsidR="00523709" w:rsidRPr="00D94081" w:rsidRDefault="00523709" w:rsidP="00523709">
      <w:pPr>
        <w:rPr>
          <w:szCs w:val="24"/>
        </w:rPr>
      </w:pPr>
      <w:r w:rsidRPr="00D94081">
        <w:rPr>
          <w:szCs w:val="24"/>
        </w:rPr>
        <w:t>Skrivelse angående</w:t>
      </w:r>
      <w:r w:rsidR="00F46F55">
        <w:rPr>
          <w:szCs w:val="24"/>
        </w:rPr>
        <w:t xml:space="preserve"> </w:t>
      </w:r>
      <w:r w:rsidR="002749F3">
        <w:rPr>
          <w:szCs w:val="24"/>
        </w:rPr>
        <w:t>illegala utbildningar för körkort</w:t>
      </w:r>
    </w:p>
    <w:p w:rsidR="00523709" w:rsidRPr="00D94081" w:rsidRDefault="00523709" w:rsidP="00523709">
      <w:pPr>
        <w:rPr>
          <w:szCs w:val="24"/>
        </w:rPr>
      </w:pPr>
      <w:r w:rsidRPr="00D94081">
        <w:rPr>
          <w:szCs w:val="24"/>
        </w:rPr>
        <w:t xml:space="preserve">Dnr: </w:t>
      </w:r>
      <w:r w:rsidR="002749F3">
        <w:rPr>
          <w:szCs w:val="24"/>
        </w:rPr>
        <w:t>329</w:t>
      </w:r>
      <w:r w:rsidRPr="00D94081">
        <w:rPr>
          <w:szCs w:val="24"/>
        </w:rPr>
        <w:t xml:space="preserve"> – 2020/21</w:t>
      </w:r>
    </w:p>
    <w:p w:rsidR="00523709" w:rsidRPr="00D94081" w:rsidRDefault="00523709" w:rsidP="00655CA9">
      <w:pPr>
        <w:tabs>
          <w:tab w:val="left" w:pos="8623"/>
        </w:tabs>
        <w:rPr>
          <w:szCs w:val="24"/>
        </w:rPr>
      </w:pPr>
    </w:p>
    <w:p w:rsidR="00655CA9" w:rsidRPr="00D94081" w:rsidRDefault="00655CA9" w:rsidP="00655CA9">
      <w:pPr>
        <w:rPr>
          <w:szCs w:val="24"/>
        </w:rPr>
      </w:pPr>
    </w:p>
    <w:p w:rsidR="00A37376" w:rsidRPr="00D94081" w:rsidRDefault="00A37376" w:rsidP="006D3AF9">
      <w:pPr>
        <w:rPr>
          <w:szCs w:val="24"/>
        </w:rPr>
      </w:pPr>
    </w:p>
    <w:sectPr w:rsidR="00A37376" w:rsidRPr="00D94081" w:rsidSect="00CC5952">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FB7" w:rsidRDefault="002A0FB7">
      <w:r>
        <w:separator/>
      </w:r>
    </w:p>
  </w:endnote>
  <w:endnote w:type="continuationSeparator" w:id="0">
    <w:p w:rsidR="002A0FB7" w:rsidRDefault="002A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52370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DF14D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52370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DF14D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FB7" w:rsidRDefault="002A0FB7">
      <w:r>
        <w:separator/>
      </w:r>
    </w:p>
  </w:footnote>
  <w:footnote w:type="continuationSeparator" w:id="0">
    <w:p w:rsidR="002A0FB7" w:rsidRDefault="002A0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A9"/>
    <w:rsid w:val="0006043F"/>
    <w:rsid w:val="00072835"/>
    <w:rsid w:val="00094A50"/>
    <w:rsid w:val="000D16E6"/>
    <w:rsid w:val="000D76FC"/>
    <w:rsid w:val="00181143"/>
    <w:rsid w:val="001935F2"/>
    <w:rsid w:val="002749F3"/>
    <w:rsid w:val="0028015F"/>
    <w:rsid w:val="00280BC7"/>
    <w:rsid w:val="002A0FB7"/>
    <w:rsid w:val="002B7046"/>
    <w:rsid w:val="002F6184"/>
    <w:rsid w:val="00375D0B"/>
    <w:rsid w:val="00386CC5"/>
    <w:rsid w:val="003A7BE6"/>
    <w:rsid w:val="003D3E90"/>
    <w:rsid w:val="00422EB2"/>
    <w:rsid w:val="00516CD2"/>
    <w:rsid w:val="00523709"/>
    <w:rsid w:val="005315D0"/>
    <w:rsid w:val="00585C22"/>
    <w:rsid w:val="0063032A"/>
    <w:rsid w:val="00655CA9"/>
    <w:rsid w:val="006B663C"/>
    <w:rsid w:val="006D3AF9"/>
    <w:rsid w:val="00712851"/>
    <w:rsid w:val="007149F6"/>
    <w:rsid w:val="007B6A85"/>
    <w:rsid w:val="00874A67"/>
    <w:rsid w:val="008D3BE8"/>
    <w:rsid w:val="008F5C48"/>
    <w:rsid w:val="00925EF5"/>
    <w:rsid w:val="00952B2B"/>
    <w:rsid w:val="00980BA4"/>
    <w:rsid w:val="009855B9"/>
    <w:rsid w:val="009D5219"/>
    <w:rsid w:val="00A042A4"/>
    <w:rsid w:val="00A37376"/>
    <w:rsid w:val="00A70860"/>
    <w:rsid w:val="00AF0FA0"/>
    <w:rsid w:val="00B026D0"/>
    <w:rsid w:val="00D66118"/>
    <w:rsid w:val="00D8468E"/>
    <w:rsid w:val="00D94081"/>
    <w:rsid w:val="00DE082E"/>
    <w:rsid w:val="00DE3D8E"/>
    <w:rsid w:val="00DF14D5"/>
    <w:rsid w:val="00E21104"/>
    <w:rsid w:val="00E33E20"/>
    <w:rsid w:val="00F063C4"/>
    <w:rsid w:val="00F424CC"/>
    <w:rsid w:val="00F46F55"/>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4037A-6688-4B91-AE6B-BC80EC73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CA9"/>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655CA9"/>
    <w:pPr>
      <w:tabs>
        <w:tab w:val="center" w:pos="4536"/>
        <w:tab w:val="right" w:pos="9072"/>
      </w:tabs>
    </w:pPr>
  </w:style>
  <w:style w:type="character" w:customStyle="1" w:styleId="SidfotChar">
    <w:name w:val="Sidfot Char"/>
    <w:basedOn w:val="Standardstycketeckensnitt"/>
    <w:link w:val="Sidfot"/>
    <w:rsid w:val="00655CA9"/>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655CA9"/>
  </w:style>
  <w:style w:type="paragraph" w:styleId="Brdtext">
    <w:name w:val="Body Text"/>
    <w:basedOn w:val="Normal"/>
    <w:link w:val="BrdtextChar"/>
    <w:rsid w:val="00655CA9"/>
    <w:pPr>
      <w:spacing w:after="120"/>
    </w:pPr>
  </w:style>
  <w:style w:type="character" w:customStyle="1" w:styleId="BrdtextChar">
    <w:name w:val="Brödtext Char"/>
    <w:basedOn w:val="Standardstycketeckensnitt"/>
    <w:link w:val="Brdtext"/>
    <w:rsid w:val="00655CA9"/>
    <w:rPr>
      <w:rFonts w:ascii="Times New Roman" w:eastAsia="Times New Roman" w:hAnsi="Times New Roman" w:cs="Times New Roman"/>
      <w:sz w:val="24"/>
      <w:szCs w:val="20"/>
      <w:lang w:val="sv-SE" w:eastAsia="sv-SE"/>
    </w:rPr>
  </w:style>
  <w:style w:type="paragraph" w:styleId="Ballongtext">
    <w:name w:val="Balloon Text"/>
    <w:basedOn w:val="Normal"/>
    <w:link w:val="BallongtextChar"/>
    <w:uiPriority w:val="99"/>
    <w:semiHidden/>
    <w:unhideWhenUsed/>
    <w:rsid w:val="003A7BE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A7BE6"/>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2178">
      <w:bodyDiv w:val="1"/>
      <w:marLeft w:val="0"/>
      <w:marRight w:val="0"/>
      <w:marTop w:val="0"/>
      <w:marBottom w:val="0"/>
      <w:divBdr>
        <w:top w:val="none" w:sz="0" w:space="0" w:color="auto"/>
        <w:left w:val="none" w:sz="0" w:space="0" w:color="auto"/>
        <w:bottom w:val="none" w:sz="0" w:space="0" w:color="auto"/>
        <w:right w:val="none" w:sz="0" w:space="0" w:color="auto"/>
      </w:divBdr>
    </w:div>
    <w:div w:id="180625322">
      <w:bodyDiv w:val="1"/>
      <w:marLeft w:val="0"/>
      <w:marRight w:val="0"/>
      <w:marTop w:val="0"/>
      <w:marBottom w:val="0"/>
      <w:divBdr>
        <w:top w:val="none" w:sz="0" w:space="0" w:color="auto"/>
        <w:left w:val="none" w:sz="0" w:space="0" w:color="auto"/>
        <w:bottom w:val="none" w:sz="0" w:space="0" w:color="auto"/>
        <w:right w:val="none" w:sz="0" w:space="0" w:color="auto"/>
      </w:divBdr>
    </w:div>
    <w:div w:id="836533158">
      <w:bodyDiv w:val="1"/>
      <w:marLeft w:val="0"/>
      <w:marRight w:val="0"/>
      <w:marTop w:val="0"/>
      <w:marBottom w:val="0"/>
      <w:divBdr>
        <w:top w:val="none" w:sz="0" w:space="0" w:color="auto"/>
        <w:left w:val="none" w:sz="0" w:space="0" w:color="auto"/>
        <w:bottom w:val="none" w:sz="0" w:space="0" w:color="auto"/>
        <w:right w:val="none" w:sz="0" w:space="0" w:color="auto"/>
      </w:divBdr>
    </w:div>
    <w:div w:id="1031686918">
      <w:bodyDiv w:val="1"/>
      <w:marLeft w:val="0"/>
      <w:marRight w:val="0"/>
      <w:marTop w:val="0"/>
      <w:marBottom w:val="0"/>
      <w:divBdr>
        <w:top w:val="none" w:sz="0" w:space="0" w:color="auto"/>
        <w:left w:val="none" w:sz="0" w:space="0" w:color="auto"/>
        <w:bottom w:val="none" w:sz="0" w:space="0" w:color="auto"/>
        <w:right w:val="none" w:sz="0" w:space="0" w:color="auto"/>
      </w:divBdr>
    </w:div>
    <w:div w:id="1105885812">
      <w:bodyDiv w:val="1"/>
      <w:marLeft w:val="0"/>
      <w:marRight w:val="0"/>
      <w:marTop w:val="0"/>
      <w:marBottom w:val="0"/>
      <w:divBdr>
        <w:top w:val="none" w:sz="0" w:space="0" w:color="auto"/>
        <w:left w:val="none" w:sz="0" w:space="0" w:color="auto"/>
        <w:bottom w:val="none" w:sz="0" w:space="0" w:color="auto"/>
        <w:right w:val="none" w:sz="0" w:space="0" w:color="auto"/>
      </w:divBdr>
    </w:div>
    <w:div w:id="19662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1</TotalTime>
  <Pages>7</Pages>
  <Words>1569</Words>
  <Characters>10075</Characters>
  <Application>Microsoft Office Word</Application>
  <DocSecurity>4</DocSecurity>
  <Lines>1259</Lines>
  <Paragraphs>207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cp:lastPrinted>2020-10-13T12:51:00Z</cp:lastPrinted>
  <dcterms:created xsi:type="dcterms:W3CDTF">2020-12-03T12:39:00Z</dcterms:created>
  <dcterms:modified xsi:type="dcterms:W3CDTF">2020-12-03T12:39:00Z</dcterms:modified>
</cp:coreProperties>
</file>