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49492A">
        <w:tblPrEx>
          <w:tblCellMar>
            <w:top w:w="0" w:type="dxa"/>
            <w:bottom w:w="0" w:type="dxa"/>
          </w:tblCellMar>
        </w:tblPrEx>
        <w:trPr>
          <w:cantSplit/>
          <w:trHeight w:val="635"/>
        </w:trPr>
        <w:tc>
          <w:tcPr>
            <w:tcW w:w="5457" w:type="dxa"/>
            <w:gridSpan w:val="2"/>
            <w:vMerge w:val="restart"/>
            <w:tcBorders>
              <w:bottom w:val="nil"/>
            </w:tcBorders>
          </w:tcPr>
          <w:p w:rsidR="008D3479" w:rsidRPr="0049492A" w:rsidRDefault="008D3479">
            <w:pPr>
              <w:pStyle w:val="HuvudRubrik"/>
              <w:spacing w:before="0"/>
              <w:rPr>
                <w:sz w:val="36"/>
              </w:rPr>
            </w:pPr>
            <w:r w:rsidRPr="0049492A">
              <w:rPr>
                <w:sz w:val="36"/>
              </w:rPr>
              <w:t>Förslag till riksdagen</w:t>
            </w:r>
          </w:p>
          <w:p w:rsidR="008D3479" w:rsidRPr="0049492A" w:rsidRDefault="008D3479">
            <w:pPr>
              <w:pStyle w:val="HuvudRubrik"/>
              <w:spacing w:before="0"/>
            </w:pPr>
            <w:r w:rsidRPr="0049492A">
              <w:rPr>
                <w:sz w:val="36"/>
              </w:rPr>
              <w:t>2001/02:RR12</w:t>
            </w:r>
          </w:p>
          <w:p w:rsidR="008D3479" w:rsidRPr="0049492A" w:rsidRDefault="008D3479">
            <w:pPr>
              <w:pStyle w:val="HuvudRubrik"/>
              <w:spacing w:before="0"/>
            </w:pPr>
            <w:r w:rsidRPr="0049492A">
              <w:t xml:space="preserve">Riksdagens revisorers förslag angående </w:t>
            </w:r>
            <w:bookmarkStart w:id="0" w:name="Mittenrubrik2"/>
            <w:bookmarkEnd w:id="0"/>
            <w:r w:rsidRPr="0049492A">
              <w:t>Statens ändamålsfastigheter - hyressättning och förvaltning</w:t>
            </w:r>
          </w:p>
        </w:tc>
        <w:tc>
          <w:tcPr>
            <w:tcW w:w="2126" w:type="dxa"/>
          </w:tcPr>
          <w:p w:rsidR="008D3479" w:rsidRPr="0049492A" w:rsidRDefault="0049492A">
            <w:pPr>
              <w:pStyle w:val="rtal"/>
              <w:spacing w:before="120"/>
              <w:ind w:left="0"/>
            </w:pPr>
            <w:r w:rsidRPr="0049492A">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49492A">
        <w:tblPrEx>
          <w:tblCellMar>
            <w:top w:w="0" w:type="dxa"/>
            <w:bottom w:w="0" w:type="dxa"/>
          </w:tblCellMar>
        </w:tblPrEx>
        <w:trPr>
          <w:cantSplit/>
          <w:trHeight w:val="313"/>
        </w:trPr>
        <w:tc>
          <w:tcPr>
            <w:tcW w:w="5457" w:type="dxa"/>
            <w:gridSpan w:val="2"/>
            <w:vMerge/>
            <w:tcBorders>
              <w:bottom w:val="nil"/>
            </w:tcBorders>
          </w:tcPr>
          <w:p w:rsidR="008D3479" w:rsidRPr="0049492A" w:rsidRDefault="008D3479">
            <w:pPr>
              <w:pStyle w:val="HuvudRubrik"/>
            </w:pPr>
          </w:p>
        </w:tc>
        <w:tc>
          <w:tcPr>
            <w:tcW w:w="2126" w:type="dxa"/>
          </w:tcPr>
          <w:p w:rsidR="008D3479" w:rsidRPr="0049492A" w:rsidRDefault="008D3479">
            <w:pPr>
              <w:pStyle w:val="rtal"/>
              <w:ind w:left="0"/>
            </w:pPr>
            <w:r w:rsidRPr="0049492A">
              <w:t>2001/02</w:t>
            </w:r>
          </w:p>
        </w:tc>
      </w:tr>
      <w:tr w:rsidR="00000000" w:rsidRPr="0049492A">
        <w:tblPrEx>
          <w:tblCellMar>
            <w:top w:w="0" w:type="dxa"/>
            <w:bottom w:w="0" w:type="dxa"/>
          </w:tblCellMar>
        </w:tblPrEx>
        <w:trPr>
          <w:cantSplit/>
          <w:trHeight w:val="635"/>
        </w:trPr>
        <w:tc>
          <w:tcPr>
            <w:tcW w:w="5457" w:type="dxa"/>
            <w:gridSpan w:val="2"/>
            <w:vMerge/>
            <w:tcBorders>
              <w:bottom w:val="single" w:sz="4" w:space="0" w:color="auto"/>
            </w:tcBorders>
          </w:tcPr>
          <w:p w:rsidR="008D3479" w:rsidRPr="0049492A" w:rsidRDefault="008D3479">
            <w:pPr>
              <w:pStyle w:val="HuvudRubrik"/>
            </w:pPr>
          </w:p>
        </w:tc>
        <w:tc>
          <w:tcPr>
            <w:tcW w:w="2126" w:type="dxa"/>
            <w:tcBorders>
              <w:bottom w:val="single" w:sz="6" w:space="0" w:color="auto"/>
            </w:tcBorders>
          </w:tcPr>
          <w:p w:rsidR="008D3479" w:rsidRPr="0049492A" w:rsidRDefault="008D3479">
            <w:pPr>
              <w:pStyle w:val="rtal"/>
              <w:ind w:left="0"/>
            </w:pPr>
            <w:r w:rsidRPr="0049492A">
              <w:t>RR12</w:t>
            </w:r>
          </w:p>
        </w:tc>
      </w:tr>
      <w:tr w:rsidR="00000000" w:rsidRPr="0049492A">
        <w:tblPrEx>
          <w:tblCellMar>
            <w:top w:w="0" w:type="dxa"/>
            <w:bottom w:w="0" w:type="dxa"/>
          </w:tblCellMar>
        </w:tblPrEx>
        <w:trPr>
          <w:cantSplit/>
          <w:trHeight w:hRule="exact" w:val="660"/>
        </w:trPr>
        <w:tc>
          <w:tcPr>
            <w:tcW w:w="3012" w:type="dxa"/>
          </w:tcPr>
          <w:p w:rsidR="008D3479" w:rsidRPr="0049492A" w:rsidRDefault="008D3479">
            <w:pPr>
              <w:pStyle w:val="StatusSida1"/>
            </w:pPr>
          </w:p>
        </w:tc>
        <w:tc>
          <w:tcPr>
            <w:tcW w:w="2445" w:type="dxa"/>
          </w:tcPr>
          <w:p w:rsidR="008D3479" w:rsidRPr="0049492A" w:rsidRDefault="008D3479">
            <w:pPr>
              <w:pStyle w:val="UtskriftsdatumSida1"/>
              <w:rPr>
                <w:b/>
                <w:sz w:val="28"/>
              </w:rPr>
            </w:pPr>
          </w:p>
        </w:tc>
        <w:tc>
          <w:tcPr>
            <w:tcW w:w="2126" w:type="dxa"/>
          </w:tcPr>
          <w:p w:rsidR="008D3479" w:rsidRPr="0049492A" w:rsidRDefault="008D3479"/>
        </w:tc>
      </w:tr>
    </w:tbl>
    <w:p w:rsidR="008D3479" w:rsidRPr="0049492A" w:rsidRDefault="008D3479">
      <w:pPr>
        <w:pStyle w:val="Rubrik1"/>
      </w:pPr>
      <w:bookmarkStart w:id="1" w:name="_Toc532725153"/>
      <w:r w:rsidRPr="0049492A">
        <w:t>Revisorernas granskning</w:t>
      </w:r>
      <w:bookmarkEnd w:id="1"/>
    </w:p>
    <w:p w:rsidR="008D3479" w:rsidRPr="0049492A" w:rsidRDefault="008D3479">
      <w:r w:rsidRPr="0049492A">
        <w:t>Riksdagens revisorer har granskat hyressättningen av ändamålsfastigheter i den statliga sektorn. Kulturutskottet lade ursprungligen ett förslag till granskning av  hyressättningen av kulturinstitutionerna, men efter att ha genomfört en förstudie på området fann revisorerna det motiverat att göra en bredare granskning. Granskningen omfattar Statens fastighetsverk, Fortifik</w:t>
      </w:r>
      <w:r w:rsidRPr="0049492A">
        <w:t>a</w:t>
      </w:r>
      <w:r w:rsidRPr="0049492A">
        <w:t>tionsve</w:t>
      </w:r>
      <w:r w:rsidRPr="0049492A">
        <w:t>r</w:t>
      </w:r>
      <w:r w:rsidRPr="0049492A">
        <w:t xml:space="preserve">ket, Akademiska Hus AB och Specialfastigheter Sverige AB. </w:t>
      </w:r>
    </w:p>
    <w:p w:rsidR="008D3479" w:rsidRPr="0049492A" w:rsidRDefault="008D3479">
      <w:pPr>
        <w:pStyle w:val="Normaltindrag"/>
      </w:pPr>
      <w:r w:rsidRPr="0049492A">
        <w:t>Granskningen har inriktats på hur riksdagens riktlinjer tillämpas för hyre</w:t>
      </w:r>
      <w:r w:rsidRPr="0049492A">
        <w:t>s</w:t>
      </w:r>
      <w:r w:rsidRPr="0049492A">
        <w:t>sättning och förvaltning av fastigheter som av olika skäl bedömts vara alltför ändamålsanpassade för att lämpa sig för renodlat kommersiell förvaltning. Revisorerna har även granskat hur kompensationssystemet fungerar för myndigheter i ändamålsfasti</w:t>
      </w:r>
      <w:r w:rsidRPr="0049492A">
        <w:t>g</w:t>
      </w:r>
      <w:r w:rsidRPr="0049492A">
        <w:t xml:space="preserve">heter. </w:t>
      </w:r>
    </w:p>
    <w:p w:rsidR="008D3479" w:rsidRPr="0049492A" w:rsidRDefault="008D3479">
      <w:pPr>
        <w:pStyle w:val="Normaltindrag"/>
      </w:pPr>
      <w:r w:rsidRPr="0049492A">
        <w:t xml:space="preserve">Resultatet av revisorernas granskning har redovisats i rapporten 2001/02:2 Statens ändamålsfastigheter – hyressättning och förvaltning. Rapporten finns som </w:t>
      </w:r>
      <w:r w:rsidRPr="0049492A">
        <w:rPr>
          <w:i/>
        </w:rPr>
        <w:t>bilaga 1</w:t>
      </w:r>
      <w:r w:rsidRPr="0049492A">
        <w:t xml:space="preserve"> till den här skrivelsen. Rapporten har remissbehandlats. En sammanfattning av remissvaren finns i </w:t>
      </w:r>
      <w:r w:rsidRPr="0049492A">
        <w:rPr>
          <w:i/>
        </w:rPr>
        <w:t>bilaga 2</w:t>
      </w:r>
      <w:r w:rsidRPr="0049492A">
        <w:t>. Revisorerna redovisar i</w:t>
      </w:r>
      <w:r w:rsidRPr="0049492A">
        <w:t>n</w:t>
      </w:r>
      <w:r w:rsidRPr="0049492A">
        <w:t>ledningsvis en sammanfattning av rapporten. Därefter behandlas remissi</w:t>
      </w:r>
      <w:r w:rsidRPr="0049492A">
        <w:t>n</w:t>
      </w:r>
      <w:r w:rsidRPr="0049492A">
        <w:t xml:space="preserve">stansernas synpunkter på rapporten. Avslutningsvis redovisar revisorerna sina slutgiltiga överväganden och förslag med anledning av granskningen. </w:t>
      </w:r>
    </w:p>
    <w:p w:rsidR="008D3479" w:rsidRPr="0049492A" w:rsidRDefault="008D3479">
      <w:pPr>
        <w:pStyle w:val="Rubrik2"/>
      </w:pPr>
      <w:bookmarkStart w:id="2" w:name="_Toc532725154"/>
      <w:r w:rsidRPr="0049492A">
        <w:t>Sammanfattning av rapporten</w:t>
      </w:r>
      <w:bookmarkEnd w:id="2"/>
      <w:r w:rsidRPr="0049492A">
        <w:t xml:space="preserve"> </w:t>
      </w:r>
    </w:p>
    <w:p w:rsidR="008D3479" w:rsidRPr="0049492A" w:rsidRDefault="008D3479">
      <w:pPr>
        <w:pStyle w:val="RubrikUtanNr3"/>
      </w:pPr>
      <w:r w:rsidRPr="0049492A">
        <w:t>Riksdagens riktlinjer för hyressättning och förvaltning</w:t>
      </w:r>
    </w:p>
    <w:p w:rsidR="008D3479" w:rsidRPr="0049492A" w:rsidRDefault="008D3479">
      <w:r w:rsidRPr="0049492A">
        <w:t xml:space="preserve">Riksdagen och regeringen ansåg i början av 1990-talet att det fanns behov av att effektivisera statens förmögenhetsförvaltning och att rationalisera det statliga  lokalutnyttjandet. </w:t>
      </w:r>
    </w:p>
    <w:p w:rsidR="008D3479" w:rsidRPr="0049492A" w:rsidRDefault="008D3479">
      <w:pPr>
        <w:pStyle w:val="Normaltindrag"/>
        <w:sectPr w:rsidR="00000000" w:rsidRPr="0049492A">
          <w:footerReference w:type="default" r:id="rId8"/>
          <w:pgSz w:w="11906" w:h="16838" w:code="9"/>
          <w:pgMar w:top="567" w:right="4876" w:bottom="4508" w:left="1134" w:header="227" w:footer="227" w:gutter="0"/>
          <w:cols w:space="720"/>
        </w:sectPr>
      </w:pPr>
      <w:r w:rsidRPr="0049492A">
        <w:t>För att åstadkomma en effektivare förvaltning av statens fastighetsbestånd beslutade riksdagen 1991 om ett antal nya riktlinjer som skulle gälla för fastighetsförvaltningen. Riktlinjerna angav bl.a. att fastighetsfövaltningen ska skiljas från brukandet av lokaler och mark, att statsbudgeten ska ge en rättvisande bild av mark- och lokalkostnader, att avkastningskravet ska vara</w:t>
      </w:r>
    </w:p>
    <w:p w:rsidR="008D3479" w:rsidRPr="0049492A" w:rsidRDefault="008D3479">
      <w:r w:rsidRPr="0049492A">
        <w:lastRenderedPageBreak/>
        <w:t>marknadsmässigt så långt som möjligt och att fastighetsförvaltningen bör delas upp efter olika fastigheters särart. Dessa riktlinjer gav upphov till en omorganisering av förvaltningen. Den nya organisationsstrukturen gjordes utifrån en bedömning av fastigheternas grad av ändamålsanpassning och användningsområde. Fastigheter som bedömdes vara av särart och inte gen</w:t>
      </w:r>
      <w:r w:rsidRPr="0049492A">
        <w:t>e</w:t>
      </w:r>
      <w:r w:rsidRPr="0049492A">
        <w:t>rellt användbara och utbytbara fördes 1993 över till de nybildade myndigh</w:t>
      </w:r>
      <w:r w:rsidRPr="0049492A">
        <w:t>e</w:t>
      </w:r>
      <w:r w:rsidRPr="0049492A">
        <w:t>terna Statens fastighetsverk och Fortifikationsverket samt till bolagen Ak</w:t>
      </w:r>
      <w:r w:rsidRPr="0049492A">
        <w:t>a</w:t>
      </w:r>
      <w:r w:rsidRPr="0049492A">
        <w:t>demiska Hus AB och Vasakronan Krim AB, som 1997 blev Specialfastigh</w:t>
      </w:r>
      <w:r w:rsidRPr="0049492A">
        <w:t>e</w:t>
      </w:r>
      <w:r w:rsidRPr="0049492A">
        <w:t>ter i Sverige AB. Generellt användbara lokaler som främst var avsedda för konto</w:t>
      </w:r>
      <w:r w:rsidRPr="0049492A">
        <w:t>r</w:t>
      </w:r>
      <w:r w:rsidRPr="0049492A">
        <w:t xml:space="preserve">sändamål fördes över till bolaget Vasakronan AB. </w:t>
      </w:r>
    </w:p>
    <w:p w:rsidR="008D3479" w:rsidRPr="0049492A" w:rsidRDefault="008D3479">
      <w:pPr>
        <w:pStyle w:val="Normaltindrag"/>
      </w:pPr>
      <w:r w:rsidRPr="0049492A">
        <w:t>För att åstadkomma ett mer rationellt lokalutnyttjande gavs myndigheterna ansvar för att sköta sin egen lokalförsörjning inom anslagsramen. Det skulle motivera mynd</w:t>
      </w:r>
      <w:r w:rsidRPr="0049492A">
        <w:t>igheterna att optimera sitt lokalutnyttjande i förhållande till andra r</w:t>
      </w:r>
      <w:r w:rsidRPr="0049492A">
        <w:t>e</w:t>
      </w:r>
      <w:r w:rsidRPr="0049492A">
        <w:t xml:space="preserve">surser. </w:t>
      </w:r>
    </w:p>
    <w:p w:rsidR="008D3479" w:rsidRPr="0049492A" w:rsidRDefault="008D3479">
      <w:pPr>
        <w:pStyle w:val="Normaltindrag"/>
      </w:pPr>
      <w:r w:rsidRPr="0049492A">
        <w:t>Utvärderingar av reformen har riktat kritik mot hur systemet fungerar för ändamålsfastigheter. Otydliga ägardirektiv och spelregeler bidrog till svåri</w:t>
      </w:r>
      <w:r w:rsidRPr="0049492A">
        <w:t>g</w:t>
      </w:r>
      <w:r w:rsidRPr="0049492A">
        <w:t xml:space="preserve">heter i förhandlingar mellan hyresvärdar och hyresgäster. En utredning lade ett förslag på en enhetlig, kostnadsbaserad hyresmodell som skulle gälla för ändamålfastigheter. </w:t>
      </w:r>
    </w:p>
    <w:p w:rsidR="008D3479" w:rsidRPr="0049492A" w:rsidRDefault="008D3479">
      <w:pPr>
        <w:pStyle w:val="Normaltindrag"/>
      </w:pPr>
      <w:r w:rsidRPr="0049492A">
        <w:t>Riksdagen avslog förslaget på en enhetlig hyresmodell. I stället slog rik</w:t>
      </w:r>
      <w:r w:rsidRPr="0049492A">
        <w:t>s</w:t>
      </w:r>
      <w:r w:rsidRPr="0049492A">
        <w:t>dagen fast att hyreskontraktets utformning borde vara föremål för förhan</w:t>
      </w:r>
      <w:r w:rsidRPr="0049492A">
        <w:t>d</w:t>
      </w:r>
      <w:r w:rsidRPr="0049492A">
        <w:t>lingar och ömsesidiga överenskommelser mellan parterna. Självkostnadshyra är den naturliga utgångspunkten när hyresgästen har begränsade alternativ och är beroende av en statlig hyresvärd, enligt riksdagens uppfattning. Med anledning av kritiken som framförts ställde riksdagen 1997 upp ett antal särskilda villkor för de bolag och verk som förvaltar statens ändamålsfasti</w:t>
      </w:r>
      <w:r w:rsidRPr="0049492A">
        <w:t>g</w:t>
      </w:r>
      <w:r w:rsidRPr="0049492A">
        <w:t>heter. Villkoren preciserar hur fastighetsrörelser av ändamålskar</w:t>
      </w:r>
      <w:r w:rsidRPr="0049492A">
        <w:t>aktär ska stödja verksamheten och optimera brukarens nytta av den hyra myndigheten betalar för lokalen. Att ge brukaren maximal nytta förutsätter att denna har god insyn i förvaltningen. Det innebär enligt riksdagen öppen redovisning av hyresdelar avseende drift, underhåll och olika komponenter av kapitalkos</w:t>
      </w:r>
      <w:r w:rsidRPr="0049492A">
        <w:t>t</w:t>
      </w:r>
      <w:r w:rsidRPr="0049492A">
        <w:t>nader. Vidare slog riksdagen fast att verk och bolag som hyr ut ändamålsfa</w:t>
      </w:r>
      <w:r w:rsidRPr="0049492A">
        <w:t>s</w:t>
      </w:r>
      <w:r w:rsidRPr="0049492A">
        <w:t>tigheter ska upprätta förvaltningsplaner tillsammans med hyresgästen. De ska också göra det möjligt att särskilja drift- och un</w:t>
      </w:r>
      <w:r w:rsidRPr="0049492A">
        <w:t>derhållskostnaden i hyre</w:t>
      </w:r>
      <w:r w:rsidRPr="0049492A">
        <w:t>s</w:t>
      </w:r>
      <w:r w:rsidRPr="0049492A">
        <w:t>sättningen. De ska däremot inte ta ut över tiden mer än marknadsmässig ersättning för underhåll, service m.m., och får inte heller dra ned på unde</w:t>
      </w:r>
      <w:r w:rsidRPr="0049492A">
        <w:t>r</w:t>
      </w:r>
      <w:r w:rsidRPr="0049492A">
        <w:t>hållet av fastigheterna så att det hotar fastighetens långsikt</w:t>
      </w:r>
      <w:r w:rsidRPr="0049492A">
        <w:t>i</w:t>
      </w:r>
      <w:r w:rsidRPr="0049492A">
        <w:t xml:space="preserve">ga värde. </w:t>
      </w:r>
    </w:p>
    <w:p w:rsidR="008D3479" w:rsidRPr="0049492A" w:rsidRDefault="008D3479">
      <w:pPr>
        <w:pStyle w:val="RubrikUtanNr3"/>
      </w:pPr>
      <w:r w:rsidRPr="0049492A">
        <w:t>Regeringens styrning av fastighetsförvaltarna</w:t>
      </w:r>
    </w:p>
    <w:p w:rsidR="008D3479" w:rsidRPr="0049492A" w:rsidRDefault="008D3479">
      <w:r w:rsidRPr="0049492A">
        <w:t>I rapporten framgår det att regeringens styrning av fastighetsförvaltarna inte är helt i linje med riksdagens riktlinjer för bolag och verk som förvaltar ändamålsfasti</w:t>
      </w:r>
      <w:r w:rsidRPr="0049492A">
        <w:t>g</w:t>
      </w:r>
      <w:r w:rsidRPr="0049492A">
        <w:t xml:space="preserve">heter. </w:t>
      </w:r>
    </w:p>
    <w:p w:rsidR="008D3479" w:rsidRPr="0049492A" w:rsidRDefault="008D3479">
      <w:pPr>
        <w:pStyle w:val="Normaltindrag"/>
      </w:pPr>
      <w:r w:rsidRPr="0049492A">
        <w:t>Riksdagens uttalande om att självkostnadshyra är en naturlig utgångspunkt när hyresgästen har begränsade alternativ återges inte i regeringens styrd</w:t>
      </w:r>
      <w:r w:rsidRPr="0049492A">
        <w:t>o</w:t>
      </w:r>
      <w:r w:rsidRPr="0049492A">
        <w:t>kument. Regeringen har inte heller gett fastighetsförvaltarna direktiv om att parterna bör förhandla om hyreskontraktets utformning. Riksdagens uppfat</w:t>
      </w:r>
      <w:r w:rsidRPr="0049492A">
        <w:t>t</w:t>
      </w:r>
      <w:r w:rsidRPr="0049492A">
        <w:t>ning att hyresgästerna ska ha god insyn i förvaltningen har inte framförts av regeringen, och än mindre är det preciserat att det innebär öppen redovisning av förvaltningskostnader. Att förvaltningsplaner ska upprättas gemensamt av parterna har inte heller fått geno</w:t>
      </w:r>
      <w:r w:rsidRPr="0049492A">
        <w:t>m</w:t>
      </w:r>
      <w:r w:rsidRPr="0049492A">
        <w:t>slag i regeringens styrning.</w:t>
      </w:r>
    </w:p>
    <w:p w:rsidR="008D3479" w:rsidRPr="0049492A" w:rsidRDefault="008D3479">
      <w:pPr>
        <w:pStyle w:val="RubrikUtanNr3"/>
      </w:pPr>
      <w:r w:rsidRPr="0049492A">
        <w:t>Tillämpning av riksdagens riktlinjer för hyressättning och förva</w:t>
      </w:r>
      <w:r w:rsidRPr="0049492A">
        <w:t>ltning</w:t>
      </w:r>
    </w:p>
    <w:p w:rsidR="008D3479" w:rsidRPr="0049492A" w:rsidRDefault="008D3479">
      <w:r w:rsidRPr="0049492A">
        <w:t>Revisorerna konstaterar att riksdagens riktlinjer för bolag och verk som hyr ut ändamålsfastigheter efterlevs i varierande grad. Akademiska Hus AB sätter marknadshyror för i stort sett samtliga av sina fastigheter medan Sp</w:t>
      </w:r>
      <w:r w:rsidRPr="0049492A">
        <w:t>e</w:t>
      </w:r>
      <w:r w:rsidRPr="0049492A">
        <w:t>cialfastigheter Sverige AB använder sig av en kostnadsbaserad hyresmodell för samtliga sina fastigheter. Statens fastighetsverk sätter marknadshyror för sina fastigheter medan Fortifikationsverket tillämpar en kostnadsbaserad hyressättning. Förutsättningarna för en enskild hyresgäst, eller karaktären hos en enskild fastighet, har ingen betydelse för förvaltarnas val mellan marknads- eller kostnadsbaserad hyra. I vilken grad hyresgästens alternativ är begränsade, och i vilken utsträckning hyresgästen är ber</w:t>
      </w:r>
      <w:r w:rsidRPr="0049492A">
        <w:t>oende av en statlig hyresvärd, påverkar inte alltid fastighetsförvaltarens val av hyresmodell. I vissa fall är hyresgästerna oeniga med fastighetsförvaltarna om marknads- eller kostnadsbaserad hyra ska gälla. Förvaltarna förhandlar dock inte med hyresgästerna om vilken hyresmodell som ska tillämpas, och de hyresgäster som revisorerna intervjuat hävdar att de inte kan påverka beslutet. Hyre</w:t>
      </w:r>
      <w:r w:rsidRPr="0049492A">
        <w:t>s</w:t>
      </w:r>
      <w:r w:rsidRPr="0049492A">
        <w:t>kontraktets utformning har således inte varit föremål för förhandlingar och ömsesidiga överenskommelser mellan parterna</w:t>
      </w:r>
      <w:r w:rsidRPr="0049492A">
        <w:t xml:space="preserve">. </w:t>
      </w:r>
    </w:p>
    <w:p w:rsidR="008D3479" w:rsidRPr="0049492A" w:rsidRDefault="008D3479">
      <w:pPr>
        <w:pStyle w:val="Normaltindrag"/>
      </w:pPr>
      <w:r w:rsidRPr="0049492A">
        <w:t>I vilken mån fastighetsförvaltarna tillåter god insyn i förvaltningen varierar också. De förvaltare som tillämpar marknadshyror redovisar inte förval</w:t>
      </w:r>
      <w:r w:rsidRPr="0049492A">
        <w:t>t</w:t>
      </w:r>
      <w:r w:rsidRPr="0049492A">
        <w:t>nings- eller kapitalkostnader, men anser ändå att de har en öppen dialog med hyresgästerna. Förvaltarnas argument mot redovisning av kostnadskomp</w:t>
      </w:r>
      <w:r w:rsidRPr="0049492A">
        <w:t>o</w:t>
      </w:r>
      <w:r w:rsidRPr="0049492A">
        <w:t>nenter är att kostnaderna inte är relevanta eftersom de inte utgör underlag för hyran. Dessutom skulle det försvåra hyresförhandlingarna. Fastighetsförva</w:t>
      </w:r>
      <w:r w:rsidRPr="0049492A">
        <w:t>l</w:t>
      </w:r>
      <w:r w:rsidRPr="0049492A">
        <w:t>tare som tillämpar kostnadshyror har en mer öppen redovisning av kostn</w:t>
      </w:r>
      <w:r w:rsidRPr="0049492A">
        <w:t>a</w:t>
      </w:r>
      <w:r w:rsidRPr="0049492A">
        <w:t>derna, även om redovisningen i Fortifikationsverkets fall inte är enligt hyre</w:t>
      </w:r>
      <w:r w:rsidRPr="0049492A">
        <w:t>s</w:t>
      </w:r>
      <w:r w:rsidRPr="0049492A">
        <w:t>gästens önskemål. Många av de hyresgäster som revisorerna inte</w:t>
      </w:r>
      <w:r w:rsidRPr="0049492A">
        <w:t>rvjuat krit</w:t>
      </w:r>
      <w:r w:rsidRPr="0049492A">
        <w:t>i</w:t>
      </w:r>
      <w:r w:rsidRPr="0049492A">
        <w:t>serar bristande insyn i förvaltningen och oklara förutsättningar för hyressät</w:t>
      </w:r>
      <w:r w:rsidRPr="0049492A">
        <w:t>t</w:t>
      </w:r>
      <w:r w:rsidRPr="0049492A">
        <w:t xml:space="preserve">ningen. </w:t>
      </w:r>
    </w:p>
    <w:p w:rsidR="008D3479" w:rsidRPr="0049492A" w:rsidRDefault="008D3479">
      <w:pPr>
        <w:pStyle w:val="Normaltindrag"/>
      </w:pPr>
      <w:r w:rsidRPr="0049492A">
        <w:t>Förvaltningsplanen fungerar som grund för hur underhållet av en fastighet planeras och läggs upp. Revisorerna konstaterar i rapporten att hyresgäste</w:t>
      </w:r>
      <w:r w:rsidRPr="0049492A">
        <w:t>r</w:t>
      </w:r>
      <w:r w:rsidRPr="0049492A">
        <w:t>nas medverkan varierar. De hyresgäster som revisorerna intervjuat anser inte alltid att underhållsplanerna fyller sin funktion. De flesta är dock nöjda med hur fö</w:t>
      </w:r>
      <w:r w:rsidRPr="0049492A">
        <w:t>r</w:t>
      </w:r>
      <w:r w:rsidRPr="0049492A">
        <w:t xml:space="preserve">valtningen bedrivs.  </w:t>
      </w:r>
    </w:p>
    <w:p w:rsidR="008D3479" w:rsidRPr="0049492A" w:rsidRDefault="008D3479">
      <w:pPr>
        <w:pStyle w:val="RubrikUtanNr3"/>
      </w:pPr>
      <w:r w:rsidRPr="0049492A">
        <w:t>Kompensations- och anslagssystemen</w:t>
      </w:r>
    </w:p>
    <w:p w:rsidR="008D3479" w:rsidRPr="0049492A" w:rsidRDefault="008D3479">
      <w:r w:rsidRPr="0049492A">
        <w:t>Revisorerna konstaterar att anslagssystemet inte kompenserar myndigheter i ändamålsfastigheter för utvecklingen av marknadshyror utan endast för u</w:t>
      </w:r>
      <w:r w:rsidRPr="0049492A">
        <w:t>t</w:t>
      </w:r>
      <w:r w:rsidRPr="0049492A">
        <w:t>vecklingen av konsumentprisindex. Många av myndigheterna som endast kompenseras enligt KPI-index har dock marknadsanpassade hyror. Det inn</w:t>
      </w:r>
      <w:r w:rsidRPr="0049492A">
        <w:t>e</w:t>
      </w:r>
      <w:r w:rsidRPr="0049492A">
        <w:t xml:space="preserve">bär att systemet inte fungerar som avsett. Regeringen har uppmärksammat bristen och avser att åtgärda den. </w:t>
      </w:r>
    </w:p>
    <w:p w:rsidR="008D3479" w:rsidRPr="0049492A" w:rsidRDefault="008D3479">
      <w:pPr>
        <w:pStyle w:val="Normaltindrag"/>
      </w:pPr>
      <w:r w:rsidRPr="0049492A">
        <w:t>Revisorerna konstaterar vidare att myndigheter kan minska sina lokalkos</w:t>
      </w:r>
      <w:r w:rsidRPr="0049492A">
        <w:t>t</w:t>
      </w:r>
      <w:r w:rsidRPr="0049492A">
        <w:t xml:space="preserve">nader utan att anslaget för nästa år minskar. Om de sänkta lokalkostnaderna leder till ett för stort anslagssparande krävs att regeringen godkänner det för att myndigheten ska kunna behålla de frigjorda resurserna. </w:t>
      </w:r>
    </w:p>
    <w:p w:rsidR="008D3479" w:rsidRPr="0049492A" w:rsidRDefault="008D3479">
      <w:pPr>
        <w:pStyle w:val="RubrikUtanNr3"/>
      </w:pPr>
      <w:r w:rsidRPr="0049492A">
        <w:t xml:space="preserve">Regeringens översyn </w:t>
      </w:r>
    </w:p>
    <w:p w:rsidR="008D3479" w:rsidRPr="0049492A" w:rsidRDefault="008D3479">
      <w:r w:rsidRPr="0049492A">
        <w:t>Regeringen gjorde under våren 2001 en översyn av hyressättning av änd</w:t>
      </w:r>
      <w:r w:rsidRPr="0049492A">
        <w:t>a</w:t>
      </w:r>
      <w:r w:rsidRPr="0049492A">
        <w:t>målsfastigheter. Revisorerna summerar översynens resultat i slutet av rap</w:t>
      </w:r>
      <w:r w:rsidRPr="0049492A">
        <w:t>p</w:t>
      </w:r>
      <w:r w:rsidRPr="0049492A">
        <w:t xml:space="preserve">orten. Översynen ledde till ett regeringsförslag om kostnadsbaserad hyra för fem kulturinstitutioners huvudbyggnader. Regeringen motiverar förslaget med att dessa fastigheter i hög grad är utformade för sina ändamål, att de är symboler för kulturinstitutionernas verksamhet och att de utgör delar av stadsbilden. Riksdagen har inte invänt mot regeringens förslag. </w:t>
      </w:r>
    </w:p>
    <w:p w:rsidR="008D3479" w:rsidRPr="0049492A" w:rsidRDefault="008D3479">
      <w:pPr>
        <w:pStyle w:val="Rubrik1"/>
      </w:pPr>
      <w:bookmarkStart w:id="3" w:name="_Toc532725155"/>
      <w:r w:rsidRPr="0049492A">
        <w:t>Revisorernas överväganden</w:t>
      </w:r>
      <w:bookmarkEnd w:id="3"/>
    </w:p>
    <w:p w:rsidR="008D3479" w:rsidRPr="0049492A" w:rsidRDefault="008D3479">
      <w:pPr>
        <w:pStyle w:val="Rubrik2"/>
      </w:pPr>
      <w:bookmarkStart w:id="4" w:name="_Toc532725156"/>
      <w:r w:rsidRPr="0049492A">
        <w:t>Självkostnad när hyresgästen har begränsade alternativ</w:t>
      </w:r>
      <w:bookmarkEnd w:id="4"/>
    </w:p>
    <w:p w:rsidR="008D3479" w:rsidRPr="0049492A" w:rsidRDefault="008D3479">
      <w:pPr>
        <w:pStyle w:val="RubrikUtanNr3"/>
      </w:pPr>
      <w:r w:rsidRPr="0049492A">
        <w:t xml:space="preserve">Rapporten </w:t>
      </w:r>
    </w:p>
    <w:p w:rsidR="008D3479" w:rsidRPr="0049492A" w:rsidRDefault="008D3479">
      <w:r w:rsidRPr="0049492A">
        <w:t>Regeringen har inte vidarebefordrat riksdagens uttalande om att självkos</w:t>
      </w:r>
      <w:r w:rsidRPr="0049492A">
        <w:t>t</w:t>
      </w:r>
      <w:r w:rsidRPr="0049492A">
        <w:t>nadshyra är den naturliga utgångspunkten när hyresgästen har begränsade alternativ och är beroende av en statlig hyresvärd. Regeringen har inte heller klargjort att hyreskontraktets utformning enligt riksdagen ska vara föremål för förhan</w:t>
      </w:r>
      <w:r w:rsidRPr="0049492A">
        <w:t>d</w:t>
      </w:r>
      <w:r w:rsidRPr="0049492A">
        <w:t xml:space="preserve">lingar mellan parterna. </w:t>
      </w:r>
    </w:p>
    <w:p w:rsidR="008D3479" w:rsidRPr="0049492A" w:rsidRDefault="008D3479">
      <w:pPr>
        <w:pStyle w:val="Normaltindrag"/>
      </w:pPr>
      <w:r w:rsidRPr="0049492A">
        <w:t>Revisorerna anser att regeringen bör vidarebefordra riksdagens ställning</w:t>
      </w:r>
      <w:r w:rsidRPr="0049492A">
        <w:t>s</w:t>
      </w:r>
      <w:r w:rsidRPr="0049492A">
        <w:t xml:space="preserve">taganden angående självkostnadshyra och förhandlingar om hyreskontraktets utformning. </w:t>
      </w:r>
    </w:p>
    <w:p w:rsidR="008D3479" w:rsidRPr="0049492A" w:rsidRDefault="008D3479">
      <w:pPr>
        <w:pStyle w:val="RubrikUtanNr3"/>
      </w:pPr>
      <w:r w:rsidRPr="0049492A">
        <w:t>Remissinstanserna</w:t>
      </w:r>
    </w:p>
    <w:p w:rsidR="008D3479" w:rsidRPr="0049492A" w:rsidRDefault="008D3479">
      <w:pPr>
        <w:rPr>
          <w:i/>
        </w:rPr>
      </w:pPr>
      <w:r w:rsidRPr="0049492A">
        <w:rPr>
          <w:i/>
        </w:rPr>
        <w:t xml:space="preserve">Statskontoret </w:t>
      </w:r>
      <w:r w:rsidRPr="0049492A">
        <w:t>konstaterar att förslaget avser påpekanden angående tidigare ställningstagande från riksdagen som regeringen bör vidarebefordra till b</w:t>
      </w:r>
      <w:r w:rsidRPr="0049492A">
        <w:t>e</w:t>
      </w:r>
      <w:r w:rsidRPr="0049492A">
        <w:t xml:space="preserve">rörda myndigheter. Statskontoret instämmer i påpekandet. </w:t>
      </w:r>
    </w:p>
    <w:p w:rsidR="008D3479" w:rsidRPr="0049492A" w:rsidRDefault="008D3479">
      <w:pPr>
        <w:pStyle w:val="Normaltindrag"/>
      </w:pPr>
      <w:r w:rsidRPr="0049492A">
        <w:rPr>
          <w:i/>
        </w:rPr>
        <w:t>Statens fastighetsverk</w:t>
      </w:r>
      <w:r w:rsidRPr="0049492A">
        <w:t xml:space="preserve"> anser att det är viktigt att riksdag och regering som uppdragsgivare till såväl Statens fastighetsverk som hyresgäster fastlägger de spelregler för hyressättning som erfordras för att undvika konflikter och andra långsiktigt negativa konsekvenser. Fastighetsverket är dock negativt till kostnadshyra, enligt ett tidigare yttrande som verket bifogat till sitt r</w:t>
      </w:r>
      <w:r w:rsidRPr="0049492A">
        <w:t>e</w:t>
      </w:r>
      <w:r w:rsidRPr="0049492A">
        <w:t xml:space="preserve">missvar. </w:t>
      </w:r>
    </w:p>
    <w:p w:rsidR="008D3479" w:rsidRPr="0049492A" w:rsidRDefault="008D3479">
      <w:pPr>
        <w:pStyle w:val="Normaltindrag"/>
      </w:pPr>
      <w:r w:rsidRPr="0049492A">
        <w:rPr>
          <w:i/>
        </w:rPr>
        <w:t>Fortifikationsverket</w:t>
      </w:r>
      <w:r w:rsidRPr="0049492A">
        <w:t xml:space="preserve"> anser att direktiv inte behövs på någon av punkterna. Verket menar att man måste förutsätta att myndigheter och bolag både läser och rättar sig efter riksdagsbeslut. Fortifikationsverket påpekar att regeringen inte endast styr genom direktiv utan, som i Fortifikationsverkets fall, även genom att kontinuerligt föra en dialog med verket om bl.a. förvaltning och hyressättning. Verket anser sig veta vad som gäller och har en självkostnad</w:t>
      </w:r>
      <w:r w:rsidRPr="0049492A">
        <w:t>s</w:t>
      </w:r>
      <w:r w:rsidRPr="0049492A">
        <w:t>baserad hyressättning. Fortifikationsverket anser att det är en självklar</w:t>
      </w:r>
      <w:r w:rsidRPr="0049492A">
        <w:t>het att hyresmodellens utformning ska vara föremål för partsförhandlingar. Rege</w:t>
      </w:r>
      <w:r w:rsidRPr="0049492A">
        <w:t>r</w:t>
      </w:r>
      <w:r w:rsidRPr="0049492A">
        <w:t xml:space="preserve">ingen behöver inte klargöra detta ytterligare, enligt verket. </w:t>
      </w:r>
    </w:p>
    <w:p w:rsidR="008D3479" w:rsidRPr="0049492A" w:rsidRDefault="008D3479">
      <w:pPr>
        <w:pStyle w:val="Normaltindrag"/>
      </w:pPr>
      <w:r w:rsidRPr="0049492A">
        <w:rPr>
          <w:i/>
        </w:rPr>
        <w:t>Akademiska Hus AB</w:t>
      </w:r>
      <w:r w:rsidRPr="0049492A">
        <w:t xml:space="preserve"> menar att systemet med valfrihet för hyresgäster och konkurrens mellan hyresvärdar sätts ur spel av särskilda regler för olika aktörer. Bolaget anser att marknadsmässiga villkor måste gälla för högsk</w:t>
      </w:r>
      <w:r w:rsidRPr="0049492A">
        <w:t>o</w:t>
      </w:r>
      <w:r w:rsidRPr="0049492A">
        <w:t>lelokaler. Skillnaderna mellan olika typer av fastigheter är betydande, vilket kanske kan motivera områdesanpassade riktlinjer, enligt Akademi</w:t>
      </w:r>
      <w:r w:rsidRPr="0049492A">
        <w:t>s</w:t>
      </w:r>
      <w:r w:rsidRPr="0049492A">
        <w:t xml:space="preserve">ka Hus. </w:t>
      </w:r>
    </w:p>
    <w:p w:rsidR="008D3479" w:rsidRPr="0049492A" w:rsidRDefault="008D3479">
      <w:pPr>
        <w:pStyle w:val="Normaltindrag"/>
      </w:pPr>
      <w:r w:rsidRPr="0049492A">
        <w:rPr>
          <w:i/>
        </w:rPr>
        <w:t>Naturhistoriska riksmuseet</w:t>
      </w:r>
      <w:r w:rsidRPr="0049492A">
        <w:t xml:space="preserve"> instämmer i förslaget men anser till skillnad från revisorerna att hyresmodellens utformning bör vara reglerad för parte</w:t>
      </w:r>
      <w:r w:rsidRPr="0049492A">
        <w:t>r</w:t>
      </w:r>
      <w:r w:rsidRPr="0049492A">
        <w:t xml:space="preserve">na. </w:t>
      </w:r>
    </w:p>
    <w:p w:rsidR="008D3479" w:rsidRPr="0049492A" w:rsidRDefault="008D3479">
      <w:pPr>
        <w:pStyle w:val="Normaltindrag"/>
      </w:pPr>
      <w:r w:rsidRPr="0049492A">
        <w:rPr>
          <w:i/>
        </w:rPr>
        <w:t>Statens sjöhistoriska museer</w:t>
      </w:r>
      <w:r w:rsidRPr="0049492A">
        <w:t xml:space="preserve"> anser att en marknadsliknande modell enligt Statens fastighetsverks metod är att föredra eftersom den ökar myndighete</w:t>
      </w:r>
      <w:r w:rsidRPr="0049492A">
        <w:t>r</w:t>
      </w:r>
      <w:r w:rsidRPr="0049492A">
        <w:t>nas valfrihet på marknaden, förbättrar möjligheterna att hitta externt konsul</w:t>
      </w:r>
      <w:r w:rsidRPr="0049492A">
        <w:t>t</w:t>
      </w:r>
      <w:r w:rsidRPr="0049492A">
        <w:t xml:space="preserve">stöd i hyresförhandlingar, möjliggör en enhetlig beräkning av anslagsbehov samt förenklar hanteringen för fastighetsförvaltarna. </w:t>
      </w:r>
    </w:p>
    <w:p w:rsidR="008D3479" w:rsidRPr="0049492A" w:rsidRDefault="008D3479">
      <w:pPr>
        <w:pStyle w:val="Normaltindrag"/>
      </w:pPr>
      <w:r w:rsidRPr="0049492A">
        <w:rPr>
          <w:i/>
        </w:rPr>
        <w:t>Södertörns högskola</w:t>
      </w:r>
      <w:r w:rsidRPr="0049492A">
        <w:t xml:space="preserve"> har ingen invändning mot revisorernas förslag, men anser att regeringen bör fastställa tydligare principer för när en fastighet ska betraktas som en änd</w:t>
      </w:r>
      <w:r w:rsidRPr="0049492A">
        <w:t>a</w:t>
      </w:r>
      <w:r w:rsidRPr="0049492A">
        <w:t>målsfastighet och inte.</w:t>
      </w:r>
    </w:p>
    <w:p w:rsidR="008D3479" w:rsidRPr="0049492A" w:rsidRDefault="008D3479">
      <w:pPr>
        <w:pStyle w:val="Normaltindrag"/>
      </w:pPr>
      <w:r w:rsidRPr="0049492A">
        <w:rPr>
          <w:i/>
        </w:rPr>
        <w:t>Lunds universitet, Kungliga Tekniska Högskolan</w:t>
      </w:r>
      <w:r w:rsidRPr="0049492A">
        <w:t xml:space="preserve"> och </w:t>
      </w:r>
      <w:r w:rsidRPr="0049492A">
        <w:rPr>
          <w:i/>
        </w:rPr>
        <w:t>Chalmers tekniska högskola AB</w:t>
      </w:r>
      <w:r w:rsidRPr="0049492A">
        <w:t xml:space="preserve"> stöder förslaget och anser att  fastigheter inom ett campusomr</w:t>
      </w:r>
      <w:r w:rsidRPr="0049492A">
        <w:t>å</w:t>
      </w:r>
      <w:r w:rsidRPr="0049492A">
        <w:t xml:space="preserve">de bör betraktas som ändamålsfastigheter. </w:t>
      </w:r>
    </w:p>
    <w:p w:rsidR="008D3479" w:rsidRPr="0049492A" w:rsidRDefault="008D3479">
      <w:pPr>
        <w:pStyle w:val="RubrikUtanNr3"/>
      </w:pPr>
      <w:r w:rsidRPr="0049492A">
        <w:t>Revisorerna</w:t>
      </w:r>
    </w:p>
    <w:p w:rsidR="008D3479" w:rsidRPr="0049492A" w:rsidRDefault="008D3479">
      <w:r w:rsidRPr="0049492A">
        <w:t xml:space="preserve">Remissinstanserna har delade meningar om revisorernas förslag. Revisorerna anser att granskningen gjort det uppenbart att myndigheter och bolag inte automatiskt följer riksdagens beslut. När regeringen inte gjort riksdagens uppfattning tydlig i direktiv till myndigheter och bolag, och när dessa inte heller följer riksdagens beslut på ett tillfredsställande sätt, anser revisorerna att det är väl motiverat att ge regeringen i uppdrag att förbättra sin styrning. </w:t>
      </w:r>
    </w:p>
    <w:p w:rsidR="008D3479" w:rsidRPr="0049492A" w:rsidRDefault="008D3479">
      <w:pPr>
        <w:pStyle w:val="Normaltindrag"/>
      </w:pPr>
      <w:r w:rsidRPr="0049492A">
        <w:t>Några av instanserna efterlyser en tydligare definition av ändamålsfasti</w:t>
      </w:r>
      <w:r w:rsidRPr="0049492A">
        <w:t>g</w:t>
      </w:r>
      <w:r w:rsidRPr="0049492A">
        <w:t xml:space="preserve">heter. Den bör exempelvis klargöra om fastighetens lokalisering inom ett campusområde ska innebära att den klassificeras som ändamålsfastighet. Revisorerna anser inte att det är meningsfullt att försöka definiera begreppet så att alla fastigheter entydigt kan klassificeras som det ena eller det andra. </w:t>
      </w:r>
    </w:p>
    <w:p w:rsidR="008D3479" w:rsidRPr="0049492A" w:rsidRDefault="008D3479">
      <w:pPr>
        <w:pStyle w:val="Normaltindrag"/>
      </w:pPr>
      <w:r w:rsidRPr="0049492A">
        <w:t>Det som är relevant i förlängningen av revisorernas förslag är om hyre</w:t>
      </w:r>
      <w:r w:rsidRPr="0049492A">
        <w:t>s</w:t>
      </w:r>
      <w:r w:rsidRPr="0049492A">
        <w:t>gästen har begränsade alternativ och är beroende av en statlig hyresvärd. Det är revisorernas uppfattning att man bör ha en restriktiv hållning till när detta ska anses gälla för hyresgästerna. Att hyresgästen väljer en lokalisering eller fastighet som gynnar verksamheten innebär inte i sig att alternativen är b</w:t>
      </w:r>
      <w:r w:rsidRPr="0049492A">
        <w:t>e</w:t>
      </w:r>
      <w:r w:rsidRPr="0049492A">
        <w:t>gränsade. Tanken bakom systemet med ramanslag är att myndigheterna ska göra rationella avvägningar mellan kostnad och nytta för verksamheten. Det är därför rimligt att hyresgästen betalar mer för e</w:t>
      </w:r>
      <w:r w:rsidRPr="0049492A">
        <w:t>tt attraktivt läge. En mer generös hållning till när alternativen ska anses begränsade skulle enligt rev</w:t>
      </w:r>
      <w:r w:rsidRPr="0049492A">
        <w:t>i</w:t>
      </w:r>
      <w:r w:rsidRPr="0049492A">
        <w:t>sorernas uppfattning leda till att konkurrensen på fastighetsmarknaden b</w:t>
      </w:r>
      <w:r w:rsidRPr="0049492A">
        <w:t>e</w:t>
      </w:r>
      <w:r w:rsidRPr="0049492A">
        <w:t>gränsas och att tanken bakom fastighetsreformen urholkas. Om kostnadsb</w:t>
      </w:r>
      <w:r w:rsidRPr="0049492A">
        <w:t>a</w:t>
      </w:r>
      <w:r w:rsidRPr="0049492A">
        <w:t xml:space="preserve">serad hyra tillämpas när alternativ faktiskt finns för myndigheten begränsas alternativen på marknaden eftersom anslagen anpassas till kostnadshyra. </w:t>
      </w:r>
    </w:p>
    <w:p w:rsidR="008D3479" w:rsidRPr="0049492A" w:rsidRDefault="008D3479">
      <w:pPr>
        <w:pStyle w:val="Normaltindrag"/>
      </w:pPr>
      <w:r w:rsidRPr="0049492A">
        <w:t>Myndigheterna har dock rätt att förhandla om hyreskontraktets utformning och är i vissa fall berättigade till kos</w:t>
      </w:r>
      <w:r w:rsidRPr="0049492A">
        <w:t>tnadsbaserad hyra, enligt riksdagens beslut. Revisorerna anser att regeringen bör vidarebefordra riksdagens up</w:t>
      </w:r>
      <w:r w:rsidRPr="0049492A">
        <w:t>p</w:t>
      </w:r>
      <w:r w:rsidRPr="0049492A">
        <w:t>fattning om självkostnad som utgångspunkt för hyressättningen när hyre</w:t>
      </w:r>
      <w:r w:rsidRPr="0049492A">
        <w:t>s</w:t>
      </w:r>
      <w:r w:rsidRPr="0049492A">
        <w:t>gästen har begränsade alternativ och är beroende av en statlig hyresvärd. Regeringen bör även klargöra att hyreskontraktets utformning ska vara för</w:t>
      </w:r>
      <w:r w:rsidRPr="0049492A">
        <w:t>e</w:t>
      </w:r>
      <w:r w:rsidRPr="0049492A">
        <w:t>mål för förhandlingar och ömsesidiga överensko</w:t>
      </w:r>
      <w:r w:rsidRPr="0049492A">
        <w:t>m</w:t>
      </w:r>
      <w:r w:rsidRPr="0049492A">
        <w:t>melser mellan parterna.</w:t>
      </w:r>
    </w:p>
    <w:p w:rsidR="008D3479" w:rsidRPr="0049492A" w:rsidRDefault="008D3479">
      <w:pPr>
        <w:pStyle w:val="Normaltindrag"/>
      </w:pPr>
    </w:p>
    <w:p w:rsidR="008D3479" w:rsidRPr="0049492A" w:rsidRDefault="008D3479">
      <w:pPr>
        <w:pStyle w:val="Rubrik2"/>
        <w:ind w:left="340" w:hanging="340"/>
      </w:pPr>
      <w:bookmarkStart w:id="5" w:name="_Toc532725157"/>
      <w:r w:rsidRPr="0049492A">
        <w:t>God insyn i förvaltningen och redovisning av förvaltningskostnader</w:t>
      </w:r>
      <w:bookmarkEnd w:id="5"/>
    </w:p>
    <w:p w:rsidR="008D3479" w:rsidRPr="0049492A" w:rsidRDefault="008D3479">
      <w:pPr>
        <w:pStyle w:val="RubrikUtanNr3"/>
      </w:pPr>
      <w:r w:rsidRPr="0049492A">
        <w:t>Rapporten</w:t>
      </w:r>
    </w:p>
    <w:p w:rsidR="008D3479" w:rsidRPr="0049492A" w:rsidRDefault="008D3479">
      <w:r w:rsidRPr="0049492A">
        <w:t>Riksdagen har framhållit att god insyn i förvaltningen ska råda och att det förutsätter öppen redovisning av hyresdelar avseende drift, underhåll och olika kapitalkostnader. Riksdagen har inte begränsat kravet till att endast gälla när hyrorna är kostnadsbaserade. Enligt revisorernas bedömning gör insyn i förvaltningen det möjligt att jämföra olika fastighetsförvaltare och det ökar pressen på kostnadseffektivitet. Detta stärker förtroendet för systemet bland hyresgästerna. Insyn i förvaltningen är en förut</w:t>
      </w:r>
      <w:r w:rsidRPr="0049492A">
        <w:t>sättning för en förtroe</w:t>
      </w:r>
      <w:r w:rsidRPr="0049492A">
        <w:t>n</w:t>
      </w:r>
      <w:r w:rsidRPr="0049492A">
        <w:t xml:space="preserve">defull relation mellan parterna. </w:t>
      </w:r>
    </w:p>
    <w:p w:rsidR="008D3479" w:rsidRPr="0049492A" w:rsidRDefault="008D3479">
      <w:pPr>
        <w:pStyle w:val="Normaltindrag"/>
      </w:pPr>
      <w:r w:rsidRPr="0049492A">
        <w:t>Regeringen har inte vidarebefordrat riksdagens uppfattning att kostnader för drift, underhåll och kapital öppet bör redovisas för hyresgästerna. Revis</w:t>
      </w:r>
      <w:r w:rsidRPr="0049492A">
        <w:t>o</w:t>
      </w:r>
      <w:r w:rsidRPr="0049492A">
        <w:t>rerna anser att regeringen bör göra det och samtidigt tydliggöra att kravet på öppenhet är oberoende av om marknads- eller kostnadshyra tillä</w:t>
      </w:r>
      <w:r w:rsidRPr="0049492A">
        <w:t>m</w:t>
      </w:r>
      <w:r w:rsidRPr="0049492A">
        <w:t xml:space="preserve">pas. </w:t>
      </w:r>
    </w:p>
    <w:p w:rsidR="008D3479" w:rsidRPr="0049492A" w:rsidRDefault="008D3479">
      <w:pPr>
        <w:pStyle w:val="RubrikUtanNr3"/>
      </w:pPr>
      <w:r w:rsidRPr="0049492A">
        <w:t>Remissinstanserna</w:t>
      </w:r>
    </w:p>
    <w:p w:rsidR="008D3479" w:rsidRPr="0049492A" w:rsidRDefault="008D3479">
      <w:r w:rsidRPr="0049492A">
        <w:rPr>
          <w:i/>
        </w:rPr>
        <w:t>Statskontoret</w:t>
      </w:r>
      <w:r w:rsidRPr="0049492A">
        <w:t>s konstaterande angående det första förslaget gäller även här.  Statskontoret instämmer i revisorernas påpekande att regeringen bör vidar</w:t>
      </w:r>
      <w:r w:rsidRPr="0049492A">
        <w:t>e</w:t>
      </w:r>
      <w:r w:rsidRPr="0049492A">
        <w:t xml:space="preserve">befordra riksdagsbeslut. </w:t>
      </w:r>
    </w:p>
    <w:p w:rsidR="008D3479" w:rsidRPr="0049492A" w:rsidRDefault="008D3479">
      <w:pPr>
        <w:pStyle w:val="Normaltindrag"/>
      </w:pPr>
      <w:r w:rsidRPr="0049492A">
        <w:rPr>
          <w:i/>
        </w:rPr>
        <w:t>Statens fastighetsverk</w:t>
      </w:r>
      <w:r w:rsidRPr="0049492A">
        <w:t xml:space="preserve"> hänvisar till ett tidigare yttrande om att hyresgästen inte rimligen kan ha någon kunskap och erfarenhet av vad en realistisk lån</w:t>
      </w:r>
      <w:r w:rsidRPr="0049492A">
        <w:t>g</w:t>
      </w:r>
      <w:r w:rsidRPr="0049492A">
        <w:t xml:space="preserve">siktig drift- och underhållskostnad är. </w:t>
      </w:r>
    </w:p>
    <w:p w:rsidR="008D3479" w:rsidRPr="0049492A" w:rsidRDefault="008D3479">
      <w:pPr>
        <w:pStyle w:val="Normaltindrag"/>
      </w:pPr>
      <w:r w:rsidRPr="0049492A">
        <w:rPr>
          <w:i/>
        </w:rPr>
        <w:t xml:space="preserve">Fortifikationsverket </w:t>
      </w:r>
      <w:r w:rsidRPr="0049492A">
        <w:t>anser att direktiv från regeringen inte behövs och hä</w:t>
      </w:r>
      <w:r w:rsidRPr="0049492A">
        <w:t>v</w:t>
      </w:r>
      <w:r w:rsidRPr="0049492A">
        <w:t xml:space="preserve">dar att de redan redovisar förvaltningskostnaderna öppet. </w:t>
      </w:r>
    </w:p>
    <w:p w:rsidR="008D3479" w:rsidRPr="0049492A" w:rsidRDefault="008D3479">
      <w:pPr>
        <w:pStyle w:val="RubrikUtanNr3"/>
      </w:pPr>
      <w:r w:rsidRPr="0049492A">
        <w:t>Revisorerna</w:t>
      </w:r>
    </w:p>
    <w:p w:rsidR="008D3479" w:rsidRPr="0049492A" w:rsidRDefault="008D3479">
      <w:r w:rsidRPr="0049492A">
        <w:t>Remissinstanserna framför inga argument som förändrar revisorernas slutsa</w:t>
      </w:r>
      <w:r w:rsidRPr="0049492A">
        <w:t>t</w:t>
      </w:r>
      <w:r w:rsidRPr="0049492A">
        <w:t>ser och förslag som de framställs i rapporten. Revisorerna anser att det är rimligt att hyresgäster kan skaffa sig en realistisk uppfattning av långsiktiga drift- och underhållskostnader. Om fastighetsvärden anser sig ha bättre til</w:t>
      </w:r>
      <w:r w:rsidRPr="0049492A">
        <w:t>l</w:t>
      </w:r>
      <w:r w:rsidRPr="0049492A">
        <w:t xml:space="preserve">gång till jämförbara kostnadsuppgifter kan denna bistå hyresgästen med nyckeltal över förvaltningskostnaderna. </w:t>
      </w:r>
    </w:p>
    <w:p w:rsidR="008D3479" w:rsidRPr="0049492A" w:rsidRDefault="008D3479">
      <w:pPr>
        <w:pStyle w:val="Normaltindrag"/>
      </w:pPr>
      <w:r w:rsidRPr="0049492A">
        <w:t>Revisorerna anser att regeringen bör vidarebefordra riksdagens uppfattning om att hyresgästen ska ha god insyn i förvaltningen och att det innebär öppen redovisning av</w:t>
      </w:r>
      <w:r w:rsidRPr="0049492A">
        <w:t xml:space="preserve"> kostnader för drift, underhåll och kapital, oavsett om mar</w:t>
      </w:r>
      <w:r w:rsidRPr="0049492A">
        <w:t>k</w:t>
      </w:r>
      <w:r w:rsidRPr="0049492A">
        <w:t>nadsh</w:t>
      </w:r>
      <w:r w:rsidRPr="0049492A">
        <w:t>y</w:t>
      </w:r>
      <w:r w:rsidRPr="0049492A">
        <w:t>ra eller kostnadshyra tillämpas.</w:t>
      </w:r>
    </w:p>
    <w:p w:rsidR="008D3479" w:rsidRPr="0049492A" w:rsidRDefault="008D3479">
      <w:pPr>
        <w:pStyle w:val="Rubrik2"/>
      </w:pPr>
      <w:bookmarkStart w:id="6" w:name="_Toc532725158"/>
      <w:r w:rsidRPr="0049492A">
        <w:t>Gemensamt upprättade förvaltningsplaner</w:t>
      </w:r>
      <w:bookmarkEnd w:id="6"/>
    </w:p>
    <w:p w:rsidR="008D3479" w:rsidRPr="0049492A" w:rsidRDefault="008D3479">
      <w:pPr>
        <w:pStyle w:val="RubrikUtanNr3"/>
      </w:pPr>
      <w:r w:rsidRPr="0049492A">
        <w:t>Rapporten</w:t>
      </w:r>
    </w:p>
    <w:p w:rsidR="008D3479" w:rsidRPr="0049492A" w:rsidRDefault="008D3479">
      <w:r w:rsidRPr="0049492A">
        <w:t>Enligt vad revisorerna erfar varierar fastighetsförvaltarnas utformning av förvaltningsplaner, bl.a. med avseende på hyresgästernas delaktighet i fra</w:t>
      </w:r>
      <w:r w:rsidRPr="0049492A">
        <w:t>m</w:t>
      </w:r>
      <w:r w:rsidRPr="0049492A">
        <w:t>tagandet av planerna. Det är revisorernas uppfattning att förvaltningsplanerna skulle bli tydligare och mer funktionella om hyresgästerna garanterades rätt att delta i framtagandet av dem. Regeringen har inte vidarebefordrat riksd</w:t>
      </w:r>
      <w:r w:rsidRPr="0049492A">
        <w:t>a</w:t>
      </w:r>
      <w:r w:rsidRPr="0049492A">
        <w:t>gens uppfattning att förvaltningsplaner bör upprättas gemensamt av parterna. Revisorerna anser att regeringen bör klargöra riksdagens ståndpunkt angåe</w:t>
      </w:r>
      <w:r w:rsidRPr="0049492A">
        <w:t>n</w:t>
      </w:r>
      <w:r w:rsidRPr="0049492A">
        <w:t>de förval</w:t>
      </w:r>
      <w:r w:rsidRPr="0049492A">
        <w:t>t</w:t>
      </w:r>
      <w:r w:rsidRPr="0049492A">
        <w:t xml:space="preserve">ningsplaner för de berörda myndigheterna och bolagen. </w:t>
      </w:r>
    </w:p>
    <w:p w:rsidR="008D3479" w:rsidRPr="0049492A" w:rsidRDefault="008D3479">
      <w:pPr>
        <w:pStyle w:val="RubrikUtanNr3"/>
      </w:pPr>
      <w:r w:rsidRPr="0049492A">
        <w:t>Remissinstanserna</w:t>
      </w:r>
    </w:p>
    <w:p w:rsidR="008D3479" w:rsidRPr="0049492A" w:rsidRDefault="008D3479">
      <w:r w:rsidRPr="0049492A">
        <w:rPr>
          <w:i/>
        </w:rPr>
        <w:t>Statens fastighetsverk</w:t>
      </w:r>
      <w:r w:rsidRPr="0049492A">
        <w:t xml:space="preserve"> påpekar att byggnaders och anläggningars långsiktiga underhåll och drift ska vara oberoende av brukarens kortsiktiga ekonomi och verksamhet. Verket betonar vidare att uppdelningen mellan brukande och förvaltande av fastigheterna ska vara tydlig och att Fastighetsverket och hyresgästerna ska vara professionella på sina respektive verksamh</w:t>
      </w:r>
      <w:r w:rsidRPr="0049492A">
        <w:t>e</w:t>
      </w:r>
      <w:r w:rsidRPr="0049492A">
        <w:t xml:space="preserve">ter. </w:t>
      </w:r>
    </w:p>
    <w:p w:rsidR="008D3479" w:rsidRPr="0049492A" w:rsidRDefault="008D3479">
      <w:pPr>
        <w:pStyle w:val="Normaltindrag"/>
      </w:pPr>
      <w:r w:rsidRPr="0049492A">
        <w:rPr>
          <w:i/>
        </w:rPr>
        <w:t>Fortifikationsverket</w:t>
      </w:r>
      <w:r w:rsidRPr="0049492A">
        <w:t xml:space="preserve"> instämmer inte helt i revisorernas förslag. Fortifik</w:t>
      </w:r>
      <w:r w:rsidRPr="0049492A">
        <w:t>a</w:t>
      </w:r>
      <w:r w:rsidRPr="0049492A">
        <w:t>tionsverket anser att förvaltningsplaner givetvis ska upprättas, men av fasti</w:t>
      </w:r>
      <w:r w:rsidRPr="0049492A">
        <w:t>g</w:t>
      </w:r>
      <w:r w:rsidRPr="0049492A">
        <w:t>hetsägaren efter samråd med hyresgästerna. Risken med partsgemensamma förvaltningsplaner är bl.a. att det planerade underhållet eftersätts för att frig</w:t>
      </w:r>
      <w:r w:rsidRPr="0049492A">
        <w:t>ö</w:t>
      </w:r>
      <w:r w:rsidRPr="0049492A">
        <w:t xml:space="preserve">ra medel för hyresgästen. </w:t>
      </w:r>
    </w:p>
    <w:p w:rsidR="008D3479" w:rsidRPr="0049492A" w:rsidRDefault="008D3479">
      <w:pPr>
        <w:pStyle w:val="Normaltindrag"/>
      </w:pPr>
      <w:r w:rsidRPr="0049492A">
        <w:rPr>
          <w:i/>
        </w:rPr>
        <w:t>Statens sjöhistoriska museer</w:t>
      </w:r>
      <w:r w:rsidRPr="0049492A">
        <w:t xml:space="preserve"> stöder förslaget och påpekar att större möjli</w:t>
      </w:r>
      <w:r w:rsidRPr="0049492A">
        <w:t>g</w:t>
      </w:r>
      <w:r w:rsidRPr="0049492A">
        <w:t xml:space="preserve">heter för myndigheterna att förhandla om drift och underhåll möjliggör  bättre och mer flexibel verksamhetsanpassning, vilket bör kunna vara mycket kostnadseffektivt. </w:t>
      </w:r>
    </w:p>
    <w:p w:rsidR="008D3479" w:rsidRPr="0049492A" w:rsidRDefault="008D3479">
      <w:pPr>
        <w:pStyle w:val="RubrikUtanNr3"/>
      </w:pPr>
      <w:r w:rsidRPr="0049492A">
        <w:t>Revisorerna</w:t>
      </w:r>
    </w:p>
    <w:p w:rsidR="008D3479" w:rsidRPr="0049492A" w:rsidRDefault="008D3479">
      <w:r w:rsidRPr="0049492A">
        <w:t>Revisorerna anser, med utgångspunkt i riksdagens tidigare ställningstagande, att hyresgästernas inflytande i planering av drift och underhåll är en föru</w:t>
      </w:r>
      <w:r w:rsidRPr="0049492A">
        <w:t>t</w:t>
      </w:r>
      <w:r w:rsidRPr="0049492A">
        <w:t>sättning för att förvaltaren ska kunna optimera hyresgästernas nytta av lok</w:t>
      </w:r>
      <w:r w:rsidRPr="0049492A">
        <w:t>a</w:t>
      </w:r>
      <w:r w:rsidRPr="0049492A">
        <w:t>lerna och stödja deras verksamhet. Det är enligt revisorerna förenligt med fastighetsägarens långsiktiga ansvar för fastighetens värde. Revisorernas slutsatser och förslag är därför oförändrade efter remisshanteringen. Rege</w:t>
      </w:r>
      <w:r w:rsidRPr="0049492A">
        <w:t>r</w:t>
      </w:r>
      <w:r w:rsidRPr="0049492A">
        <w:t>ingen bör vidarebefordra riksdagens uppfattning att förvaltningsplaner ska up</w:t>
      </w:r>
      <w:r w:rsidRPr="0049492A">
        <w:t>p</w:t>
      </w:r>
      <w:r w:rsidRPr="0049492A">
        <w:t>rättas gemensamt av parterna.</w:t>
      </w:r>
    </w:p>
    <w:p w:rsidR="008D3479" w:rsidRPr="0049492A" w:rsidRDefault="008D3479"/>
    <w:p w:rsidR="008D3479" w:rsidRPr="0049492A" w:rsidRDefault="008D3479">
      <w:pPr>
        <w:pStyle w:val="Rubrik2"/>
      </w:pPr>
      <w:bookmarkStart w:id="7" w:name="_Toc532725159"/>
      <w:r w:rsidRPr="0049492A">
        <w:t>Effektiviseringar i myndigheters lokalutnyttjande</w:t>
      </w:r>
      <w:bookmarkEnd w:id="7"/>
    </w:p>
    <w:p w:rsidR="008D3479" w:rsidRPr="0049492A" w:rsidRDefault="008D3479">
      <w:pPr>
        <w:pStyle w:val="RubrikUtanNr3"/>
      </w:pPr>
      <w:r w:rsidRPr="0049492A">
        <w:t>Rapporten</w:t>
      </w:r>
    </w:p>
    <w:p w:rsidR="008D3479" w:rsidRPr="0049492A" w:rsidRDefault="008D3479">
      <w:r w:rsidRPr="0049492A">
        <w:t>När myndigheterna övertog ansvaret för sin lokalförsörjning justerades deras anslag så att de skulle täcka lokalkostnaderna. Myndigheternas lokalbehov prövades inte av regeringen när basbudgeteringen för lokalbehov och loka</w:t>
      </w:r>
      <w:r w:rsidRPr="0049492A">
        <w:t>l</w:t>
      </w:r>
      <w:r w:rsidRPr="0049492A">
        <w:t xml:space="preserve">kostnader gjordes. Utgångspunkten var att rådande förhållanden eller tidigare bedömningar av lokalbehov skulle ligga fast. Anslagssystemet har efter systemets införande justerats genom prisomräkning av lokalkostnaderna för föregående år. En konsekvens av systemet är att de myndigheter som hade höga lokalkostnader när basbudgeteringen gjordes gynnas av detta i den fortsatta anslagstilldelningen. Myndigheter som då hade små lokalkostnader missgynnas av motsvarande skäl i anslagstilldelningen. </w:t>
      </w:r>
    </w:p>
    <w:p w:rsidR="008D3479" w:rsidRPr="0049492A" w:rsidRDefault="008D3479">
      <w:pPr>
        <w:pStyle w:val="Normaltindrag"/>
      </w:pPr>
      <w:r w:rsidRPr="0049492A">
        <w:t xml:space="preserve">Statskontoret </w:t>
      </w:r>
      <w:r w:rsidRPr="0049492A">
        <w:t>har tidigare föreslagit ett utvecklat system för basbudgetering av lokalbehov och lokalkostnader med syfte att stärka regeringens styrning av resursanvändningen. Statskontorets förslag avser nya eller omstrukturer</w:t>
      </w:r>
      <w:r w:rsidRPr="0049492A">
        <w:t>a</w:t>
      </w:r>
      <w:r w:rsidRPr="0049492A">
        <w:t xml:space="preserve">de myndigheter. </w:t>
      </w:r>
    </w:p>
    <w:p w:rsidR="008D3479" w:rsidRPr="0049492A" w:rsidRDefault="008D3479">
      <w:pPr>
        <w:pStyle w:val="Normaltindrag"/>
      </w:pPr>
      <w:r w:rsidRPr="0049492A">
        <w:t xml:space="preserve">Revisorerna anser att regeringen i budgetprocessen bör beakta möjligheter till effektiviseringar i myndigheters lokalutnyttjande. </w:t>
      </w:r>
    </w:p>
    <w:p w:rsidR="008D3479" w:rsidRPr="0049492A" w:rsidRDefault="008D3479">
      <w:pPr>
        <w:pStyle w:val="RubrikUtanNr3"/>
      </w:pPr>
      <w:r w:rsidRPr="0049492A">
        <w:t>Remissinstanserna</w:t>
      </w:r>
    </w:p>
    <w:p w:rsidR="008D3479" w:rsidRPr="0049492A" w:rsidRDefault="008D3479">
      <w:r w:rsidRPr="0049492A">
        <w:rPr>
          <w:i/>
        </w:rPr>
        <w:t xml:space="preserve">Statskontoret </w:t>
      </w:r>
      <w:r w:rsidRPr="0049492A">
        <w:t>instämmer i att det kan vara motiverat att i budgetdialogen ta upp och beakta lokaleffektiviteten hos myndigheterna. Det måste dock ske på ett sådant sätt att det står i överensstämmelse med den grundläggande regeln att myndigheterna själva ska kunna göra avvägningar mellan olika produ</w:t>
      </w:r>
      <w:r w:rsidRPr="0049492A">
        <w:t>k</w:t>
      </w:r>
      <w:r w:rsidRPr="0049492A">
        <w:t xml:space="preserve">tionsresurser inom den ram de har tilldelats. </w:t>
      </w:r>
    </w:p>
    <w:p w:rsidR="008D3479" w:rsidRPr="0049492A" w:rsidRDefault="008D3479">
      <w:pPr>
        <w:pStyle w:val="Normaltindrag"/>
      </w:pPr>
      <w:r w:rsidRPr="0049492A">
        <w:rPr>
          <w:i/>
        </w:rPr>
        <w:t xml:space="preserve">Fortifikationsverket </w:t>
      </w:r>
      <w:r w:rsidRPr="0049492A">
        <w:t>tillstyrker förslaget och anser att det är angeläget. E</w:t>
      </w:r>
      <w:r w:rsidRPr="0049492A">
        <w:t>n</w:t>
      </w:r>
      <w:r w:rsidRPr="0049492A">
        <w:t>ligt Fortifikationsverkets uppfattning kan det finnas stora besparingsmöjli</w:t>
      </w:r>
      <w:r w:rsidRPr="0049492A">
        <w:t>g</w:t>
      </w:r>
      <w:r w:rsidRPr="0049492A">
        <w:t>heter i en mer effektiv lokalplaneringsprocess och ett bättre lokalutnyttjande. Det är viktigt att också skapa incitament för återhållsamhet med mark, lok</w:t>
      </w:r>
      <w:r w:rsidRPr="0049492A">
        <w:t>a</w:t>
      </w:r>
      <w:r w:rsidRPr="0049492A">
        <w:t>ler och medieförbrukning, anser Fortifikationsverket. Ett av målen med reformen av fastighetsförvaltning och lokalförsörjning var en effektiv loka</w:t>
      </w:r>
      <w:r w:rsidRPr="0049492A">
        <w:t>l</w:t>
      </w:r>
      <w:r w:rsidRPr="0049492A">
        <w:t>försörjning, men därefter har en tämligen ensidig fokusering skett på förval</w:t>
      </w:r>
      <w:r w:rsidRPr="0049492A">
        <w:t>t</w:t>
      </w:r>
      <w:r w:rsidRPr="0049492A">
        <w:t>n</w:t>
      </w:r>
      <w:r w:rsidRPr="0049492A">
        <w:t>ingen, menar Fortifik</w:t>
      </w:r>
      <w:r w:rsidRPr="0049492A">
        <w:t>a</w:t>
      </w:r>
      <w:r w:rsidRPr="0049492A">
        <w:t xml:space="preserve">tionsverket. </w:t>
      </w:r>
    </w:p>
    <w:p w:rsidR="008D3479" w:rsidRPr="0049492A" w:rsidRDefault="008D3479">
      <w:pPr>
        <w:pStyle w:val="Normaltindrag"/>
      </w:pPr>
      <w:r w:rsidRPr="0049492A">
        <w:rPr>
          <w:i/>
        </w:rPr>
        <w:t>Statens sjöhistoriska museer</w:t>
      </w:r>
      <w:r w:rsidRPr="0049492A">
        <w:t xml:space="preserve"> anser att bättre resursanvändning ligger i myndighetens eget intresse. Man måste dock beakta att vissa verksamheter, t.ex. museer, i sitt uppdrag har en inbyggd expansion i och med samlingarnas tillväxt.</w:t>
      </w:r>
    </w:p>
    <w:p w:rsidR="008D3479" w:rsidRPr="0049492A" w:rsidRDefault="008D3479">
      <w:pPr>
        <w:pStyle w:val="RubrikUtanNr3"/>
      </w:pPr>
      <w:r w:rsidRPr="0049492A">
        <w:t>Revisorerna</w:t>
      </w:r>
    </w:p>
    <w:p w:rsidR="008D3479" w:rsidRPr="0049492A" w:rsidRDefault="008D3479">
      <w:r w:rsidRPr="0049492A">
        <w:t>Remissinstanserna tillstyrker revisorernas förslag. Statskontoret betonar dock att förslaget måste genomföras i enlighet med den grundläggande regeln att myndigheterna själva ska kunna göra avvägningar mellan olika produktion</w:t>
      </w:r>
      <w:r w:rsidRPr="0049492A">
        <w:t>s</w:t>
      </w:r>
      <w:r w:rsidRPr="0049492A">
        <w:t xml:space="preserve">resurser inom den ram de har tilldelats. </w:t>
      </w:r>
    </w:p>
    <w:p w:rsidR="008D3479" w:rsidRPr="0049492A" w:rsidRDefault="008D3479">
      <w:pPr>
        <w:pStyle w:val="Normaltindrag"/>
      </w:pPr>
      <w:r w:rsidRPr="0049492A">
        <w:t>Revisorerna anser att regeringen bör uppmärksamma vilka konsekvenser anslagsberäkningen och basbudgeteringen fått för enskilda myndigheter. Regeringen bör rimligen ha möjlighet att ta upp en dialog angående lokald</w:t>
      </w:r>
      <w:r w:rsidRPr="0049492A">
        <w:t>i</w:t>
      </w:r>
      <w:r w:rsidRPr="0049492A">
        <w:t>mensionering och läge med myndigheter som uppenbarligen gynnats eller missgynnats av anslagssystemet och basbudgeteringen som gjordes 1994. En prövning av lokalbehov och lokalkostnader bör i vissa fall kunna göras även för befintliga myndigheter och inte enbart för nya och omstrukturerade my</w:t>
      </w:r>
      <w:r w:rsidRPr="0049492A">
        <w:t>n</w:t>
      </w:r>
      <w:r w:rsidRPr="0049492A">
        <w:t>digheter, vilket Statskontoret föreslagit. Revisorerna anser att regeringen i budgetprocessen bör beakta möjligheter till effektiviseringar i myndigheters lokalu</w:t>
      </w:r>
      <w:r w:rsidRPr="0049492A">
        <w:t>t</w:t>
      </w:r>
      <w:r w:rsidRPr="0049492A">
        <w:t xml:space="preserve">nyttjande.    </w:t>
      </w:r>
    </w:p>
    <w:p w:rsidR="008D3479" w:rsidRPr="0049492A" w:rsidRDefault="008D3479">
      <w:pPr>
        <w:pStyle w:val="Rubrik2"/>
      </w:pPr>
      <w:bookmarkStart w:id="8" w:name="_Toc532725160"/>
      <w:r w:rsidRPr="0049492A">
        <w:t>Ett statligt expertorgan för samråd om hy</w:t>
      </w:r>
      <w:r w:rsidRPr="0049492A">
        <w:t>ressättning</w:t>
      </w:r>
      <w:bookmarkEnd w:id="8"/>
    </w:p>
    <w:p w:rsidR="008D3479" w:rsidRPr="0049492A" w:rsidRDefault="008D3479">
      <w:pPr>
        <w:pStyle w:val="RubrikUtanNr3"/>
      </w:pPr>
      <w:r w:rsidRPr="0049492A">
        <w:t xml:space="preserve">Rapporten </w:t>
      </w:r>
    </w:p>
    <w:p w:rsidR="008D3479" w:rsidRPr="0049492A" w:rsidRDefault="008D3479">
      <w:r w:rsidRPr="0049492A">
        <w:t>Revisorerna anser att myndigheter i vissa fastigheter är berättigade till kos</w:t>
      </w:r>
      <w:r w:rsidRPr="0049492A">
        <w:t>t</w:t>
      </w:r>
      <w:r w:rsidRPr="0049492A">
        <w:t>nadshyra, enligt riksdagens riktlinjer. Regeringen har pekat ut fem kulturi</w:t>
      </w:r>
      <w:r w:rsidRPr="0049492A">
        <w:t>n</w:t>
      </w:r>
      <w:r w:rsidRPr="0049492A">
        <w:t>stitutioner vars huvudbyggnader enligt regeringen skiljer sig från övriga ändamålsfastigheter på ett avgörande sätt. Regeringen har föreslagit att kos</w:t>
      </w:r>
      <w:r w:rsidRPr="0049492A">
        <w:t>t</w:t>
      </w:r>
      <w:r w:rsidRPr="0049492A">
        <w:t>nadshyra ska gälla för dessa fastigheter. Revisorerna anser att regeringens förslag inte är konsekvent och därför inte långsiktigt hållbart. Ett konsekvent system förutsätter tydliga kriterier för när kostnadshyra ska gälla och att dessa är generella för hela den statliga fastighetsf</w:t>
      </w:r>
      <w:r w:rsidRPr="0049492A">
        <w:t>örvaltningen. Revisorerna inser dock att oenighet i bedömningar kan komma att uppstå, även om villk</w:t>
      </w:r>
      <w:r w:rsidRPr="0049492A">
        <w:t>o</w:t>
      </w:r>
      <w:r w:rsidRPr="0049492A">
        <w:t xml:space="preserve">ren för hyressättning är tydliga och hyresgästens rätt till förhandling om hyreskontraktets utformning är stärkt i regeringsdirektiven. </w:t>
      </w:r>
    </w:p>
    <w:p w:rsidR="008D3479" w:rsidRPr="0049492A" w:rsidRDefault="008D3479">
      <w:pPr>
        <w:pStyle w:val="Normaltindrag"/>
      </w:pPr>
      <w:r w:rsidRPr="0049492A">
        <w:t>Revisorerna anser att hyresgäster och förvaltare i ändamålsfastigheter bör ha möjlighet att samråda med ett statligt expertorgan om vilken hyressättning som ska gälla, i de fall parterna inte når en överenskommelse genom fö</w:t>
      </w:r>
      <w:r w:rsidRPr="0049492A">
        <w:t>r</w:t>
      </w:r>
      <w:r w:rsidRPr="0049492A">
        <w:t xml:space="preserve">handlingar. Revisorerna påpekar härvid att en övergång från marknadsmässig till kostnadsbaserad hyra kan göra det nödvändigt att omvärdera fastigheter. Förändrade förutsättningar för myndigheten kan också komma att påverka myndighetens anslag. </w:t>
      </w:r>
    </w:p>
    <w:p w:rsidR="008D3479" w:rsidRPr="0049492A" w:rsidRDefault="008D3479">
      <w:pPr>
        <w:pStyle w:val="RubrikUtanNr3"/>
      </w:pPr>
      <w:r w:rsidRPr="0049492A">
        <w:t>Remissinstanserna</w:t>
      </w:r>
    </w:p>
    <w:p w:rsidR="008D3479" w:rsidRPr="0049492A" w:rsidRDefault="008D3479">
      <w:r w:rsidRPr="0049492A">
        <w:rPr>
          <w:i/>
        </w:rPr>
        <w:t>Statskontoret</w:t>
      </w:r>
      <w:r w:rsidRPr="0049492A">
        <w:t xml:space="preserve"> är tveksamt till om ett expertorgan av det föreslagna slaget kan lösa det problem som det förutsätts göra. Statskontoret ser revisorernas fö</w:t>
      </w:r>
      <w:r w:rsidRPr="0049492A">
        <w:t>r</w:t>
      </w:r>
      <w:r w:rsidRPr="0049492A">
        <w:t>slag som att en särskild hyresnämnd inrättas för ändamålet. För statlig fasti</w:t>
      </w:r>
      <w:r w:rsidRPr="0049492A">
        <w:t>g</w:t>
      </w:r>
      <w:r w:rsidRPr="0049492A">
        <w:t>hetsförvaltning som sker i aktiebolagsform finns denna möjlighet redan tillgänglig. Även hyreslagstiftningen i övrigt gäller när fastighetsförvaltaren har denna juridiska form. Att utnyttja det föreslagna expertorganet blir därför främst aktuellt när den statliga fastighetsförvaltningen sker</w:t>
      </w:r>
      <w:r w:rsidRPr="0049492A">
        <w:t xml:space="preserve"> i myndighet</w:t>
      </w:r>
      <w:r w:rsidRPr="0049492A">
        <w:t>s</w:t>
      </w:r>
      <w:r w:rsidRPr="0049492A">
        <w:t xml:space="preserve">form. </w:t>
      </w:r>
    </w:p>
    <w:p w:rsidR="008D3479" w:rsidRPr="0049492A" w:rsidRDefault="008D3479">
      <w:pPr>
        <w:pStyle w:val="Normaltindrag"/>
      </w:pPr>
      <w:r w:rsidRPr="0049492A">
        <w:t>Expertorganet ska enbart kunna utnyttjas för samråd. Att ge det en b</w:t>
      </w:r>
      <w:r w:rsidRPr="0049492A">
        <w:t>e</w:t>
      </w:r>
      <w:r w:rsidRPr="0049492A">
        <w:t>slutande funktion är knappast tänkbart, menar Statskontoret. Olösta frågor kommer därför att behöva gå vidare till regeringen. Eftersom det, som rev</w:t>
      </w:r>
      <w:r w:rsidRPr="0049492A">
        <w:t>i</w:t>
      </w:r>
      <w:r w:rsidRPr="0049492A">
        <w:t>sorerna påpekar, också kan bli fråga om en omvärdering av fastigheterna vid ändring av hyressättningsprincip kan regeringen även av det skälet behöva fatta beslut för att en ändring av hyressättningen ska kunna ske. Också det begränsade antalet tvister som kan förmodas komma att uppstå gör att Stat</w:t>
      </w:r>
      <w:r w:rsidRPr="0049492A">
        <w:t>s</w:t>
      </w:r>
      <w:r w:rsidRPr="0049492A">
        <w:t>kontoret ställer sig tveksamt till att ett särskilt expertorga</w:t>
      </w:r>
      <w:r w:rsidRPr="0049492A">
        <w:t>n inrättas. Stat</w:t>
      </w:r>
      <w:r w:rsidRPr="0049492A">
        <w:t>s</w:t>
      </w:r>
      <w:r w:rsidRPr="0049492A">
        <w:t>kontoret påpekar att det redan med den nuvarande ordningen är möjligt att hänföra en tvist i en hyresfråga mellan två statliga myndigheter till regerin</w:t>
      </w:r>
      <w:r w:rsidRPr="0049492A">
        <w:t>g</w:t>
      </w:r>
      <w:r w:rsidRPr="0049492A">
        <w:t xml:space="preserve">en för avgörande. </w:t>
      </w:r>
    </w:p>
    <w:p w:rsidR="008D3479" w:rsidRPr="0049492A" w:rsidRDefault="008D3479">
      <w:pPr>
        <w:pStyle w:val="Normaltindrag"/>
      </w:pPr>
      <w:r w:rsidRPr="0049492A">
        <w:rPr>
          <w:i/>
        </w:rPr>
        <w:t>Fortifikationsverket</w:t>
      </w:r>
      <w:r w:rsidRPr="0049492A">
        <w:t xml:space="preserve"> tillstyrker förslaget men anser att expertorganet bör ha ett vidare och tyngre mandat än det föreslagna och fungera som en hyre</w:t>
      </w:r>
      <w:r w:rsidRPr="0049492A">
        <w:t>s</w:t>
      </w:r>
      <w:r w:rsidRPr="0049492A">
        <w:t>nämnd med rätt att avdöma ärenden. En sådan ordning skulle vara till hjälp vid meningsskiljaktigheter och skulle dessutom bidra till att implementera reformen. Fortifikationsverket menar att alla hyresgäster inte är förtrogna med reformens innebörd och syften, trots att flera år gått sedan den geno</w:t>
      </w:r>
      <w:r w:rsidRPr="0049492A">
        <w:t>m</w:t>
      </w:r>
      <w:r w:rsidRPr="0049492A">
        <w:t xml:space="preserve">fördes. </w:t>
      </w:r>
    </w:p>
    <w:p w:rsidR="008D3479" w:rsidRPr="0049492A" w:rsidRDefault="008D3479">
      <w:pPr>
        <w:pStyle w:val="Normaltindrag"/>
      </w:pPr>
      <w:r w:rsidRPr="0049492A">
        <w:rPr>
          <w:i/>
        </w:rPr>
        <w:t>Akademiska Hus AB</w:t>
      </w:r>
      <w:r w:rsidRPr="0049492A">
        <w:t xml:space="preserve"> ställer sig mycket frågande till revisorernas förslag. Bolaget menar att om statsmakternas riktlinjer för förvaltare och myndigh</w:t>
      </w:r>
      <w:r w:rsidRPr="0049492A">
        <w:t>e</w:t>
      </w:r>
      <w:r w:rsidRPr="0049492A">
        <w:t xml:space="preserve">ter behöver förtydligas bör detta ske utan inrättande av ett expertorgan. För marknadsanpassade hyror fyller hyresnämnderna uppgiften som medlare m.m. För olika metoder att tillämpa kostnadsbaserade hyror ser Akademiska Hus inget behov av ett expertorgan. </w:t>
      </w:r>
    </w:p>
    <w:p w:rsidR="008D3479" w:rsidRPr="0049492A" w:rsidRDefault="008D3479">
      <w:pPr>
        <w:pStyle w:val="Normaltindrag"/>
      </w:pPr>
      <w:r w:rsidRPr="0049492A">
        <w:rPr>
          <w:i/>
        </w:rPr>
        <w:t xml:space="preserve">Kungliga Tekniska Högskolan </w:t>
      </w:r>
      <w:r w:rsidRPr="0049492A">
        <w:t>stöder revisorernas förslag</w:t>
      </w:r>
      <w:r w:rsidRPr="0049492A">
        <w:rPr>
          <w:i/>
        </w:rPr>
        <w:t xml:space="preserve">. </w:t>
      </w:r>
      <w:r w:rsidRPr="0049492A">
        <w:t>Högskolan</w:t>
      </w:r>
      <w:r w:rsidRPr="0049492A">
        <w:rPr>
          <w:i/>
        </w:rPr>
        <w:t xml:space="preserve"> </w:t>
      </w:r>
      <w:r w:rsidRPr="0049492A">
        <w:t>a</w:t>
      </w:r>
      <w:r w:rsidRPr="0049492A">
        <w:t>n</w:t>
      </w:r>
      <w:r w:rsidRPr="0049492A">
        <w:t>ser att sedvanlig medling inför den befintliga hyresnämnden inte är ett m</w:t>
      </w:r>
      <w:r w:rsidRPr="0049492A">
        <w:t>e</w:t>
      </w:r>
      <w:r w:rsidRPr="0049492A">
        <w:t>ningsfullt instrument att handlägga eventuella konflikter beträffande hyre</w:t>
      </w:r>
      <w:r w:rsidRPr="0049492A">
        <w:t>s</w:t>
      </w:r>
      <w:r w:rsidRPr="0049492A">
        <w:t>sättningen. När det gäller ändamålsfastigheter kan inte heller sedvanliga regler om avflyttning vinna tillämpning för de fall parterna inte kan enas om hyressät</w:t>
      </w:r>
      <w:r w:rsidRPr="0049492A">
        <w:t>t</w:t>
      </w:r>
      <w:r w:rsidRPr="0049492A">
        <w:t xml:space="preserve">ningen. </w:t>
      </w:r>
    </w:p>
    <w:p w:rsidR="008D3479" w:rsidRPr="0049492A" w:rsidRDefault="008D3479">
      <w:pPr>
        <w:pStyle w:val="Normaltindrag"/>
      </w:pPr>
      <w:r w:rsidRPr="0049492A">
        <w:rPr>
          <w:i/>
        </w:rPr>
        <w:t>Chalmers tekniska högskola AB</w:t>
      </w:r>
      <w:r w:rsidRPr="0049492A">
        <w:t xml:space="preserve"> stöder förslaget. Chalmers har tidigare b</w:t>
      </w:r>
      <w:r w:rsidRPr="0049492A">
        <w:t>e</w:t>
      </w:r>
      <w:r w:rsidRPr="0049492A">
        <w:t>gärt medling i hyresnämnden då högskolan och Akademiska Hus varit helt oeniga i frågan huruvida beståndet av äldre byggnader på campus utgjorde ändamålsfastigheter eller inte. Hyresnämnden har ingen möjlighet att pröva frågan om ändamålsfastigheter. Chalmers konstaterar att det inte finns något organ som kan pröva hyressättningen och principerna för den i tvisten mellan Chalmers och Akademiska Hus, och inga möjligheter till lösning av tvisten på det sätt hyreslagen</w:t>
      </w:r>
      <w:r w:rsidRPr="0049492A">
        <w:t xml:space="preserve"> förutsätter. </w:t>
      </w:r>
    </w:p>
    <w:p w:rsidR="008D3479" w:rsidRPr="0049492A" w:rsidRDefault="008D3479">
      <w:pPr>
        <w:pStyle w:val="Normaltindrag"/>
      </w:pPr>
      <w:r w:rsidRPr="0049492A">
        <w:rPr>
          <w:i/>
        </w:rPr>
        <w:t>Kriminalvårdsstyrelsen</w:t>
      </w:r>
      <w:r w:rsidRPr="0049492A">
        <w:t xml:space="preserve"> delar revisorernas uppfattning avseende betydelsen av att ha tillgång till ett opartiskt medlingsorgan, men ställer sig samtidigt frågande till de nuvarande hyresnämndernas framtida roll i en sådan organ</w:t>
      </w:r>
      <w:r w:rsidRPr="0049492A">
        <w:t>i</w:t>
      </w:r>
      <w:r w:rsidRPr="0049492A">
        <w:t>satorisk modell.</w:t>
      </w:r>
    </w:p>
    <w:p w:rsidR="008D3479" w:rsidRPr="0049492A" w:rsidRDefault="008D3479">
      <w:pPr>
        <w:pStyle w:val="RubrikUtanNr3"/>
      </w:pPr>
      <w:r w:rsidRPr="0049492A">
        <w:t>Revisorerna</w:t>
      </w:r>
    </w:p>
    <w:p w:rsidR="008D3479" w:rsidRPr="0049492A" w:rsidRDefault="008D3479">
      <w:r w:rsidRPr="0049492A">
        <w:t>Remissinstanserna har olika uppfattningar om revisorernas förslag.</w:t>
      </w:r>
    </w:p>
    <w:p w:rsidR="008D3479" w:rsidRPr="0049492A" w:rsidRDefault="008D3479">
      <w:pPr>
        <w:pStyle w:val="Normaltindrag"/>
      </w:pPr>
      <w:r w:rsidRPr="0049492A">
        <w:t xml:space="preserve"> Inledningsvis vill revisorerna klargöra att hyresnämnden kan handlägga ärenden även där fastighetsförvaltningen bedrivs i myndighetsform. Hyre</w:t>
      </w:r>
      <w:r w:rsidRPr="0049492A">
        <w:t>s</w:t>
      </w:r>
      <w:r w:rsidRPr="0049492A">
        <w:t>lagstiftningen är inte heller begränsad till att gälla fastighetsförvaltning som bedrivs i aktiebolagsform, utan gäller även för förvaltning i myndighet</w:t>
      </w:r>
      <w:r w:rsidRPr="0049492A">
        <w:t>s</w:t>
      </w:r>
      <w:r w:rsidRPr="0049492A">
        <w:t xml:space="preserve">form. </w:t>
      </w:r>
    </w:p>
    <w:p w:rsidR="008D3479" w:rsidRPr="0049492A" w:rsidRDefault="008D3479">
      <w:pPr>
        <w:pStyle w:val="Normaltindrag"/>
      </w:pPr>
      <w:r w:rsidRPr="0049492A">
        <w:t>Hyresnämnden har till uppgift att medla i hyrestvister, att vara skiljenämnd samt att klarlägga tvistefrågor och söka förlika parterna. Utgångspunkten är att marknadshyror ska gälla. Nämnden försöker jämka samman parter med olika ståndpunkter genom att lägga medlingsförslag. Om parterna är oeniga i frågan huruvida marknads- eller kostnadsbaserad hyr</w:t>
      </w:r>
      <w:r w:rsidRPr="0049492A">
        <w:t>a ska gälla för en spec</w:t>
      </w:r>
      <w:r w:rsidRPr="0049492A">
        <w:t>i</w:t>
      </w:r>
      <w:r w:rsidRPr="0049492A">
        <w:t xml:space="preserve">fik fastighet är det således nämndens uppgift att försöka hitta ett bud som båda parterna kan acceptera. Resultatet blir sannolikt en kompromiss mellan de två systemen. </w:t>
      </w:r>
    </w:p>
    <w:p w:rsidR="008D3479" w:rsidRPr="0049492A" w:rsidRDefault="008D3479">
      <w:pPr>
        <w:pStyle w:val="Normaltindrag"/>
      </w:pPr>
      <w:r w:rsidRPr="0049492A">
        <w:t xml:space="preserve">Revisorerna anser att en sådan lösning inte är förenlig med anslags- och kompensationssystemet, vilket förutsätter att marknads- </w:t>
      </w:r>
      <w:r w:rsidRPr="0049492A">
        <w:rPr>
          <w:i/>
        </w:rPr>
        <w:t>eller</w:t>
      </w:r>
      <w:r w:rsidRPr="0049492A">
        <w:t xml:space="preserve"> kostnadshyra gäller för att fungera ändamålsenligt. Det tillhör inte hyresnämndens nuv</w:t>
      </w:r>
      <w:r w:rsidRPr="0049492A">
        <w:t>a</w:t>
      </w:r>
      <w:r w:rsidRPr="0049492A">
        <w:t>rande uppgifter att bedöma om marknads- eller kostnadshyra ska gälla för en fastighet. Att föra nya uppgifter till hyresnämnderna skulle riskera att fö</w:t>
      </w:r>
      <w:r w:rsidRPr="0049492A">
        <w:t>r</w:t>
      </w:r>
      <w:r w:rsidRPr="0049492A">
        <w:t>länga hanteringen av både nya och gamla uppgifter. Revisorerna anser att uppgiften att bedöma om hyran för en fastighet/hyresgäst ska vara mar</w:t>
      </w:r>
      <w:r w:rsidRPr="0049492A">
        <w:t>k</w:t>
      </w:r>
      <w:r w:rsidRPr="0049492A">
        <w:t>nadsmässig eller kostnadsbaserad inte lämpar sig för hyresnäm</w:t>
      </w:r>
      <w:r w:rsidRPr="0049492A">
        <w:t>n</w:t>
      </w:r>
      <w:r w:rsidRPr="0049492A">
        <w:t xml:space="preserve">den. </w:t>
      </w:r>
    </w:p>
    <w:p w:rsidR="008D3479" w:rsidRPr="0049492A" w:rsidRDefault="008D3479">
      <w:pPr>
        <w:pStyle w:val="Normaltindrag"/>
      </w:pPr>
      <w:r w:rsidRPr="0049492A">
        <w:t>Ett par remissinstanser framför att ett samrådande organ</w:t>
      </w:r>
      <w:r w:rsidRPr="0049492A">
        <w:t xml:space="preserve"> inte kommer att kunna lösa tvister och att olösta tvister måste gå vidare till regeringen. R</w:t>
      </w:r>
      <w:r w:rsidRPr="0049492A">
        <w:t>e</w:t>
      </w:r>
      <w:r w:rsidRPr="0049492A">
        <w:t>geringen kan redan i dag avgöra tvister i hyresfrågor mellan myndigheter. Revisorerna har föreslagit ett samrådande och inte ett beslutande organ för att inte bryta mot principen att hyreskontraktets utformning ska vara föremål för förhandlingar och ömsesidiga överenskommelser mellan parterna. Rev</w:t>
      </w:r>
      <w:r w:rsidRPr="0049492A">
        <w:t>i</w:t>
      </w:r>
      <w:r w:rsidRPr="0049492A">
        <w:t>sorerna inser dock att det samrådande organets yttranden måste väga tungt för att det ska fylla någon funktion.</w:t>
      </w:r>
    </w:p>
    <w:p w:rsidR="008D3479" w:rsidRPr="0049492A" w:rsidRDefault="008D3479">
      <w:pPr>
        <w:pStyle w:val="Normaltindrag"/>
      </w:pPr>
      <w:r w:rsidRPr="0049492A">
        <w:t>Sammant</w:t>
      </w:r>
      <w:r w:rsidRPr="0049492A">
        <w:t>aget anser revisorerna att ovanstående genomgång talar för att ett samrådande expertorgan tillsätts inom eller i nära anslutning till Regering</w:t>
      </w:r>
      <w:r w:rsidRPr="0049492A">
        <w:t>s</w:t>
      </w:r>
      <w:r w:rsidRPr="0049492A">
        <w:t>kansliet. Revisorerna föreslår att expertorganets roll begränsas till att yttra sig om vilket system för hyressättning som bör gälla för en specifik fastighet. Hyrestvister där parterna är överens i den frågan bör även fortsättningsvis hanteras i hyresnämnden. Ett inrättat expertorgan skulle göra det tydligare för hyresgäster och förvaltare var en svårlöslig tvist ka</w:t>
      </w:r>
      <w:r w:rsidRPr="0049492A">
        <w:t>n hanteras. Tillgän</w:t>
      </w:r>
      <w:r w:rsidRPr="0049492A">
        <w:t>g</w:t>
      </w:r>
      <w:r w:rsidRPr="0049492A">
        <w:t>ligheten till det föreslagna organet skulle påskynda processen att nå en lö</w:t>
      </w:r>
      <w:r w:rsidRPr="0049492A">
        <w:t>s</w:t>
      </w:r>
      <w:r w:rsidRPr="0049492A">
        <w:t>ning på utdragna meningsskiljaktigheter i hyresfrågor, och därmed innebära besparingar för både förvaltare och hyresgäster. Revisorerna anser alltså att ett expertorgan bör inrättas, inom eller i nära anslutning till Regeringskansl</w:t>
      </w:r>
      <w:r w:rsidRPr="0049492A">
        <w:t>i</w:t>
      </w:r>
      <w:r w:rsidRPr="0049492A">
        <w:t>et, för samråd i tvister mellan fastighetsförvaltare och hyresgäster om mar</w:t>
      </w:r>
      <w:r w:rsidRPr="0049492A">
        <w:t>k</w:t>
      </w:r>
      <w:r w:rsidRPr="0049492A">
        <w:t>nads- eller kostnadshyra ska gälla.</w:t>
      </w:r>
    </w:p>
    <w:p w:rsidR="008D3479" w:rsidRPr="0049492A" w:rsidRDefault="008D3479">
      <w:pPr>
        <w:pStyle w:val="Normaltindrag"/>
      </w:pPr>
    </w:p>
    <w:p w:rsidR="008D3479" w:rsidRPr="0049492A" w:rsidRDefault="008D3479">
      <w:pPr>
        <w:pStyle w:val="Rubrik1"/>
      </w:pPr>
      <w:bookmarkStart w:id="9" w:name="_Toc532725161"/>
      <w:r w:rsidRPr="0049492A">
        <w:t>Revisorernas förslag</w:t>
      </w:r>
      <w:bookmarkEnd w:id="9"/>
    </w:p>
    <w:p w:rsidR="008D3479" w:rsidRPr="0049492A" w:rsidRDefault="008D3479">
      <w:r w:rsidRPr="0049492A">
        <w:t>Med hänvisning till de motiveringar som framförts under revisorernas öve</w:t>
      </w:r>
      <w:r w:rsidRPr="0049492A">
        <w:t>r</w:t>
      </w:r>
      <w:r w:rsidRPr="0049492A">
        <w:t>väganden föreslår Riksdagens revisorer att riksdagen fattar följande beslut.</w:t>
      </w:r>
    </w:p>
    <w:p w:rsidR="008D3479" w:rsidRPr="0049492A" w:rsidRDefault="008D3479">
      <w:pPr>
        <w:pStyle w:val="RubrikUtanNr3"/>
      </w:pPr>
      <w:r w:rsidRPr="0049492A">
        <w:t>Självkostnad vid begränsade alternativ</w:t>
      </w:r>
    </w:p>
    <w:p w:rsidR="008D3479" w:rsidRPr="0049492A" w:rsidRDefault="008D3479">
      <w:r w:rsidRPr="0049492A">
        <w:t>Riksdagen tillkännager för regeringen som sin mening vad Riksdagens rev</w:t>
      </w:r>
      <w:r w:rsidRPr="0049492A">
        <w:t>i</w:t>
      </w:r>
      <w:r w:rsidRPr="0049492A">
        <w:t>sorer anfört i avsnitt 2.1 om självkostnad som utgångspunkt för hyressät</w:t>
      </w:r>
      <w:r w:rsidRPr="0049492A">
        <w:t>t</w:t>
      </w:r>
      <w:r w:rsidRPr="0049492A">
        <w:t xml:space="preserve">ningen och förhandlingar om hyreskontraktets utformning. </w:t>
      </w:r>
    </w:p>
    <w:p w:rsidR="008D3479" w:rsidRPr="0049492A" w:rsidRDefault="008D3479">
      <w:pPr>
        <w:pStyle w:val="RubrikUtanNr3"/>
      </w:pPr>
      <w:r w:rsidRPr="0049492A">
        <w:t xml:space="preserve">God insyn i förvaltningen </w:t>
      </w:r>
    </w:p>
    <w:p w:rsidR="008D3479" w:rsidRPr="0049492A" w:rsidRDefault="008D3479">
      <w:r w:rsidRPr="0049492A">
        <w:t>Riksdagen tillkännager för regeringen som sin mening vad Riksdagens rev</w:t>
      </w:r>
      <w:r w:rsidRPr="0049492A">
        <w:t>i</w:t>
      </w:r>
      <w:r w:rsidRPr="0049492A">
        <w:t xml:space="preserve">sorer anfört i avsnitt 2.2 om god insyn i förvaltningen. </w:t>
      </w:r>
    </w:p>
    <w:p w:rsidR="008D3479" w:rsidRPr="0049492A" w:rsidRDefault="008D3479">
      <w:pPr>
        <w:pStyle w:val="RubrikUtanNr3"/>
      </w:pPr>
      <w:r w:rsidRPr="0049492A">
        <w:t>Gemensamt upprättade förvaltningsplaner</w:t>
      </w:r>
    </w:p>
    <w:p w:rsidR="008D3479" w:rsidRPr="0049492A" w:rsidRDefault="008D3479">
      <w:r w:rsidRPr="0049492A">
        <w:t>Riksdagen tillkännager för regeringen som sin mening vad Riksdagens rev</w:t>
      </w:r>
      <w:r w:rsidRPr="0049492A">
        <w:t>i</w:t>
      </w:r>
      <w:r w:rsidRPr="0049492A">
        <w:t xml:space="preserve">sorer anfört i avsnitt 2.3 om gemensamt upprättade förvaltningsplaner. </w:t>
      </w:r>
    </w:p>
    <w:p w:rsidR="008D3479" w:rsidRPr="0049492A" w:rsidRDefault="008D3479">
      <w:pPr>
        <w:pStyle w:val="RubrikUtanNr3"/>
      </w:pPr>
      <w:r w:rsidRPr="0049492A">
        <w:t>Effektiviseringar i myndigheters lokalutnyttjande</w:t>
      </w:r>
    </w:p>
    <w:p w:rsidR="008D3479" w:rsidRPr="0049492A" w:rsidRDefault="008D3479">
      <w:r w:rsidRPr="0049492A">
        <w:t>Riksdagen tillkännager för regeringen som sin mening vad Riksdagens rev</w:t>
      </w:r>
      <w:r w:rsidRPr="0049492A">
        <w:t>i</w:t>
      </w:r>
      <w:r w:rsidRPr="0049492A">
        <w:t>sorer anfört i avsnitt 2.4 om effektiviseringar i myndigheters lokalutnyttja</w:t>
      </w:r>
      <w:r w:rsidRPr="0049492A">
        <w:t>n</w:t>
      </w:r>
      <w:r w:rsidRPr="0049492A">
        <w:t xml:space="preserve">de. </w:t>
      </w:r>
    </w:p>
    <w:p w:rsidR="008D3479" w:rsidRPr="0049492A" w:rsidRDefault="008D3479">
      <w:pPr>
        <w:pStyle w:val="RubrikUtanNr3"/>
      </w:pPr>
      <w:r w:rsidRPr="0049492A">
        <w:t>Expertorgan för samråd om hyressättning</w:t>
      </w:r>
    </w:p>
    <w:p w:rsidR="008D3479" w:rsidRPr="0049492A" w:rsidRDefault="008D3479">
      <w:r w:rsidRPr="0049492A">
        <w:t>Riksdagen tillkännager för regeringen som sin mening vad Riksdagens rev</w:t>
      </w:r>
      <w:r w:rsidRPr="0049492A">
        <w:t>i</w:t>
      </w:r>
      <w:r w:rsidRPr="0049492A">
        <w:t>sorer anfört i avsnitt 2.5 om ett statligt expertorgan för samråd om hyressät</w:t>
      </w:r>
      <w:r w:rsidRPr="0049492A">
        <w:t>t</w:t>
      </w:r>
      <w:r w:rsidRPr="0049492A">
        <w:t xml:space="preserve">ning. </w:t>
      </w:r>
    </w:p>
    <w:p w:rsidR="008D3479" w:rsidRPr="0049492A" w:rsidRDefault="008D3479">
      <w:r w:rsidRPr="0049492A">
        <w:t>Detta ärende har avgjorts av revisorerna i plenum. I beslutet har deltagit revisorerna Ingemar Josefsson (s), Anders G Högmark (m), Per Rosengren (v), Bengt Silfverstrand (s), Kenneth Lantz (kd), Margit Gennser (m), Karl-Gösta Svenson (m), Agneta Lundberg (s), Ann-Marie Fagerström (s), Marie Engström (v), Björn Kaaling (s) och Nils-Göran Holmqvist (s).</w:t>
      </w:r>
    </w:p>
    <w:p w:rsidR="008D3479" w:rsidRPr="0049492A" w:rsidRDefault="008D3479">
      <w:pPr>
        <w:pStyle w:val="Normaltindrag"/>
        <w:ind w:firstLine="0"/>
      </w:pPr>
    </w:p>
    <w:p w:rsidR="008D3479" w:rsidRPr="0049492A" w:rsidRDefault="008D3479">
      <w:r w:rsidRPr="0049492A">
        <w:t xml:space="preserve">Vid ärendets slutliga handläggning har vidare närvarit kanslichefen Åke Dahlberg, utredningschefen Patrick Joyce och utredaren Anna Lindgren (föredragande). </w:t>
      </w:r>
    </w:p>
    <w:p w:rsidR="008D3479" w:rsidRPr="0049492A" w:rsidRDefault="008D3479">
      <w:r w:rsidRPr="0049492A">
        <w:t>Stockholm den 13 december 2001</w:t>
      </w:r>
    </w:p>
    <w:p w:rsidR="008D3479" w:rsidRPr="0049492A" w:rsidRDefault="008D3479">
      <w:r w:rsidRPr="0049492A">
        <w:t>På Riksdagens revisorers vägnar</w:t>
      </w:r>
    </w:p>
    <w:p w:rsidR="008D3479" w:rsidRPr="0049492A" w:rsidRDefault="008D3479">
      <w:pPr>
        <w:pStyle w:val="Normaltindrag"/>
      </w:pPr>
    </w:p>
    <w:p w:rsidR="008D3479" w:rsidRPr="0049492A" w:rsidRDefault="008D3479"/>
    <w:p w:rsidR="008D3479" w:rsidRPr="0049492A" w:rsidRDefault="008D3479">
      <w:pPr>
        <w:rPr>
          <w:i/>
        </w:rPr>
      </w:pPr>
      <w:r w:rsidRPr="0049492A">
        <w:rPr>
          <w:i/>
        </w:rPr>
        <w:t>Ingemar Josefsson</w:t>
      </w:r>
    </w:p>
    <w:p w:rsidR="008D3479" w:rsidRPr="0049492A" w:rsidRDefault="008D3479">
      <w:pPr>
        <w:pStyle w:val="Normaltindrag"/>
      </w:pPr>
    </w:p>
    <w:p w:rsidR="008D3479" w:rsidRPr="0049492A" w:rsidRDefault="008D3479">
      <w:pPr>
        <w:pStyle w:val="Normaltindrag"/>
        <w:rPr>
          <w:i/>
        </w:rPr>
      </w:pPr>
    </w:p>
    <w:p w:rsidR="008D3479" w:rsidRPr="0049492A" w:rsidRDefault="008D3479">
      <w:pPr>
        <w:pStyle w:val="Normaltindrag"/>
        <w:rPr>
          <w:i/>
        </w:rPr>
      </w:pPr>
      <w:r w:rsidRPr="0049492A">
        <w:rPr>
          <w:i/>
        </w:rPr>
        <w:tab/>
      </w:r>
      <w:r w:rsidRPr="0049492A">
        <w:rPr>
          <w:i/>
        </w:rPr>
        <w:tab/>
      </w:r>
      <w:r w:rsidRPr="0049492A">
        <w:rPr>
          <w:i/>
        </w:rPr>
        <w:tab/>
        <w:t>Anna Lindgren</w:t>
      </w:r>
    </w:p>
    <w:p w:rsidR="008D3479" w:rsidRPr="0049492A" w:rsidRDefault="008D3479">
      <w:pPr>
        <w:pStyle w:val="Normaltindrag"/>
      </w:pPr>
    </w:p>
    <w:p w:rsidR="008D3479" w:rsidRPr="0049492A" w:rsidRDefault="008D3479">
      <w:pPr>
        <w:pStyle w:val="Normaltindrag"/>
        <w:sectPr w:rsidR="00000000" w:rsidRPr="0049492A">
          <w:headerReference w:type="default"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828"/>
        <w:gridCol w:w="851"/>
      </w:tblGrid>
      <w:tr w:rsidR="00000000" w:rsidRPr="0049492A">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8D3479" w:rsidRPr="0049492A" w:rsidRDefault="008D3479">
            <w:pPr>
              <w:pStyle w:val="rtal"/>
              <w:spacing w:before="1560"/>
            </w:pPr>
            <w:r w:rsidRPr="0049492A">
              <w:t>Rapport 2001/02:2</w:t>
            </w:r>
          </w:p>
        </w:tc>
        <w:tc>
          <w:tcPr>
            <w:tcW w:w="1962" w:type="dxa"/>
            <w:gridSpan w:val="2"/>
            <w:tcBorders>
              <w:bottom w:val="single" w:sz="6" w:space="0" w:color="auto"/>
            </w:tcBorders>
          </w:tcPr>
          <w:p w:rsidR="008D3479" w:rsidRPr="0049492A" w:rsidRDefault="0049492A">
            <w:pPr>
              <w:spacing w:before="0" w:line="240" w:lineRule="auto"/>
              <w:jc w:val="center"/>
            </w:pPr>
            <w:r w:rsidRPr="0049492A">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49492A">
        <w:tblPrEx>
          <w:tblCellMar>
            <w:top w:w="0" w:type="dxa"/>
            <w:bottom w:w="0" w:type="dxa"/>
          </w:tblCellMar>
        </w:tblPrEx>
        <w:trPr>
          <w:gridAfter w:val="1"/>
          <w:wAfter w:w="851" w:type="dxa"/>
          <w:cantSplit/>
          <w:trHeight w:hRule="exact" w:val="660"/>
        </w:trPr>
        <w:tc>
          <w:tcPr>
            <w:tcW w:w="3012" w:type="dxa"/>
          </w:tcPr>
          <w:p w:rsidR="008D3479" w:rsidRPr="0049492A" w:rsidRDefault="008D3479">
            <w:pPr>
              <w:pStyle w:val="StatusSida1"/>
            </w:pPr>
          </w:p>
        </w:tc>
        <w:tc>
          <w:tcPr>
            <w:tcW w:w="2445" w:type="dxa"/>
            <w:gridSpan w:val="2"/>
          </w:tcPr>
          <w:p w:rsidR="008D3479" w:rsidRPr="0049492A" w:rsidRDefault="008D3479">
            <w:pPr>
              <w:pStyle w:val="UtskriftsdatumSida1"/>
              <w:rPr>
                <w:b/>
                <w:sz w:val="28"/>
              </w:rPr>
            </w:pPr>
          </w:p>
        </w:tc>
        <w:tc>
          <w:tcPr>
            <w:tcW w:w="828" w:type="dxa"/>
          </w:tcPr>
          <w:p w:rsidR="008D3479" w:rsidRPr="0049492A" w:rsidRDefault="008D3479"/>
        </w:tc>
      </w:tr>
      <w:tr w:rsidR="00000000" w:rsidRPr="0049492A">
        <w:tblPrEx>
          <w:tblCellMar>
            <w:top w:w="0" w:type="dxa"/>
            <w:bottom w:w="0" w:type="dxa"/>
          </w:tblCellMar>
        </w:tblPrEx>
        <w:trPr>
          <w:gridAfter w:val="1"/>
          <w:wAfter w:w="851" w:type="dxa"/>
          <w:cantSplit/>
        </w:trPr>
        <w:tc>
          <w:tcPr>
            <w:tcW w:w="6285" w:type="dxa"/>
            <w:gridSpan w:val="4"/>
          </w:tcPr>
          <w:p w:rsidR="008D3479" w:rsidRPr="0049492A" w:rsidRDefault="008D3479">
            <w:pPr>
              <w:spacing w:before="240"/>
            </w:pPr>
          </w:p>
        </w:tc>
      </w:tr>
      <w:tr w:rsidR="00000000" w:rsidRPr="0049492A">
        <w:tblPrEx>
          <w:tblCellMar>
            <w:top w:w="0" w:type="dxa"/>
            <w:bottom w:w="0" w:type="dxa"/>
          </w:tblCellMar>
        </w:tblPrEx>
        <w:trPr>
          <w:gridAfter w:val="1"/>
          <w:wAfter w:w="851" w:type="dxa"/>
          <w:cantSplit/>
          <w:trHeight w:val="6000"/>
        </w:trPr>
        <w:tc>
          <w:tcPr>
            <w:tcW w:w="6285" w:type="dxa"/>
            <w:gridSpan w:val="4"/>
          </w:tcPr>
          <w:p w:rsidR="008D3479" w:rsidRPr="0049492A" w:rsidRDefault="008D3479">
            <w:pPr>
              <w:pStyle w:val="RubrikFrstaSida"/>
              <w:ind w:left="0" w:firstLine="0"/>
            </w:pPr>
            <w:bookmarkStart w:id="10" w:name="Mittenrubrik"/>
            <w:bookmarkEnd w:id="10"/>
            <w:r w:rsidRPr="0049492A">
              <w:t>Statens ändamålsfastigheter – hyressättning och förvaltning</w:t>
            </w:r>
          </w:p>
        </w:tc>
      </w:tr>
      <w:tr w:rsidR="00000000" w:rsidRPr="0049492A">
        <w:tblPrEx>
          <w:tblCellMar>
            <w:top w:w="0" w:type="dxa"/>
            <w:bottom w:w="0" w:type="dxa"/>
          </w:tblCellMar>
        </w:tblPrEx>
        <w:trPr>
          <w:cantSplit/>
          <w:trHeight w:val="480"/>
        </w:trPr>
        <w:tc>
          <w:tcPr>
            <w:tcW w:w="7136" w:type="dxa"/>
            <w:gridSpan w:val="5"/>
          </w:tcPr>
          <w:p w:rsidR="008D3479" w:rsidRPr="0049492A" w:rsidRDefault="008D3479">
            <w:pPr>
              <w:pStyle w:val="Sidfot"/>
              <w:spacing w:before="1440" w:line="240" w:lineRule="auto"/>
              <w:jc w:val="left"/>
              <w:rPr>
                <w:rFonts w:ascii="GillSans Light" w:hAnsi="GillSans Light"/>
                <w:caps/>
                <w:spacing w:val="10"/>
                <w:sz w:val="17"/>
              </w:rPr>
            </w:pPr>
            <w:r w:rsidRPr="0049492A">
              <w:rPr>
                <w:rFonts w:ascii="GillSans Light" w:hAnsi="GillSans Light"/>
                <w:caps/>
                <w:spacing w:val="6"/>
                <w:sz w:val="17"/>
              </w:rPr>
              <w:t>Riksdagens</w:t>
            </w:r>
            <w:r w:rsidRPr="0049492A">
              <w:rPr>
                <w:rFonts w:ascii="GillSans Light" w:hAnsi="GillSans Light"/>
                <w:caps/>
                <w:spacing w:val="10"/>
                <w:sz w:val="17"/>
              </w:rPr>
              <w:t xml:space="preserve"> revisorer · 100 12 STOCKHOLM · TEL 08-786 40 00 · fax 08-786 61 88</w:t>
            </w:r>
          </w:p>
          <w:p w:rsidR="008D3479" w:rsidRPr="0049492A" w:rsidRDefault="008D3479">
            <w:pPr>
              <w:spacing w:before="0" w:line="240" w:lineRule="auto"/>
              <w:rPr>
                <w:rFonts w:ascii="GillSans Light" w:hAnsi="GillSans Light"/>
                <w:spacing w:val="10"/>
              </w:rPr>
            </w:pPr>
            <w:r w:rsidRPr="0049492A">
              <w:t>www.riksdagen.se/rr</w:t>
            </w:r>
          </w:p>
        </w:tc>
      </w:tr>
    </w:tbl>
    <w:p w:rsidR="008D3479" w:rsidRPr="0049492A" w:rsidRDefault="008D3479">
      <w:pPr>
        <w:pStyle w:val="Rubrik1-Utannumrering"/>
        <w:sectPr w:rsidR="00000000" w:rsidRPr="0049492A">
          <w:headerReference w:type="default" r:id="rId12"/>
          <w:footerReference w:type="default" r:id="rId13"/>
          <w:pgSz w:w="11906" w:h="16838" w:code="9"/>
          <w:pgMar w:top="567" w:right="4876" w:bottom="4508" w:left="1134" w:header="227" w:footer="227" w:gutter="0"/>
          <w:cols w:space="720"/>
        </w:sectPr>
      </w:pPr>
      <w:bookmarkStart w:id="11" w:name="_Toc514560689"/>
      <w:bookmarkStart w:id="12" w:name="_Toc515247933"/>
      <w:bookmarkStart w:id="13" w:name="_Toc515780767"/>
      <w:bookmarkStart w:id="14" w:name="_Toc515855828"/>
      <w:bookmarkStart w:id="15" w:name="_Toc515855930"/>
      <w:bookmarkStart w:id="16" w:name="_Toc516536391"/>
      <w:bookmarkStart w:id="17" w:name="_Toc516544535"/>
      <w:bookmarkStart w:id="18" w:name="_Toc516545270"/>
      <w:bookmarkStart w:id="19" w:name="_Toc516545402"/>
      <w:bookmarkStart w:id="20" w:name="_Toc523215807"/>
      <w:bookmarkStart w:id="21" w:name="_Toc524062377"/>
      <w:bookmarkStart w:id="22" w:name="_Toc524081006"/>
      <w:bookmarkStart w:id="23" w:name="_Toc524166729"/>
      <w:bookmarkStart w:id="24" w:name="_Toc524168606"/>
      <w:bookmarkStart w:id="25" w:name="_Toc524856331"/>
      <w:bookmarkStart w:id="26" w:name="_Toc524926684"/>
      <w:bookmarkStart w:id="27" w:name="_Toc526147775"/>
      <w:bookmarkStart w:id="28" w:name="_Toc526234253"/>
      <w:bookmarkStart w:id="29" w:name="_Toc532725162"/>
    </w:p>
    <w:p w:rsidR="008D3479" w:rsidRPr="0049492A" w:rsidRDefault="008D3479">
      <w:pPr>
        <w:pStyle w:val="Rubrik1-Utannumrering"/>
      </w:pPr>
    </w:p>
    <w:p w:rsidR="008D3479" w:rsidRPr="0049492A" w:rsidRDefault="008D3479"/>
    <w:p w:rsidR="008D3479" w:rsidRPr="0049492A" w:rsidRDefault="008D3479">
      <w:pPr>
        <w:pStyle w:val="Rubrik1-Utannumrering"/>
        <w:sectPr w:rsidR="00000000" w:rsidRPr="0049492A">
          <w:headerReference w:type="default" r:id="rId14"/>
          <w:footerReference w:type="default" r:id="rId15"/>
          <w:pgSz w:w="11906" w:h="16838" w:code="9"/>
          <w:pgMar w:top="567" w:right="4876" w:bottom="4508" w:left="1134" w:header="227" w:footer="227" w:gutter="0"/>
          <w:cols w:space="720"/>
        </w:sectPr>
      </w:pPr>
    </w:p>
    <w:p w:rsidR="008D3479" w:rsidRPr="0049492A" w:rsidRDefault="008D3479">
      <w:pPr>
        <w:pStyle w:val="Rubrik1-Utannumrering"/>
      </w:pPr>
      <w:r w:rsidRPr="0049492A">
        <w:t>Förord</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8D3479" w:rsidRPr="0049492A" w:rsidRDefault="008D3479">
      <w:r w:rsidRPr="0049492A">
        <w:t>Riksdagens revisorer har genomfört en granskning av hyressättning och förvaltning av statliga ändamålsfastigheter. En ändamålsfastighet är en byggnad som är anpassad för sitt ändamål och har liten alternativ använ</w:t>
      </w:r>
      <w:r w:rsidRPr="0049492A">
        <w:t>d</w:t>
      </w:r>
      <w:r w:rsidRPr="0049492A">
        <w:t xml:space="preserve">ning. Begreppet kan dock definieras på olika sätt och det är ibland svårt att dra gränsen mellan vad som är en ändamålsfastighet och inte. </w:t>
      </w:r>
    </w:p>
    <w:p w:rsidR="008D3479" w:rsidRPr="0049492A" w:rsidRDefault="008D3479">
      <w:pPr>
        <w:pStyle w:val="Normaltindrag"/>
      </w:pPr>
      <w:r w:rsidRPr="0049492A">
        <w:t>Granskningen har i första hand inriktats på hur riksdagens riktlinjer för h</w:t>
      </w:r>
      <w:r w:rsidRPr="0049492A">
        <w:t>y</w:t>
      </w:r>
      <w:r w:rsidRPr="0049492A">
        <w:t>ressättning och förvaltning av ändamålsfastigheter tillämpas, samt på hur hyresgästerna tycker att det fungerar. Rapporten omfattar Statens fastighet</w:t>
      </w:r>
      <w:r w:rsidRPr="0049492A">
        <w:t>s</w:t>
      </w:r>
      <w:r w:rsidRPr="0049492A">
        <w:t xml:space="preserve">verk, Fortifikationsverket, Akademiska Hus AB och Specialfastigheter AB. </w:t>
      </w:r>
    </w:p>
    <w:p w:rsidR="008D3479" w:rsidRPr="0049492A" w:rsidRDefault="008D3479">
      <w:pPr>
        <w:pStyle w:val="Normaltindrag"/>
      </w:pPr>
      <w:r w:rsidRPr="0049492A">
        <w:t>Revisorernas andra avdelning har bedrivit granskningen. I avdelningen i</w:t>
      </w:r>
      <w:r w:rsidRPr="0049492A">
        <w:t>n</w:t>
      </w:r>
      <w:r w:rsidRPr="0049492A">
        <w:t>går riksdagsledamöterna Per Rosengren (v), ordförande, Bengt Silfverstrand (s), vice ordförande, Margit Gennser (m), Hans Stenberg (s), Nils-Göran Holmqvist (s), Ulla Wester (s), Lennart Hedquist (m) och Rolf Ol</w:t>
      </w:r>
      <w:r w:rsidRPr="0049492A">
        <w:t>s</w:t>
      </w:r>
      <w:r w:rsidRPr="0049492A">
        <w:t xml:space="preserve">son (v). </w:t>
      </w:r>
    </w:p>
    <w:p w:rsidR="008D3479" w:rsidRPr="0049492A" w:rsidRDefault="008D3479">
      <w:pPr>
        <w:pStyle w:val="Normaltindrag"/>
      </w:pPr>
      <w:r w:rsidRPr="0049492A">
        <w:t>Inom revisorernas kansli har utredare Anna Lindgren haft ansvaret för u</w:t>
      </w:r>
      <w:r w:rsidRPr="0049492A">
        <w:t>t</w:t>
      </w:r>
      <w:r w:rsidRPr="0049492A">
        <w:t xml:space="preserve">redningsarbetet. Även kanslichef Åke Dahlberg och utredningschef Patrick Joyce har deltagit i arbetet. </w:t>
      </w:r>
    </w:p>
    <w:p w:rsidR="008D3479" w:rsidRPr="0049492A" w:rsidRDefault="008D3479">
      <w:pPr>
        <w:pStyle w:val="Normaltindrag"/>
      </w:pPr>
      <w:r w:rsidRPr="0049492A">
        <w:t>Beslut om rapporten har fattats av revisorerna i plenum den 27 september 2001. Rapporten sänds nu på remiss till berörda myndigheter och bolag. Revisorernas slutliga ställningstagande och förslag kommer därefter att u</w:t>
      </w:r>
      <w:r w:rsidRPr="0049492A">
        <w:t>t</w:t>
      </w:r>
      <w:r w:rsidRPr="0049492A">
        <w:t xml:space="preserve">formas i en skrivelse till riksdagen. </w:t>
      </w:r>
    </w:p>
    <w:p w:rsidR="008D3479" w:rsidRPr="0049492A" w:rsidRDefault="008D3479"/>
    <w:p w:rsidR="008D3479" w:rsidRPr="0049492A" w:rsidRDefault="008D3479">
      <w:pPr>
        <w:sectPr w:rsidR="00000000" w:rsidRPr="0049492A">
          <w:headerReference w:type="default" r:id="rId16"/>
          <w:footerReference w:type="default" r:id="rId17"/>
          <w:pgSz w:w="11906" w:h="16838" w:code="9"/>
          <w:pgMar w:top="567" w:right="4876" w:bottom="4508" w:left="1134" w:header="227" w:footer="227" w:gutter="0"/>
          <w:cols w:space="720"/>
        </w:sectPr>
      </w:pPr>
    </w:p>
    <w:p w:rsidR="008D3479" w:rsidRPr="0049492A" w:rsidRDefault="008D3479"/>
    <w:p w:rsidR="008D3479" w:rsidRPr="0049492A" w:rsidRDefault="008D3479">
      <w:pPr>
        <w:pStyle w:val="Normaltindrag"/>
      </w:pPr>
    </w:p>
    <w:p w:rsidR="008D3479" w:rsidRPr="0049492A" w:rsidRDefault="008D3479">
      <w:pPr>
        <w:sectPr w:rsidR="00000000" w:rsidRPr="0049492A">
          <w:headerReference w:type="default" r:id="rId18"/>
          <w:footerReference w:type="default" r:id="rId19"/>
          <w:pgSz w:w="11906" w:h="16838" w:code="9"/>
          <w:pgMar w:top="567" w:right="4876" w:bottom="4508" w:left="1134" w:header="227" w:footer="227" w:gutter="0"/>
          <w:cols w:space="720"/>
        </w:sectPr>
      </w:pPr>
    </w:p>
    <w:p w:rsidR="008D3479" w:rsidRPr="0049492A" w:rsidRDefault="008D3479">
      <w:r w:rsidRPr="0049492A">
        <w:t xml:space="preserve"> </w:t>
      </w:r>
    </w:p>
    <w:p w:rsidR="008D3479" w:rsidRPr="0049492A" w:rsidRDefault="008D3479">
      <w:pPr>
        <w:pStyle w:val="Rubrik1-Utannumrering"/>
      </w:pPr>
      <w:bookmarkStart w:id="30" w:name="_Toc524062379"/>
      <w:bookmarkStart w:id="31" w:name="_Toc524081008"/>
      <w:bookmarkStart w:id="32" w:name="_Toc524166731"/>
      <w:bookmarkStart w:id="33" w:name="_Toc524168608"/>
      <w:bookmarkStart w:id="34" w:name="_Toc524856333"/>
      <w:bookmarkStart w:id="35" w:name="_Toc524926686"/>
      <w:bookmarkStart w:id="36" w:name="_Toc526147777"/>
      <w:bookmarkStart w:id="37" w:name="_Toc526234255"/>
      <w:bookmarkStart w:id="38" w:name="_Toc532725163"/>
      <w:r w:rsidRPr="0049492A">
        <w:t>Sammanfattning</w:t>
      </w:r>
      <w:bookmarkEnd w:id="30"/>
      <w:bookmarkEnd w:id="31"/>
      <w:bookmarkEnd w:id="32"/>
      <w:bookmarkEnd w:id="33"/>
      <w:bookmarkEnd w:id="34"/>
      <w:bookmarkEnd w:id="35"/>
      <w:bookmarkEnd w:id="36"/>
      <w:bookmarkEnd w:id="37"/>
      <w:bookmarkEnd w:id="38"/>
    </w:p>
    <w:p w:rsidR="008D3479" w:rsidRPr="0049492A" w:rsidRDefault="008D3479">
      <w:r w:rsidRPr="0049492A">
        <w:t>Riksdagens revisorers granskning gäller hyressättningen och förvaltningen av statens ändamålsfastigheter. Revisorerna har uppfattat signaler på att systemet för fastighetsförvaltningen inte fungerat helt tillfredsställande efter den fastighetsreform som genomfördes 1993. Granskningen är riktad mot hur fastighetsförvaltarna tillämpar riksdagens principer för hyressättning, hur förvaltningen bedrivs och uppfattas av hyresgästerna, samt hur systemet för anslag och kompensation till my</w:t>
      </w:r>
      <w:r w:rsidRPr="0049492A">
        <w:t>n</w:t>
      </w:r>
      <w:r w:rsidRPr="0049492A">
        <w:t xml:space="preserve">digheter som hyr fastigheter fungerar. </w:t>
      </w:r>
    </w:p>
    <w:p w:rsidR="008D3479" w:rsidRPr="0049492A" w:rsidRDefault="008D3479">
      <w:pPr>
        <w:pStyle w:val="Rubrik2-Utannumrering"/>
      </w:pPr>
      <w:bookmarkStart w:id="39" w:name="_Toc524062380"/>
      <w:bookmarkStart w:id="40" w:name="_Toc524081009"/>
      <w:bookmarkStart w:id="41" w:name="_Toc524166732"/>
      <w:bookmarkStart w:id="42" w:name="_Toc524168609"/>
      <w:bookmarkStart w:id="43" w:name="_Toc524856334"/>
      <w:bookmarkStart w:id="44" w:name="_Toc524926687"/>
      <w:bookmarkStart w:id="45" w:name="_Toc526147778"/>
      <w:bookmarkStart w:id="46" w:name="_Toc526234256"/>
      <w:bookmarkStart w:id="47" w:name="_Toc532725164"/>
      <w:r w:rsidRPr="0049492A">
        <w:t>Förändringar i fastighetsförvaltningen</w:t>
      </w:r>
      <w:bookmarkEnd w:id="39"/>
      <w:bookmarkEnd w:id="40"/>
      <w:bookmarkEnd w:id="41"/>
      <w:bookmarkEnd w:id="42"/>
      <w:bookmarkEnd w:id="43"/>
      <w:bookmarkEnd w:id="44"/>
      <w:bookmarkEnd w:id="45"/>
      <w:bookmarkEnd w:id="46"/>
      <w:bookmarkEnd w:id="47"/>
    </w:p>
    <w:p w:rsidR="008D3479" w:rsidRPr="0049492A" w:rsidRDefault="008D3479">
      <w:r w:rsidRPr="0049492A">
        <w:t>Den statliga fastighetsförvaltningen reformerades i slutet av 1980-talet och början av 1990-talet. Syftet var att effektivisera resursanvändningen och förmögenhetsförvaltningen. Styrningen av myndigheter blev mer mål- och resultatinriktad. Ansvaret för bl.a. lokalförsörjningen delegerades till my</w:t>
      </w:r>
      <w:r w:rsidRPr="0049492A">
        <w:t>n</w:t>
      </w:r>
      <w:r w:rsidRPr="0049492A">
        <w:t>digheterna. Fastighetsförvaltningen fick en ny organisation år 1993. Riksd</w:t>
      </w:r>
      <w:r w:rsidRPr="0049492A">
        <w:t>a</w:t>
      </w:r>
      <w:r w:rsidRPr="0049492A">
        <w:t>gens riktlinjer för den statliga fastighetsförvaltningen från år 1991 anger bl.a. att förvaltning och brukande av fastigheter ska vara åtskilda, att en mer rät</w:t>
      </w:r>
      <w:r w:rsidRPr="0049492A">
        <w:t>t</w:t>
      </w:r>
      <w:r w:rsidRPr="0049492A">
        <w:t xml:space="preserve">visande kostnadsbild i statsbudgeten ska eftersträvas, att avkastningskravet ska vara marknadsmässigt och att statens ägarroll bör renodlas. </w:t>
      </w:r>
    </w:p>
    <w:p w:rsidR="008D3479" w:rsidRPr="0049492A" w:rsidRDefault="008D3479">
      <w:pPr>
        <w:pStyle w:val="Rubrik2-Utannumrering"/>
      </w:pPr>
      <w:bookmarkStart w:id="48" w:name="_Toc524062381"/>
      <w:bookmarkStart w:id="49" w:name="_Toc524081010"/>
      <w:bookmarkStart w:id="50" w:name="_Toc524166733"/>
      <w:bookmarkStart w:id="51" w:name="_Toc524168610"/>
      <w:bookmarkStart w:id="52" w:name="_Toc524856335"/>
      <w:bookmarkStart w:id="53" w:name="_Toc524926688"/>
      <w:bookmarkStart w:id="54" w:name="_Toc526147779"/>
      <w:bookmarkStart w:id="55" w:name="_Toc526234257"/>
      <w:bookmarkStart w:id="56" w:name="_Toc532725165"/>
      <w:r w:rsidRPr="0049492A">
        <w:t>Utvärderingar av reformen</w:t>
      </w:r>
      <w:bookmarkEnd w:id="48"/>
      <w:bookmarkEnd w:id="49"/>
      <w:bookmarkEnd w:id="50"/>
      <w:bookmarkEnd w:id="51"/>
      <w:bookmarkEnd w:id="52"/>
      <w:bookmarkEnd w:id="53"/>
      <w:bookmarkEnd w:id="54"/>
      <w:bookmarkEnd w:id="55"/>
      <w:bookmarkEnd w:id="56"/>
    </w:p>
    <w:p w:rsidR="008D3479" w:rsidRPr="0049492A" w:rsidRDefault="008D3479">
      <w:r w:rsidRPr="0049492A">
        <w:t>Reformen som helhet fungerade bra, men medförde också en del problem. Statens lokalförsörjningsverk kritiserade i en utvärdering år 1995 hur änd</w:t>
      </w:r>
      <w:r w:rsidRPr="0049492A">
        <w:t>a</w:t>
      </w:r>
      <w:r w:rsidRPr="0049492A">
        <w:t>målsfastigheter hanterades i det nya systemet. Verket kritiserade bl.a. otydl</w:t>
      </w:r>
      <w:r w:rsidRPr="0049492A">
        <w:t>i</w:t>
      </w:r>
      <w:r w:rsidRPr="0049492A">
        <w:t>ga pri</w:t>
      </w:r>
      <w:r w:rsidRPr="0049492A">
        <w:t>n</w:t>
      </w:r>
      <w:r w:rsidRPr="0049492A">
        <w:t xml:space="preserve">ciper för hyressättning och bristande styrning från regeringen. </w:t>
      </w:r>
    </w:p>
    <w:p w:rsidR="008D3479" w:rsidRPr="0049492A" w:rsidRDefault="008D3479">
      <w:pPr>
        <w:pStyle w:val="Normaltindrag"/>
      </w:pPr>
      <w:r w:rsidRPr="0049492A">
        <w:t>En utredning av statens fastighetsorganisation som gjordes år 1997 kritis</w:t>
      </w:r>
      <w:r w:rsidRPr="0049492A">
        <w:t>e</w:t>
      </w:r>
      <w:r w:rsidRPr="0049492A">
        <w:t xml:space="preserve">rade att det saknades tydliga ägardirektiv och spelregler för samspelet mellan parterna i ändamålsfastigheter, samt att det rådde bristande öppenhet om grunderna för hyressättning. </w:t>
      </w:r>
    </w:p>
    <w:p w:rsidR="008D3479" w:rsidRPr="0049492A" w:rsidRDefault="008D3479">
      <w:pPr>
        <w:pStyle w:val="Normaltindrag"/>
      </w:pPr>
      <w:r w:rsidRPr="0049492A">
        <w:t>Riksdagens revisorer ifrågasatte i en rapport år 1995 lämpligheten i att a</w:t>
      </w:r>
      <w:r w:rsidRPr="0049492A">
        <w:t>n</w:t>
      </w:r>
      <w:r w:rsidRPr="0049492A">
        <w:t xml:space="preserve">vända marknadsekonomiska principer för lokaler som saknar marknad. </w:t>
      </w:r>
    </w:p>
    <w:p w:rsidR="008D3479" w:rsidRPr="0049492A" w:rsidRDefault="008D3479">
      <w:pPr>
        <w:pStyle w:val="Rubrik2-Utannumrering"/>
      </w:pPr>
      <w:bookmarkStart w:id="57" w:name="_Toc524062382"/>
      <w:bookmarkStart w:id="58" w:name="_Toc524081011"/>
      <w:bookmarkStart w:id="59" w:name="_Toc524166734"/>
      <w:bookmarkStart w:id="60" w:name="_Toc524168611"/>
      <w:bookmarkStart w:id="61" w:name="_Toc524856336"/>
      <w:bookmarkStart w:id="62" w:name="_Toc524926689"/>
      <w:bookmarkStart w:id="63" w:name="_Toc526147780"/>
      <w:bookmarkStart w:id="64" w:name="_Toc526234258"/>
      <w:bookmarkStart w:id="65" w:name="_Toc532725166"/>
      <w:r w:rsidRPr="0049492A">
        <w:t>Vissa förändringar av reformen</w:t>
      </w:r>
      <w:bookmarkEnd w:id="57"/>
      <w:bookmarkEnd w:id="58"/>
      <w:bookmarkEnd w:id="59"/>
      <w:bookmarkEnd w:id="60"/>
      <w:bookmarkEnd w:id="61"/>
      <w:bookmarkEnd w:id="62"/>
      <w:bookmarkEnd w:id="63"/>
      <w:bookmarkEnd w:id="64"/>
      <w:bookmarkEnd w:id="65"/>
    </w:p>
    <w:p w:rsidR="008D3479" w:rsidRPr="0049492A" w:rsidRDefault="008D3479">
      <w:r w:rsidRPr="0049492A">
        <w:t>Med anledning av den kritik som kom fram antog riksdagen i ett betänkande från 1998 ytterligare riktlinjer för hur förvaltningen av statens ändamålsfa</w:t>
      </w:r>
      <w:r w:rsidRPr="0049492A">
        <w:t>s</w:t>
      </w:r>
      <w:r w:rsidRPr="0049492A">
        <w:t>tigheter ska bedrivas. Riksdagen slog fast följande.</w:t>
      </w:r>
    </w:p>
    <w:p w:rsidR="008D3479" w:rsidRPr="0049492A" w:rsidRDefault="008D3479">
      <w:pPr>
        <w:pStyle w:val="Normaltindrag"/>
        <w:numPr>
          <w:ilvl w:val="0"/>
          <w:numId w:val="50"/>
        </w:numPr>
      </w:pPr>
      <w:r w:rsidRPr="0049492A">
        <w:t>Hyreskontrakten ska utformas i förhandlingar me</w:t>
      </w:r>
      <w:r w:rsidRPr="0049492A">
        <w:t>l</w:t>
      </w:r>
      <w:r w:rsidRPr="0049492A">
        <w:t xml:space="preserve">lan parterna. </w:t>
      </w:r>
    </w:p>
    <w:p w:rsidR="008D3479" w:rsidRPr="0049492A" w:rsidRDefault="008D3479">
      <w:pPr>
        <w:pStyle w:val="Normaltindrag"/>
        <w:numPr>
          <w:ilvl w:val="0"/>
          <w:numId w:val="50"/>
        </w:numPr>
      </w:pPr>
      <w:r w:rsidRPr="0049492A">
        <w:t xml:space="preserve">Självkostnad är den naturliga utgångspunkten för hyressättning när hyresgästen har begränsade alternativ och är beroende av en statlig hyresvärd. </w:t>
      </w:r>
    </w:p>
    <w:p w:rsidR="008D3479" w:rsidRPr="0049492A" w:rsidRDefault="008D3479">
      <w:pPr>
        <w:pStyle w:val="Normaltindrag"/>
        <w:numPr>
          <w:ilvl w:val="0"/>
          <w:numId w:val="50"/>
        </w:numPr>
      </w:pPr>
      <w:r w:rsidRPr="0049492A">
        <w:t>Fastighetsförvaltare av ändamålsfastigheter ska stödja hyresgästernas verksamhet genom att uppfylla ett antal villkor, bl.a. att tillåta god i</w:t>
      </w:r>
      <w:r w:rsidRPr="0049492A">
        <w:t>n</w:t>
      </w:r>
      <w:r w:rsidRPr="0049492A">
        <w:t>syn i förvaltningen och att tillsammans med hyresgästen upprätta fö</w:t>
      </w:r>
      <w:r w:rsidRPr="0049492A">
        <w:t>r</w:t>
      </w:r>
      <w:r w:rsidRPr="0049492A">
        <w:t xml:space="preserve">valtningsplaner. </w:t>
      </w:r>
    </w:p>
    <w:p w:rsidR="008D3479" w:rsidRPr="0049492A" w:rsidRDefault="008D3479">
      <w:pPr>
        <w:pStyle w:val="Normaltindrag"/>
        <w:numPr>
          <w:ilvl w:val="0"/>
          <w:numId w:val="50"/>
        </w:numPr>
      </w:pPr>
      <w:r w:rsidRPr="0049492A">
        <w:t>Fastighetsförvaltningen ska bedrivas kostnadse</w:t>
      </w:r>
      <w:r w:rsidRPr="0049492A">
        <w:t>f</w:t>
      </w:r>
      <w:r w:rsidRPr="0049492A">
        <w:t xml:space="preserve">fektivt. </w:t>
      </w:r>
    </w:p>
    <w:p w:rsidR="008D3479" w:rsidRPr="0049492A" w:rsidRDefault="008D3479">
      <w:pPr>
        <w:pStyle w:val="Rubrik2-Utannumrering"/>
      </w:pPr>
      <w:bookmarkStart w:id="66" w:name="_Toc524062383"/>
      <w:bookmarkStart w:id="67" w:name="_Toc524081012"/>
      <w:bookmarkStart w:id="68" w:name="_Toc524166735"/>
      <w:bookmarkStart w:id="69" w:name="_Toc524168612"/>
      <w:bookmarkStart w:id="70" w:name="_Toc524856337"/>
      <w:bookmarkStart w:id="71" w:name="_Toc524926690"/>
      <w:bookmarkStart w:id="72" w:name="_Toc526147781"/>
      <w:bookmarkStart w:id="73" w:name="_Toc526234259"/>
      <w:bookmarkStart w:id="74" w:name="_Toc532725167"/>
      <w:r w:rsidRPr="0049492A">
        <w:t>Regeringens styrning och fastighetsförvaltarnas tillämpning</w:t>
      </w:r>
      <w:bookmarkEnd w:id="66"/>
      <w:bookmarkEnd w:id="67"/>
      <w:bookmarkEnd w:id="68"/>
      <w:bookmarkEnd w:id="69"/>
      <w:bookmarkEnd w:id="70"/>
      <w:bookmarkEnd w:id="71"/>
      <w:bookmarkEnd w:id="72"/>
      <w:bookmarkEnd w:id="73"/>
      <w:bookmarkEnd w:id="74"/>
    </w:p>
    <w:p w:rsidR="008D3479" w:rsidRPr="0049492A" w:rsidRDefault="008D3479">
      <w:r w:rsidRPr="0049492A">
        <w:t xml:space="preserve">Finansdepartementet ansvarar för styrningen av statens fastighetsförvaltande verk och bolag på regeringens vägnar. I revisorernas granskning har kommit fram att regeringen inte har fört vidare flera av de riktlinjer som riksdagen slagit fast till de berörda verken och bolagen. </w:t>
      </w:r>
    </w:p>
    <w:p w:rsidR="008D3479" w:rsidRPr="0049492A" w:rsidRDefault="008D3479">
      <w:r w:rsidRPr="0049492A">
        <w:t>Riksdagens uttalande om att självkostnadshyra är en naturlig utgångspunkt när hyresgästen har begränsade alternativ återges ingenstans i regeringens styrdokument. Fastighetsförvaltarna är fria att utforma den hyresmodell som ska tillämpas och de tillämpar sinsemellan olika hyresmodeller. Däremot tillämpar varje bolag eller myndighet i stort samma hyresmodell för alla sina fastigheter, oberoende av fastighetens karaktär. Regeringen har inte inklud</w:t>
      </w:r>
      <w:r w:rsidRPr="0049492A">
        <w:t>e</w:t>
      </w:r>
      <w:r w:rsidRPr="0049492A">
        <w:t>rat riksdagens mening att parterna bör förhandla om hyreskontraktets u</w:t>
      </w:r>
      <w:r w:rsidRPr="0049492A">
        <w:t>t</w:t>
      </w:r>
      <w:r w:rsidRPr="0049492A">
        <w:t>formning. Fastighetsförvaltarna förhandlar inte heller om vilken modell för hyressättning som ska ti</w:t>
      </w:r>
      <w:r w:rsidRPr="0049492A">
        <w:t>l</w:t>
      </w:r>
      <w:r w:rsidRPr="0049492A">
        <w:t xml:space="preserve">lämpas. </w:t>
      </w:r>
    </w:p>
    <w:p w:rsidR="008D3479" w:rsidRPr="0049492A" w:rsidRDefault="008D3479">
      <w:pPr>
        <w:pStyle w:val="Normaltindrag"/>
      </w:pPr>
      <w:r w:rsidRPr="0049492A">
        <w:t>Regeringen har inte vidarebefordrat riksdagens uppfattning att hyresgä</w:t>
      </w:r>
      <w:r w:rsidRPr="0049492A">
        <w:t>s</w:t>
      </w:r>
      <w:r w:rsidRPr="0049492A">
        <w:t xml:space="preserve">terna ska ha god insyn i förvaltningen. De fastighetsförvaltare som tillämpar marknadshyror redovisar inte förvaltningskostnaderna. De som tillämpar kostnadshyra har en mer öppen redovisning av förvaltningskostnader. </w:t>
      </w:r>
    </w:p>
    <w:p w:rsidR="008D3479" w:rsidRPr="0049492A" w:rsidRDefault="008D3479">
      <w:pPr>
        <w:pStyle w:val="Normaltindrag"/>
      </w:pPr>
      <w:r w:rsidRPr="0049492A">
        <w:t>Regeringen har inte instruerat om att förvaltningsplaner ska upprättas gemensamt av parterna. Underhållsplaner upprättas genomgående av fasti</w:t>
      </w:r>
      <w:r w:rsidRPr="0049492A">
        <w:t>g</w:t>
      </w:r>
      <w:r w:rsidRPr="0049492A">
        <w:t>hetsförvaltarna, med varierande medverkan av hyresgästerna.</w:t>
      </w:r>
    </w:p>
    <w:p w:rsidR="008D3479" w:rsidRPr="0049492A" w:rsidRDefault="008D3479">
      <w:pPr>
        <w:pStyle w:val="Normaltindrag"/>
      </w:pPr>
      <w:r w:rsidRPr="0049492A">
        <w:t>Statlig fastighetsförvaltning ska bedrivas kostnadseffektivt. Regeringens krav på hur detta ska redovisas är ofta på en övergripande nivå. Interna kos</w:t>
      </w:r>
      <w:r w:rsidRPr="0049492A">
        <w:t>t</w:t>
      </w:r>
      <w:r w:rsidRPr="0049492A">
        <w:t xml:space="preserve">nadsjämförelser med extern statistik förekommer, men redovisas i begränsad omfattning för hyresgäster och regering. Fastighetsförvaltarnas uppköp av drift- och underhållsarbete varierar. Underhållstjänster köps dock upp i högre grad än driftarbete.  </w:t>
      </w:r>
    </w:p>
    <w:p w:rsidR="008D3479" w:rsidRPr="0049492A" w:rsidRDefault="008D3479">
      <w:pPr>
        <w:pStyle w:val="Rubrik2-Utannumrering"/>
      </w:pPr>
      <w:bookmarkStart w:id="75" w:name="_Toc524062384"/>
      <w:bookmarkStart w:id="76" w:name="_Toc524081013"/>
      <w:bookmarkStart w:id="77" w:name="_Toc524166736"/>
      <w:bookmarkStart w:id="78" w:name="_Toc524168613"/>
      <w:bookmarkStart w:id="79" w:name="_Toc524856338"/>
      <w:bookmarkStart w:id="80" w:name="_Toc524926691"/>
      <w:bookmarkStart w:id="81" w:name="_Toc526147782"/>
      <w:bookmarkStart w:id="82" w:name="_Toc526234260"/>
      <w:bookmarkStart w:id="83" w:name="_Toc532725168"/>
      <w:r w:rsidRPr="0049492A">
        <w:t>Hyresgästernas uppfattning</w:t>
      </w:r>
      <w:bookmarkEnd w:id="75"/>
      <w:bookmarkEnd w:id="76"/>
      <w:bookmarkEnd w:id="77"/>
      <w:bookmarkEnd w:id="78"/>
      <w:bookmarkEnd w:id="79"/>
      <w:bookmarkEnd w:id="80"/>
      <w:bookmarkEnd w:id="81"/>
      <w:bookmarkEnd w:id="82"/>
      <w:bookmarkEnd w:id="83"/>
    </w:p>
    <w:p w:rsidR="008D3479" w:rsidRPr="0049492A" w:rsidRDefault="008D3479">
      <w:r w:rsidRPr="0049492A">
        <w:t>Många av de hyresgäster som revisorerna intervjuat i granskningen kritiserar bristande insyn i förvaltningen och oklara förutsättningar för hyressättningen. Oenighet kring om marknads- eller kostnadsbaserad hyra ska gälla har up</w:t>
      </w:r>
      <w:r w:rsidRPr="0049492A">
        <w:t>p</w:t>
      </w:r>
      <w:r w:rsidRPr="0049492A">
        <w:t>stått i vissa fall. Hyresgästerna kan inte påverka vilken modell för hyressät</w:t>
      </w:r>
      <w:r w:rsidRPr="0049492A">
        <w:t>t</w:t>
      </w:r>
      <w:r w:rsidRPr="0049492A">
        <w:t xml:space="preserve">ning som ska gälla. </w:t>
      </w:r>
    </w:p>
    <w:p w:rsidR="008D3479" w:rsidRPr="0049492A" w:rsidRDefault="008D3479">
      <w:pPr>
        <w:pStyle w:val="Normaltindrag"/>
      </w:pPr>
      <w:r w:rsidRPr="0049492A">
        <w:t>De flesta hyresgäster är dock relativt nöjda med sin statliga hyresvärd som fastighetsförvaltare. Hur väl definierat ansvaret för olika åtgärder är varierar mellan olika förvaltare. Underhållsplaner upprättas, men inte alltid geme</w:t>
      </w:r>
      <w:r w:rsidRPr="0049492A">
        <w:t>n</w:t>
      </w:r>
      <w:r w:rsidRPr="0049492A">
        <w:t xml:space="preserve">samt och hyresgästerna anser inte alltid att dessa fyller sin funktion. </w:t>
      </w:r>
    </w:p>
    <w:p w:rsidR="008D3479" w:rsidRPr="0049492A" w:rsidRDefault="008D3479">
      <w:pPr>
        <w:pStyle w:val="Rubrik2-Utannumrering"/>
      </w:pPr>
      <w:bookmarkStart w:id="84" w:name="_Toc524062385"/>
      <w:bookmarkStart w:id="85" w:name="_Toc524081014"/>
      <w:bookmarkStart w:id="86" w:name="_Toc524166737"/>
      <w:bookmarkStart w:id="87" w:name="_Toc524168614"/>
      <w:bookmarkStart w:id="88" w:name="_Toc524856339"/>
      <w:bookmarkStart w:id="89" w:name="_Toc524926692"/>
      <w:bookmarkStart w:id="90" w:name="_Toc526147783"/>
      <w:bookmarkStart w:id="91" w:name="_Toc526234261"/>
      <w:bookmarkStart w:id="92" w:name="_Toc532725169"/>
      <w:r w:rsidRPr="0049492A">
        <w:t>Brister i anslagssystemet</w:t>
      </w:r>
      <w:bookmarkEnd w:id="84"/>
      <w:bookmarkEnd w:id="85"/>
      <w:bookmarkEnd w:id="86"/>
      <w:bookmarkEnd w:id="87"/>
      <w:bookmarkEnd w:id="88"/>
      <w:bookmarkEnd w:id="89"/>
      <w:bookmarkEnd w:id="90"/>
      <w:bookmarkEnd w:id="91"/>
      <w:bookmarkEnd w:id="92"/>
    </w:p>
    <w:p w:rsidR="008D3479" w:rsidRPr="0049492A" w:rsidRDefault="008D3479">
      <w:r w:rsidRPr="0049492A">
        <w:t>När myndigheterna fick ansvar för sin lokalförsörjning justerade regeringen anslagen så att de skulle täcka lokalkostnaderna. Anslagsbasen för lokalkos</w:t>
      </w:r>
      <w:r w:rsidRPr="0049492A">
        <w:t>t</w:t>
      </w:r>
      <w:r w:rsidRPr="0049492A">
        <w:t>nader baserades på myndigheternas faktiska lokalutnyttjande och lokalkos</w:t>
      </w:r>
      <w:r w:rsidRPr="0049492A">
        <w:t>t</w:t>
      </w:r>
      <w:r w:rsidRPr="0049492A">
        <w:t>nader. Någon bedömning av myndigheternas lokalbehov gjordes inte. Det innebar en fördel för de myndigheter som hade stora och dyra lokaler när reformen genomfördes och motsvarande nackdel för myndigheter med min</w:t>
      </w:r>
      <w:r w:rsidRPr="0049492A">
        <w:t>d</w:t>
      </w:r>
      <w:r w:rsidRPr="0049492A">
        <w:t>re och billigare lokaler.</w:t>
      </w:r>
    </w:p>
    <w:p w:rsidR="008D3479" w:rsidRPr="0049492A" w:rsidRDefault="008D3479">
      <w:pPr>
        <w:pStyle w:val="Normaltindrag"/>
      </w:pPr>
      <w:r w:rsidRPr="0049492A">
        <w:t>Anslagssystemet ska kompensera myndigheten för den allmänna prisu</w:t>
      </w:r>
      <w:r w:rsidRPr="0049492A">
        <w:t>t</w:t>
      </w:r>
      <w:r w:rsidRPr="0049492A">
        <w:t>vecklingen i samhället, så att dess köpkraft inte förändras. Kompensationss</w:t>
      </w:r>
      <w:r w:rsidRPr="0049492A">
        <w:t>y</w:t>
      </w:r>
      <w:r w:rsidRPr="0049492A">
        <w:t>stemet fungerar dock inte som avsett för myndigheter i ändamålsfastigheter. Hyrorna för många ändamålsfastigheter är marknadsanspassade, men ansl</w:t>
      </w:r>
      <w:r w:rsidRPr="0049492A">
        <w:t>a</w:t>
      </w:r>
      <w:r w:rsidRPr="0049492A">
        <w:t>gen justeras inte efter utvecklingen av marknadshyror. De berörda myndi</w:t>
      </w:r>
      <w:r w:rsidRPr="0049492A">
        <w:t>g</w:t>
      </w:r>
      <w:r w:rsidRPr="0049492A">
        <w:t>heterna får därmed inte kompensation för sina ökade hyror som det u</w:t>
      </w:r>
      <w:r w:rsidRPr="0049492A">
        <w:t>r</w:t>
      </w:r>
      <w:r w:rsidRPr="0049492A">
        <w:t xml:space="preserve">sprungligen var tänkt. </w:t>
      </w:r>
    </w:p>
    <w:p w:rsidR="008D3479" w:rsidRPr="0049492A" w:rsidRDefault="008D3479">
      <w:pPr>
        <w:pStyle w:val="Normaltindrag"/>
      </w:pPr>
      <w:r w:rsidRPr="0049492A">
        <w:t xml:space="preserve">En myndighet kan minska sina lokalkostnader utan att anslaget för nästa år minskar. Om de sänkta lokalkostnaderna leder till </w:t>
      </w:r>
      <w:r w:rsidRPr="0049492A">
        <w:t>ett för stort anslagsspara</w:t>
      </w:r>
      <w:r w:rsidRPr="0049492A">
        <w:t>n</w:t>
      </w:r>
      <w:r w:rsidRPr="0049492A">
        <w:t xml:space="preserve">de krävs regeringens godkännande för att myndigheten ska kunna behålla de frigjorda resurserna. Regeringen godkänner ett utökat anslagssparande om argumenten för det bedöms som goda. </w:t>
      </w:r>
    </w:p>
    <w:p w:rsidR="008D3479" w:rsidRPr="0049492A" w:rsidRDefault="008D3479">
      <w:pPr>
        <w:pStyle w:val="Rubrik2-Utannumrering"/>
      </w:pPr>
      <w:bookmarkStart w:id="93" w:name="_Toc524062386"/>
      <w:bookmarkStart w:id="94" w:name="_Toc524081015"/>
      <w:bookmarkStart w:id="95" w:name="_Toc524166738"/>
      <w:bookmarkStart w:id="96" w:name="_Toc524168615"/>
      <w:bookmarkStart w:id="97" w:name="_Toc524856340"/>
      <w:bookmarkStart w:id="98" w:name="_Toc524926693"/>
      <w:bookmarkStart w:id="99" w:name="_Toc526147784"/>
      <w:bookmarkStart w:id="100" w:name="_Toc526234262"/>
      <w:bookmarkStart w:id="101" w:name="_Toc532725170"/>
      <w:r w:rsidRPr="0049492A">
        <w:t>Nya hyror för vissa kulturinstitutioner</w:t>
      </w:r>
      <w:bookmarkEnd w:id="93"/>
      <w:bookmarkEnd w:id="94"/>
      <w:bookmarkEnd w:id="95"/>
      <w:bookmarkEnd w:id="96"/>
      <w:bookmarkEnd w:id="97"/>
      <w:bookmarkEnd w:id="98"/>
      <w:bookmarkEnd w:id="99"/>
      <w:bookmarkEnd w:id="100"/>
      <w:bookmarkEnd w:id="101"/>
    </w:p>
    <w:p w:rsidR="008D3479" w:rsidRPr="0049492A" w:rsidRDefault="008D3479">
      <w:r w:rsidRPr="0049492A">
        <w:t>Regeringen gjorde under våren 2001 en översyn av hyressättning av änd</w:t>
      </w:r>
      <w:r w:rsidRPr="0049492A">
        <w:t>a</w:t>
      </w:r>
      <w:r w:rsidRPr="0049492A">
        <w:t>målsfastigheter. Översynen ledde till att regeringen föreslår kostnadsbaserad hyra för fem kulturinstitutioners</w:t>
      </w:r>
      <w:r w:rsidRPr="0049492A">
        <w:rPr>
          <w:rStyle w:val="Fotnotsreferens"/>
        </w:rPr>
        <w:footnoteReference w:id="1"/>
      </w:r>
      <w:r w:rsidRPr="0049492A">
        <w:t xml:space="preserve"> huvudbyggnader. Fastigheterna är i hög grad formade för sitt ändamål, byggnaderna är symboler för kulturinstituti</w:t>
      </w:r>
      <w:r w:rsidRPr="0049492A">
        <w:t>o</w:t>
      </w:r>
      <w:r w:rsidRPr="0049492A">
        <w:t xml:space="preserve">nernas verksamhet och utgör delar av stadsbilden, enligt Regeringskansliets bedömning. </w:t>
      </w:r>
    </w:p>
    <w:p w:rsidR="008D3479" w:rsidRPr="0049492A" w:rsidRDefault="008D3479">
      <w:pPr>
        <w:pStyle w:val="Normaltindrag"/>
      </w:pPr>
      <w:r w:rsidRPr="0049492A">
        <w:t>Statskontoret ska även få i uppdrag att se över hur systemet för prisomrä</w:t>
      </w:r>
      <w:r w:rsidRPr="0049492A">
        <w:t>k</w:t>
      </w:r>
      <w:r w:rsidRPr="0049492A">
        <w:t xml:space="preserve">ning kan bli mer funktionellt för myndigheter i ändamålslokaler. </w:t>
      </w:r>
    </w:p>
    <w:p w:rsidR="008D3479" w:rsidRPr="0049492A" w:rsidRDefault="008D3479">
      <w:pPr>
        <w:pStyle w:val="Rubrik2-Utannumrering"/>
      </w:pPr>
      <w:bookmarkStart w:id="102" w:name="_Toc524062387"/>
      <w:bookmarkStart w:id="103" w:name="_Toc524081016"/>
      <w:bookmarkStart w:id="104" w:name="_Toc524166739"/>
      <w:bookmarkStart w:id="105" w:name="_Toc524168616"/>
      <w:bookmarkStart w:id="106" w:name="_Toc524856341"/>
      <w:bookmarkStart w:id="107" w:name="_Toc524926694"/>
      <w:bookmarkStart w:id="108" w:name="_Toc526147785"/>
      <w:bookmarkStart w:id="109" w:name="_Toc526234263"/>
      <w:bookmarkStart w:id="110" w:name="_Toc532725171"/>
      <w:r w:rsidRPr="0049492A">
        <w:t>Revisorernas förslag</w:t>
      </w:r>
      <w:bookmarkEnd w:id="102"/>
      <w:bookmarkEnd w:id="103"/>
      <w:bookmarkEnd w:id="104"/>
      <w:bookmarkEnd w:id="105"/>
      <w:bookmarkEnd w:id="106"/>
      <w:bookmarkEnd w:id="107"/>
      <w:bookmarkEnd w:id="108"/>
      <w:bookmarkEnd w:id="109"/>
      <w:bookmarkEnd w:id="110"/>
    </w:p>
    <w:p w:rsidR="008D3479" w:rsidRPr="0049492A" w:rsidRDefault="008D3479">
      <w:r w:rsidRPr="0049492A">
        <w:t>Revisorerna föreslår följande.</w:t>
      </w:r>
    </w:p>
    <w:p w:rsidR="008D3479" w:rsidRPr="0049492A" w:rsidRDefault="008D3479">
      <w:pPr>
        <w:pStyle w:val="Normaltindrag"/>
        <w:numPr>
          <w:ilvl w:val="0"/>
          <w:numId w:val="48"/>
        </w:numPr>
      </w:pPr>
      <w:r w:rsidRPr="0049492A">
        <w:t>Regeringen bör vidarebefordra riksdagens ståndpunkt angående h</w:t>
      </w:r>
      <w:r w:rsidRPr="0049492A">
        <w:t>y</w:t>
      </w:r>
      <w:r w:rsidRPr="0049492A">
        <w:t xml:space="preserve">ressättning när hyresgästen har begränsade alternativ. </w:t>
      </w:r>
    </w:p>
    <w:p w:rsidR="008D3479" w:rsidRPr="0049492A" w:rsidRDefault="008D3479">
      <w:pPr>
        <w:pStyle w:val="Normaltindrag"/>
        <w:numPr>
          <w:ilvl w:val="0"/>
          <w:numId w:val="48"/>
        </w:numPr>
      </w:pPr>
      <w:r w:rsidRPr="0049492A">
        <w:t>Regeringen bör klargöra att hyresmodellens utformning ska vara f</w:t>
      </w:r>
      <w:r w:rsidRPr="0049492A">
        <w:t>ö</w:t>
      </w:r>
      <w:r w:rsidRPr="0049492A">
        <w:t xml:space="preserve">remål för förhandlingar mellan parterna. </w:t>
      </w:r>
    </w:p>
    <w:p w:rsidR="008D3479" w:rsidRPr="0049492A" w:rsidRDefault="008D3479">
      <w:pPr>
        <w:pStyle w:val="Normaltindrag"/>
        <w:numPr>
          <w:ilvl w:val="0"/>
          <w:numId w:val="48"/>
        </w:numPr>
      </w:pPr>
      <w:r w:rsidRPr="0049492A">
        <w:t xml:space="preserve">Regeringen bör vidarebefordra riksdagens uppfattning om god insyn i förvaltningen. </w:t>
      </w:r>
    </w:p>
    <w:p w:rsidR="008D3479" w:rsidRPr="0049492A" w:rsidRDefault="008D3479">
      <w:pPr>
        <w:pStyle w:val="Normaltindrag"/>
        <w:numPr>
          <w:ilvl w:val="0"/>
          <w:numId w:val="48"/>
        </w:numPr>
        <w:rPr>
          <w:i/>
          <w:sz w:val="24"/>
        </w:rPr>
      </w:pPr>
      <w:r w:rsidRPr="0049492A">
        <w:t xml:space="preserve">Regeringen bör tydliggöra att förvaltningsplaner för fastigheterna ska upprättas gemensamt av parterna. </w:t>
      </w:r>
    </w:p>
    <w:p w:rsidR="008D3479" w:rsidRPr="0049492A" w:rsidRDefault="008D3479">
      <w:pPr>
        <w:pStyle w:val="Normaltindrag"/>
        <w:numPr>
          <w:ilvl w:val="0"/>
          <w:numId w:val="48"/>
        </w:numPr>
      </w:pPr>
      <w:r w:rsidRPr="0049492A">
        <w:t>Regeringen i budgetprocessen bör beakta möjligheter till effektivis</w:t>
      </w:r>
      <w:r w:rsidRPr="0049492A">
        <w:t>e</w:t>
      </w:r>
      <w:r w:rsidRPr="0049492A">
        <w:t xml:space="preserve">ringar i myndigheters lokalutnyttjande. </w:t>
      </w:r>
    </w:p>
    <w:p w:rsidR="008D3479" w:rsidRPr="0049492A" w:rsidRDefault="008D3479">
      <w:pPr>
        <w:pStyle w:val="Normaltindrag"/>
        <w:numPr>
          <w:ilvl w:val="0"/>
          <w:numId w:val="48"/>
        </w:numPr>
      </w:pPr>
      <w:r w:rsidRPr="0049492A">
        <w:t>Hyresgäster och förvaltare i ändamålsfastigheter bör ha möjlighet att samråda kring vilken hyressättning som ska gälla med ett statligt e</w:t>
      </w:r>
      <w:r w:rsidRPr="0049492A">
        <w:t>x</w:t>
      </w:r>
      <w:r w:rsidRPr="0049492A">
        <w:t>pertorgan, i de fall parterna inte når en överenskommelse genom fö</w:t>
      </w:r>
      <w:r w:rsidRPr="0049492A">
        <w:t>r</w:t>
      </w:r>
      <w:bookmarkStart w:id="111" w:name="_Toc514560692"/>
      <w:bookmarkStart w:id="112" w:name="_Toc515247936"/>
      <w:bookmarkStart w:id="113" w:name="_Toc515780770"/>
      <w:bookmarkStart w:id="114" w:name="_Toc515855831"/>
      <w:bookmarkStart w:id="115" w:name="_Toc515855933"/>
      <w:bookmarkStart w:id="116" w:name="_Toc516536394"/>
      <w:bookmarkStart w:id="117" w:name="_Toc516544546"/>
      <w:bookmarkStart w:id="118" w:name="_Toc516545281"/>
      <w:bookmarkStart w:id="119" w:name="_Toc516545413"/>
      <w:bookmarkStart w:id="120" w:name="_Toc523215819"/>
      <w:bookmarkStart w:id="121" w:name="_Toc524062388"/>
      <w:bookmarkStart w:id="122" w:name="_Toc524081017"/>
      <w:bookmarkStart w:id="123" w:name="_Toc524166740"/>
      <w:bookmarkStart w:id="124" w:name="_Toc524168617"/>
      <w:bookmarkStart w:id="125" w:name="_Toc524856342"/>
      <w:bookmarkStart w:id="126" w:name="_Toc524926695"/>
      <w:bookmarkStart w:id="127" w:name="_Toc526147786"/>
      <w:bookmarkStart w:id="128" w:name="_Toc526234264"/>
      <w:r w:rsidRPr="0049492A">
        <w:t>handlingar.</w:t>
      </w:r>
    </w:p>
    <w:p w:rsidR="008D3479" w:rsidRPr="0049492A" w:rsidRDefault="008D3479">
      <w:pPr>
        <w:pStyle w:val="Rubrik1-Utannumrering"/>
      </w:pPr>
      <w:bookmarkStart w:id="129" w:name="_Toc532725172"/>
      <w:r w:rsidRPr="0049492A">
        <w:t>1 Granskningens bakgrund och inriktning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D3479" w:rsidRPr="0049492A" w:rsidRDefault="008D3479">
      <w:r w:rsidRPr="0049492A">
        <w:t>Riksdagens revisorer har granskat hyressättningen av ändamålsfastigheter</w:t>
      </w:r>
      <w:r w:rsidRPr="0049492A">
        <w:rPr>
          <w:rStyle w:val="Fotnotsreferens"/>
        </w:rPr>
        <w:footnoteReference w:id="2"/>
      </w:r>
      <w:r w:rsidRPr="0049492A">
        <w:t xml:space="preserve"> i den statliga sektorn. Revisorerna genomförde hösten 2000 en förstudie om Statens Fastighetsverks hyressättning av kulturinstitutioner och konsekvenser för dessa av hyressystemet, efter förslag från riksdagens kulturu</w:t>
      </w:r>
      <w:r w:rsidRPr="0049492A">
        <w:t>t</w:t>
      </w:r>
      <w:r w:rsidRPr="0049492A">
        <w:t>skott</w:t>
      </w:r>
      <w:r w:rsidRPr="0049492A">
        <w:rPr>
          <w:rStyle w:val="Fotnotsreferens"/>
        </w:rPr>
        <w:footnoteReference w:id="3"/>
      </w:r>
      <w:r w:rsidRPr="0049492A">
        <w:t xml:space="preserve">. </w:t>
      </w:r>
    </w:p>
    <w:p w:rsidR="008D3479" w:rsidRPr="0049492A" w:rsidRDefault="008D3479">
      <w:pPr>
        <w:pStyle w:val="Normaltindrag"/>
      </w:pPr>
      <w:r w:rsidRPr="0049492A">
        <w:t>I förstudien visas att det reformerade systemet för fastighetsförvaltning har fört med sig ett antal problem för ändamålsfastigheter. Statsmakternas beslut innebär svårförenliga krav på fastighetsförvaltaren som ska driva förval</w:t>
      </w:r>
      <w:r w:rsidRPr="0049492A">
        <w:t>t</w:t>
      </w:r>
      <w:r w:rsidRPr="0049492A">
        <w:t>ningen marknadsmässigt, samtidigt som särskilda villkor ska gälla för änd</w:t>
      </w:r>
      <w:r w:rsidRPr="0049492A">
        <w:t>a</w:t>
      </w:r>
      <w:r w:rsidRPr="0049492A">
        <w:t>målsfastigheter. Svårigheten att dra en gräns mellan fastigheter som bör betraktas som ändamålsfastigheter och fastigheter som är generellt använ</w:t>
      </w:r>
      <w:r w:rsidRPr="0049492A">
        <w:t>d</w:t>
      </w:r>
      <w:r w:rsidRPr="0049492A">
        <w:t>bara bidrar till problemet. Hyresgäster i fastigheter med särskild karaktär har svårt att finna alternativ och därmed svårt att utöva tryck på fastighetsägaren. I förstudien konstateras vidare att det är oklart om kulturinstitutionerna får kompensation i sina anslag för hyror eller ej. Effe</w:t>
      </w:r>
      <w:r w:rsidRPr="0049492A">
        <w:t>ktiviteten i att fastighet</w:t>
      </w:r>
      <w:r w:rsidRPr="0049492A">
        <w:t>s</w:t>
      </w:r>
      <w:r w:rsidRPr="0049492A">
        <w:t xml:space="preserve">förvaltaren har monopol på fastighetsskötsel ifrågasätts också. </w:t>
      </w:r>
    </w:p>
    <w:p w:rsidR="008D3479" w:rsidRPr="0049492A" w:rsidRDefault="008D3479">
      <w:pPr>
        <w:pStyle w:val="Normaltindrag"/>
      </w:pPr>
      <w:r w:rsidRPr="0049492A">
        <w:t>Mot bakgrund av det som framkom i förstudien ansåg revisorerna det m</w:t>
      </w:r>
      <w:r w:rsidRPr="0049492A">
        <w:t>o</w:t>
      </w:r>
      <w:r w:rsidRPr="0049492A">
        <w:t>tiverat att bredda granskningsområdet till att också omfatta hyressättningen av ändamålsfastigheter i andra sektorer än kulturse</w:t>
      </w:r>
      <w:r w:rsidRPr="0049492A">
        <w:t>k</w:t>
      </w:r>
      <w:r w:rsidRPr="0049492A">
        <w:t xml:space="preserve">torn. </w:t>
      </w:r>
    </w:p>
    <w:p w:rsidR="008D3479" w:rsidRPr="0049492A" w:rsidRDefault="008D3479">
      <w:pPr>
        <w:pStyle w:val="Normaltindrag"/>
      </w:pPr>
      <w:r w:rsidRPr="0049492A">
        <w:t>Denna granskning har riktat in sig på fö</w:t>
      </w:r>
      <w:r w:rsidRPr="0049492A">
        <w:t>l</w:t>
      </w:r>
      <w:r w:rsidRPr="0049492A">
        <w:t>jande frågeställningar:</w:t>
      </w:r>
    </w:p>
    <w:p w:rsidR="008D3479" w:rsidRPr="0049492A" w:rsidRDefault="008D3479">
      <w:pPr>
        <w:pStyle w:val="Normaltindrag"/>
      </w:pPr>
    </w:p>
    <w:p w:rsidR="008D3479" w:rsidRPr="0049492A" w:rsidRDefault="008D3479">
      <w:pPr>
        <w:pStyle w:val="Normaltindrag"/>
        <w:numPr>
          <w:ilvl w:val="0"/>
          <w:numId w:val="40"/>
        </w:numPr>
      </w:pPr>
      <w:r w:rsidRPr="0049492A">
        <w:t>Hur tillämpar Fastighetsverket och andra statliga fastighetsförvaltare</w:t>
      </w:r>
      <w:r w:rsidRPr="0049492A">
        <w:rPr>
          <w:rStyle w:val="Fotnotsreferens"/>
        </w:rPr>
        <w:footnoteReference w:id="4"/>
      </w:r>
      <w:r w:rsidRPr="0049492A">
        <w:t xml:space="preserve"> rik</w:t>
      </w:r>
      <w:r w:rsidRPr="0049492A">
        <w:t>s</w:t>
      </w:r>
      <w:r w:rsidRPr="0049492A">
        <w:t>dagens principer för hyressättning?</w:t>
      </w:r>
    </w:p>
    <w:p w:rsidR="008D3479" w:rsidRPr="0049492A" w:rsidRDefault="008D3479">
      <w:pPr>
        <w:pStyle w:val="Normaltindrag"/>
        <w:numPr>
          <w:ilvl w:val="0"/>
          <w:numId w:val="40"/>
        </w:numPr>
      </w:pPr>
      <w:r w:rsidRPr="0049492A">
        <w:t>Hur uppfattar hyresgästerna sina fastighetsskötare och i vilken o</w:t>
      </w:r>
      <w:r w:rsidRPr="0049492A">
        <w:t>m</w:t>
      </w:r>
      <w:r w:rsidRPr="0049492A">
        <w:t>fattning görs upphandling av entreprenörer?</w:t>
      </w:r>
    </w:p>
    <w:p w:rsidR="008D3479" w:rsidRPr="0049492A" w:rsidRDefault="008D3479">
      <w:pPr>
        <w:pStyle w:val="Normaltindrag"/>
        <w:numPr>
          <w:ilvl w:val="0"/>
          <w:numId w:val="40"/>
        </w:numPr>
      </w:pPr>
      <w:r w:rsidRPr="0049492A">
        <w:t xml:space="preserve">Hur fungerar kompensationssystemet? </w:t>
      </w:r>
    </w:p>
    <w:p w:rsidR="008D3479" w:rsidRPr="0049492A" w:rsidRDefault="008D3479">
      <w:pPr>
        <w:pStyle w:val="Normaltindrag"/>
        <w:numPr>
          <w:ilvl w:val="0"/>
          <w:numId w:val="40"/>
        </w:numPr>
      </w:pPr>
      <w:r w:rsidRPr="0049492A">
        <w:t>Har en myndighet möjlighet att behålla frigjorda resurser vid en h</w:t>
      </w:r>
      <w:r w:rsidRPr="0049492A">
        <w:t>y</w:t>
      </w:r>
      <w:r w:rsidRPr="0049492A">
        <w:t>ressänkning?</w:t>
      </w:r>
    </w:p>
    <w:p w:rsidR="008D3479" w:rsidRPr="0049492A" w:rsidRDefault="008D3479">
      <w:pPr>
        <w:pStyle w:val="Rubrik2-Utannumrering"/>
      </w:pPr>
      <w:bookmarkStart w:id="130" w:name="_Toc523215820"/>
      <w:bookmarkStart w:id="131" w:name="_Toc524062389"/>
      <w:bookmarkStart w:id="132" w:name="_Toc524081018"/>
      <w:bookmarkStart w:id="133" w:name="_Toc524166741"/>
      <w:bookmarkStart w:id="134" w:name="_Toc524168618"/>
      <w:bookmarkStart w:id="135" w:name="_Toc524856343"/>
      <w:bookmarkStart w:id="136" w:name="_Toc524926696"/>
      <w:bookmarkStart w:id="137" w:name="_Toc526147787"/>
      <w:bookmarkStart w:id="138" w:name="_Toc526234265"/>
      <w:bookmarkStart w:id="139" w:name="_Toc532725173"/>
      <w:r w:rsidRPr="0049492A">
        <w:t>Begreppet ändamålsfastigheter</w:t>
      </w:r>
      <w:bookmarkEnd w:id="130"/>
      <w:bookmarkEnd w:id="131"/>
      <w:bookmarkEnd w:id="132"/>
      <w:bookmarkEnd w:id="133"/>
      <w:bookmarkEnd w:id="134"/>
      <w:bookmarkEnd w:id="135"/>
      <w:bookmarkEnd w:id="136"/>
      <w:bookmarkEnd w:id="137"/>
      <w:bookmarkEnd w:id="138"/>
      <w:bookmarkEnd w:id="139"/>
    </w:p>
    <w:p w:rsidR="008D3479" w:rsidRPr="0049492A" w:rsidRDefault="008D3479">
      <w:r w:rsidRPr="0049492A">
        <w:t>Regeringen har i en proposition</w:t>
      </w:r>
      <w:r w:rsidRPr="0049492A">
        <w:rPr>
          <w:rStyle w:val="Fotnotsreferens"/>
        </w:rPr>
        <w:footnoteReference w:id="5"/>
      </w:r>
      <w:r w:rsidRPr="0049492A">
        <w:t xml:space="preserve"> definierat ändamålsfastigheter som byggn</w:t>
      </w:r>
      <w:r w:rsidRPr="0049492A">
        <w:t>a</w:t>
      </w:r>
      <w:r w:rsidRPr="0049492A">
        <w:t>der som saknar eller har en mycket liten, alternativ användning och/eller har skräddarsytts för sitt änd</w:t>
      </w:r>
      <w:r w:rsidRPr="0049492A">
        <w:t>a</w:t>
      </w:r>
      <w:r w:rsidRPr="0049492A">
        <w:t>mål.</w:t>
      </w:r>
    </w:p>
    <w:p w:rsidR="008D3479" w:rsidRPr="0049492A" w:rsidRDefault="008D3479">
      <w:pPr>
        <w:pStyle w:val="Normaltindrag"/>
      </w:pPr>
      <w:r w:rsidRPr="0049492A">
        <w:t xml:space="preserve">Begreppet </w:t>
      </w:r>
      <w:r w:rsidRPr="0049492A">
        <w:rPr>
          <w:i/>
        </w:rPr>
        <w:t xml:space="preserve">ändamålsfastigheter </w:t>
      </w:r>
      <w:r w:rsidRPr="0049492A">
        <w:t>preciseras i ett delbetänkande</w:t>
      </w:r>
      <w:r w:rsidRPr="0049492A">
        <w:rPr>
          <w:rStyle w:val="Fotnotsreferens"/>
        </w:rPr>
        <w:footnoteReference w:id="6"/>
      </w:r>
      <w:r w:rsidRPr="0049492A">
        <w:t xml:space="preserve"> till en u</w:t>
      </w:r>
      <w:r w:rsidRPr="0049492A">
        <w:t>t</w:t>
      </w:r>
      <w:r w:rsidRPr="0049492A">
        <w:t>värdering av statens fastighetsorganisation. Ändamålsfastigheter kan enligt utredarnas uppfattning grupperas efter k</w:t>
      </w:r>
      <w:r w:rsidRPr="0049492A">
        <w:t>a</w:t>
      </w:r>
      <w:r w:rsidRPr="0049492A">
        <w:t>raktär:</w:t>
      </w:r>
    </w:p>
    <w:p w:rsidR="008D3479" w:rsidRPr="0049492A" w:rsidRDefault="008D3479">
      <w:r w:rsidRPr="0049492A">
        <w:t xml:space="preserve">1. Ändamålsfastighet på grund av </w:t>
      </w:r>
      <w:r w:rsidRPr="0049492A">
        <w:rPr>
          <w:i/>
        </w:rPr>
        <w:t>teknisk utformning</w:t>
      </w:r>
      <w:r w:rsidRPr="0049492A">
        <w:t xml:space="preserve"> av byggnaden. (U</w:t>
      </w:r>
      <w:r w:rsidRPr="0049492A">
        <w:t>t</w:t>
      </w:r>
      <w:r w:rsidRPr="0049492A">
        <w:t>formningen av byggnaden är i extremfallet så speciell att kostnaden för att bygga om den till en annan användare är högre än kostnaden för att riva och bygga nytt.)</w:t>
      </w:r>
    </w:p>
    <w:p w:rsidR="008D3479" w:rsidRPr="0049492A" w:rsidRDefault="008D3479">
      <w:r w:rsidRPr="0049492A">
        <w:t xml:space="preserve">2. Ändamålsfastighet på grund av </w:t>
      </w:r>
      <w:r w:rsidRPr="0049492A">
        <w:rPr>
          <w:i/>
        </w:rPr>
        <w:t>läget</w:t>
      </w:r>
      <w:r w:rsidRPr="0049492A">
        <w:t xml:space="preserve">. Exempel: En kontorsfastighet i en enskilt belägen gruvort där gruvbolaget är den enda tänkbara användaren av kontorsfastigheter eller en generell byggnad på ett universitetscampus. </w:t>
      </w:r>
    </w:p>
    <w:p w:rsidR="008D3479" w:rsidRPr="0049492A" w:rsidRDefault="008D3479">
      <w:r w:rsidRPr="0049492A">
        <w:t>I en ren ändamålsfastighet har varken hyresgäst eller fastighetsägare goda alternativ. Ändamålsfastigheter ur hyresgästperspektiv kännetecknas av att hyresgästen, men inte fastighetsägaren, saknar bra alternativ. Förhandling</w:t>
      </w:r>
      <w:r w:rsidRPr="0049492A">
        <w:t>s</w:t>
      </w:r>
      <w:r w:rsidRPr="0049492A">
        <w:t xml:space="preserve">positionen för hyresgästen kan vara mer problematisk i detta fall än vid en ren ändamålsfastighet eftersom det då finns ett ömsesidigt beroende. </w:t>
      </w:r>
    </w:p>
    <w:p w:rsidR="008D3479" w:rsidRPr="0049492A" w:rsidRDefault="008D3479">
      <w:pPr>
        <w:pStyle w:val="Normaltindrag"/>
      </w:pPr>
      <w:r w:rsidRPr="0049492A">
        <w:t>Det är inte möjligt att göra en definitiv avgränsning mellan fastigheter som är ändamålsfastigheter och fastigheter som är generellt användbara. De flesta fastigheter är varken fullständigt ändamålsanpassade och unika, eller gen</w:t>
      </w:r>
      <w:r w:rsidRPr="0049492A">
        <w:t>e</w:t>
      </w:r>
      <w:r w:rsidRPr="0049492A">
        <w:t>rellt använd- och utbytbara. De befinner sig snarare någonstans mellan ytte</w:t>
      </w:r>
      <w:r w:rsidRPr="0049492A">
        <w:t>r</w:t>
      </w:r>
      <w:r w:rsidRPr="0049492A">
        <w:t>ligheterna. Graden av ändamålsmässighet kan bedömas utifrån flera pe</w:t>
      </w:r>
      <w:r w:rsidRPr="0049492A">
        <w:t>r</w:t>
      </w:r>
      <w:r w:rsidRPr="0049492A">
        <w:t>spektiv:</w:t>
      </w:r>
    </w:p>
    <w:p w:rsidR="008D3479" w:rsidRPr="0049492A" w:rsidRDefault="008D3479">
      <w:r w:rsidRPr="0049492A">
        <w:t>1. Hur stor del av en investering i en byggnad som blir värdelös om byggn</w:t>
      </w:r>
      <w:r w:rsidRPr="0049492A">
        <w:t>a</w:t>
      </w:r>
      <w:r w:rsidRPr="0049492A">
        <w:t xml:space="preserve">den inte längre används till sitt ursprungliga ändamål. </w:t>
      </w:r>
    </w:p>
    <w:p w:rsidR="008D3479" w:rsidRPr="0049492A" w:rsidRDefault="008D3479">
      <w:r w:rsidRPr="0049492A">
        <w:t>2. Hur mycket byggnadens värde sjunker om den nuvarande användningen upphör.</w:t>
      </w:r>
    </w:p>
    <w:p w:rsidR="008D3479" w:rsidRPr="0049492A" w:rsidRDefault="008D3479">
      <w:r w:rsidRPr="0049492A">
        <w:t xml:space="preserve">3. Hur stora nyinvesteringar som krävs för att anpassa en generell fastighet till den aktuella verksamhetens krav. </w:t>
      </w:r>
    </w:p>
    <w:p w:rsidR="008D3479" w:rsidRPr="0049492A" w:rsidRDefault="008D3479">
      <w:r w:rsidRPr="0049492A">
        <w:t xml:space="preserve">4. Skillnaden mellan den aktuella hyresgästens betalningsvilja för fastigheten och vad som skulle kunna erhållas vid uthyrning till en annan hyresgäst på marknaden. </w:t>
      </w:r>
    </w:p>
    <w:p w:rsidR="008D3479" w:rsidRPr="0049492A" w:rsidRDefault="008D3479">
      <w:r w:rsidRPr="0049492A">
        <w:t xml:space="preserve">5. Hur verksamheten skulle påverkas om man valde bästa alternativa lokal på marknaden. </w:t>
      </w:r>
    </w:p>
    <w:p w:rsidR="008D3479" w:rsidRPr="0049492A" w:rsidRDefault="008D3479">
      <w:pPr>
        <w:pStyle w:val="Normaltindrag"/>
      </w:pPr>
    </w:p>
    <w:p w:rsidR="008D3479" w:rsidRPr="0049492A" w:rsidRDefault="008D3479">
      <w:pPr>
        <w:pStyle w:val="Normaltindrag"/>
      </w:pPr>
      <w:r w:rsidRPr="0049492A">
        <w:t>Trots att begreppet ändamålsfastigheter inte är entydigt så fyller det en nödvändig funktion i styrningen av hur statens mer eller mindre ändamål</w:t>
      </w:r>
      <w:r w:rsidRPr="0049492A">
        <w:t>s</w:t>
      </w:r>
      <w:r w:rsidRPr="0049492A">
        <w:t>-anpassade fastigheter ska förvaltas. Slutsatserna i denna rapport är inte ber</w:t>
      </w:r>
      <w:r w:rsidRPr="0049492A">
        <w:t>o</w:t>
      </w:r>
      <w:r w:rsidRPr="0049492A">
        <w:t xml:space="preserve">ende av hur enskilda fastigheter definieras. </w:t>
      </w:r>
    </w:p>
    <w:p w:rsidR="008D3479" w:rsidRPr="0049492A" w:rsidRDefault="008D3479">
      <w:pPr>
        <w:pStyle w:val="Rubrik1-Utannumrering"/>
      </w:pPr>
      <w:bookmarkStart w:id="140" w:name="_Toc516545414"/>
      <w:bookmarkStart w:id="141" w:name="_Toc523215821"/>
      <w:bookmarkStart w:id="142" w:name="_Toc524062390"/>
      <w:bookmarkStart w:id="143" w:name="_Toc524081019"/>
      <w:bookmarkStart w:id="144" w:name="_Toc524166742"/>
      <w:bookmarkStart w:id="145" w:name="_Toc524168619"/>
      <w:bookmarkStart w:id="146" w:name="_Toc524856344"/>
      <w:bookmarkStart w:id="147" w:name="_Toc524926697"/>
      <w:bookmarkStart w:id="148" w:name="_Toc526147788"/>
      <w:bookmarkStart w:id="149" w:name="_Toc526234266"/>
      <w:bookmarkStart w:id="150" w:name="_Toc532725174"/>
      <w:r w:rsidRPr="0049492A">
        <w:t>2 Förändringar i statsförvaltningen</w:t>
      </w:r>
      <w:bookmarkEnd w:id="140"/>
      <w:bookmarkEnd w:id="141"/>
      <w:bookmarkEnd w:id="142"/>
      <w:bookmarkEnd w:id="143"/>
      <w:bookmarkEnd w:id="144"/>
      <w:bookmarkEnd w:id="145"/>
      <w:bookmarkEnd w:id="146"/>
      <w:bookmarkEnd w:id="147"/>
      <w:bookmarkEnd w:id="148"/>
      <w:bookmarkEnd w:id="149"/>
      <w:bookmarkEnd w:id="150"/>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rPr>
          <w:b/>
        </w:rPr>
        <w:t>Sammanfattning:</w:t>
      </w:r>
      <w:r w:rsidRPr="0049492A">
        <w:t xml:space="preserve"> Den statliga fastighetsförvaltningen reformerades i slutet av 1980-talet och början av 1990-talet. Syftet med reformen var att effektivisera resursanvändningen och förmögenhetsförvaltningen. Styrningen av myndigheter blev mer mål- och resultatinriktad. Ansvaret för bl.a. loka</w:t>
      </w:r>
      <w:r w:rsidRPr="0049492A">
        <w:t>l</w:t>
      </w:r>
      <w:r w:rsidRPr="0049492A">
        <w:t>försörjningen delegerades till myndigheterna och fastighetsförvaltningen fick en ny organisation. Riksdagens riktlinjer för den statliga fastighetsförval</w:t>
      </w:r>
      <w:r w:rsidRPr="0049492A">
        <w:t>t</w:t>
      </w:r>
      <w:r w:rsidRPr="0049492A">
        <w:t>ningen anger bl.a. att förvaltning och brukande av fastigheter ska vara åtski</w:t>
      </w:r>
      <w:r w:rsidRPr="0049492A">
        <w:t>l</w:t>
      </w:r>
      <w:r w:rsidRPr="0049492A">
        <w:t>da</w:t>
      </w:r>
      <w:r w:rsidRPr="0049492A">
        <w:t xml:space="preserve">, att en mer rättvisande kostnadsbild i statsbudgeten ska eftersträvas, att avkastningskravet ska vara marknadsmässigt och att statens ägarroll bör renodlas. </w:t>
      </w:r>
    </w:p>
    <w:p w:rsidR="008D3479" w:rsidRPr="0049492A" w:rsidRDefault="008D3479">
      <w:pPr>
        <w:pStyle w:val="Rubrik2-Utannumrering"/>
      </w:pPr>
      <w:bookmarkStart w:id="151" w:name="_Toc515247937"/>
      <w:bookmarkStart w:id="152" w:name="_Toc515780771"/>
      <w:bookmarkStart w:id="153" w:name="_Toc515855832"/>
      <w:bookmarkStart w:id="154" w:name="_Toc515855934"/>
      <w:bookmarkStart w:id="155" w:name="_Toc516536395"/>
      <w:bookmarkStart w:id="156" w:name="_Toc516544547"/>
      <w:bookmarkStart w:id="157" w:name="_Toc516545282"/>
      <w:bookmarkStart w:id="158" w:name="_Toc516545415"/>
      <w:bookmarkStart w:id="159" w:name="_Toc523215822"/>
      <w:bookmarkStart w:id="160" w:name="_Toc524062391"/>
      <w:bookmarkStart w:id="161" w:name="_Toc524081020"/>
      <w:bookmarkStart w:id="162" w:name="_Toc524166743"/>
      <w:bookmarkStart w:id="163" w:name="_Toc524168620"/>
      <w:bookmarkStart w:id="164" w:name="_Toc524856345"/>
      <w:bookmarkStart w:id="165" w:name="_Toc524926698"/>
      <w:bookmarkStart w:id="166" w:name="_Toc526147789"/>
      <w:bookmarkStart w:id="167" w:name="_Toc526234267"/>
      <w:bookmarkStart w:id="168" w:name="_Toc532725175"/>
      <w:r w:rsidRPr="0049492A">
        <w:t>Ny styrning av myndigheterna</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8D3479" w:rsidRPr="0049492A" w:rsidRDefault="008D3479">
      <w:r w:rsidRPr="0049492A">
        <w:t>Under slutet av 1980-talet påbörjades en genomgripande förändring av  styrningen av stats</w:t>
      </w:r>
      <w:r w:rsidRPr="0049492A">
        <w:softHyphen/>
        <w:t>förvaltningen.</w:t>
      </w:r>
      <w:r w:rsidRPr="0049492A">
        <w:rPr>
          <w:rStyle w:val="Fotnotsreferens"/>
        </w:rPr>
        <w:footnoteReference w:id="7"/>
      </w:r>
      <w:r w:rsidRPr="0049492A">
        <w:t xml:space="preserve"> Den detaljerade budgetstyrningen ersattes av mål- och resultatstyrning med större betoning på effektivitet och produ</w:t>
      </w:r>
      <w:r w:rsidRPr="0049492A">
        <w:t>k</w:t>
      </w:r>
      <w:r w:rsidRPr="0049492A">
        <w:t>tivitet. Ansvar och befogenheter delegerades till my</w:t>
      </w:r>
      <w:r w:rsidRPr="0049492A">
        <w:t>n</w:t>
      </w:r>
      <w:r w:rsidRPr="0049492A">
        <w:t xml:space="preserve">digheterna. </w:t>
      </w:r>
    </w:p>
    <w:p w:rsidR="008D3479" w:rsidRPr="0049492A" w:rsidRDefault="008D3479">
      <w:pPr>
        <w:pStyle w:val="Normaltindrag"/>
      </w:pPr>
      <w:r w:rsidRPr="0049492A">
        <w:t>Statens utgiftsstyrning skedde genom treåriga ramanslag till myndighete</w:t>
      </w:r>
      <w:r w:rsidRPr="0049492A">
        <w:t>r</w:t>
      </w:r>
      <w:r w:rsidRPr="0049492A">
        <w:t>na. Myndigheterna fick större möjligheter att omfördela resurser mellan olika utgiftsslag och mellan budgetår. För myndigheterna innebar ramanslagen en betydligt större handlingsfrihet och starkare motiv att effektivisera sin r</w:t>
      </w:r>
      <w:r w:rsidRPr="0049492A">
        <w:t>e</w:t>
      </w:r>
      <w:r w:rsidRPr="0049492A">
        <w:t>surs</w:t>
      </w:r>
      <w:r w:rsidRPr="0049492A">
        <w:softHyphen/>
        <w:t>förbruk</w:t>
      </w:r>
      <w:r w:rsidRPr="0049492A">
        <w:softHyphen/>
        <w:t>ning.</w:t>
      </w:r>
      <w:r w:rsidRPr="0049492A">
        <w:rPr>
          <w:rStyle w:val="Fotnotsreferens"/>
        </w:rPr>
        <w:footnoteReference w:id="8"/>
      </w:r>
      <w:r w:rsidRPr="0049492A">
        <w:t xml:space="preserve"> </w:t>
      </w:r>
    </w:p>
    <w:p w:rsidR="008D3479" w:rsidRPr="0049492A" w:rsidRDefault="008D3479">
      <w:pPr>
        <w:pStyle w:val="Normaltindrag"/>
      </w:pPr>
      <w:r w:rsidRPr="0049492A">
        <w:t>I 1991 års budgetproposition formulerades nya principer för förmöge</w:t>
      </w:r>
      <w:r w:rsidRPr="0049492A">
        <w:t>n</w:t>
      </w:r>
      <w:r w:rsidRPr="0049492A">
        <w:t>hets</w:t>
      </w:r>
      <w:r w:rsidRPr="0049492A">
        <w:softHyphen/>
        <w:t>för</w:t>
      </w:r>
      <w:r w:rsidRPr="0049492A">
        <w:softHyphen/>
        <w:t>valtningen. Det betonades att effektiv förvaltning av den offentliga se</w:t>
      </w:r>
      <w:r w:rsidRPr="0049492A">
        <w:t>k</w:t>
      </w:r>
      <w:r w:rsidRPr="0049492A">
        <w:t>torns förmögenhet var lika viktigt som effektiv löpande resursanvändning. Därför skulle statens tillgångar värderas och avkastningskraven på statens kapital höjas. Konkurrensutsatta verksamheter skulle åsättas avkastnings</w:t>
      </w:r>
      <w:r w:rsidRPr="0049492A">
        <w:softHyphen/>
        <w:t>krav motsvarande marknadens. Organisationen av förvaltningen av statens för</w:t>
      </w:r>
      <w:r w:rsidRPr="0049492A">
        <w:softHyphen/>
        <w:t>mögenhet, bl.a. statens fastigheter, sågs över för att göra förvaltningen e</w:t>
      </w:r>
      <w:r w:rsidRPr="0049492A">
        <w:t>f</w:t>
      </w:r>
      <w:r w:rsidRPr="0049492A">
        <w:t>fektivare.</w:t>
      </w:r>
      <w:r w:rsidRPr="0049492A">
        <w:rPr>
          <w:rStyle w:val="Fotnotsreferens"/>
        </w:rPr>
        <w:footnoteReference w:id="9"/>
      </w:r>
    </w:p>
    <w:p w:rsidR="008D3479" w:rsidRPr="0049492A" w:rsidRDefault="008D3479">
      <w:pPr>
        <w:pStyle w:val="Rubrik2-Utannumrering"/>
      </w:pPr>
      <w:bookmarkStart w:id="169" w:name="_Toc514560693"/>
      <w:bookmarkStart w:id="170" w:name="_Toc515247938"/>
      <w:bookmarkStart w:id="171" w:name="_Toc515780772"/>
      <w:bookmarkStart w:id="172" w:name="_Toc515855833"/>
      <w:bookmarkStart w:id="173" w:name="_Toc515855935"/>
      <w:bookmarkStart w:id="174" w:name="_Toc516536396"/>
      <w:bookmarkStart w:id="175" w:name="_Toc516544548"/>
      <w:bookmarkStart w:id="176" w:name="_Toc516545283"/>
      <w:bookmarkStart w:id="177" w:name="_Toc516545416"/>
      <w:bookmarkStart w:id="178" w:name="_Toc523215823"/>
      <w:bookmarkStart w:id="179" w:name="_Toc524062392"/>
      <w:bookmarkStart w:id="180" w:name="_Toc524081021"/>
      <w:bookmarkStart w:id="181" w:name="_Toc524166744"/>
      <w:bookmarkStart w:id="182" w:name="_Toc524168621"/>
      <w:bookmarkStart w:id="183" w:name="_Toc524856346"/>
      <w:bookmarkStart w:id="184" w:name="_Toc524926699"/>
      <w:bookmarkStart w:id="185" w:name="_Toc526147790"/>
      <w:bookmarkStart w:id="186" w:name="_Toc526234268"/>
      <w:bookmarkStart w:id="187" w:name="_Toc532725176"/>
      <w:r w:rsidRPr="0049492A">
        <w:t>Reform av fastighetsförvaltningen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8D3479" w:rsidRPr="0049492A" w:rsidRDefault="008D3479">
      <w:r w:rsidRPr="0049492A">
        <w:t xml:space="preserve">Fram till början av 1990-talet ansvarade </w:t>
      </w:r>
      <w:r w:rsidRPr="0049492A">
        <w:rPr>
          <w:i/>
        </w:rPr>
        <w:t>Byggnadsstyrelsen</w:t>
      </w:r>
      <w:r w:rsidRPr="0049492A">
        <w:t xml:space="preserve"> för förvaltningen av statens fastigheter. Byggnadsstyrelsen erbjöd lokaler, tjänster inom lokal</w:t>
      </w:r>
      <w:r w:rsidRPr="0049492A">
        <w:softHyphen/>
        <w:t>försörjning och byggproduktion till statens myndigheter. Byggnadsstyrelsen  var även regeringens stabsmyndighet i  loka</w:t>
      </w:r>
      <w:r w:rsidRPr="0049492A">
        <w:t>l</w:t>
      </w:r>
      <w:r w:rsidRPr="0049492A">
        <w:t xml:space="preserve">frågor. </w:t>
      </w:r>
    </w:p>
    <w:p w:rsidR="008D3479" w:rsidRPr="0049492A" w:rsidRDefault="008D3479">
      <w:pPr>
        <w:pStyle w:val="Normaltindrag"/>
      </w:pPr>
      <w:r w:rsidRPr="0049492A">
        <w:t>Systemet var ineffektivt ur många aspekter. Det var Bygg</w:t>
      </w:r>
      <w:r w:rsidRPr="0049492A">
        <w:softHyphen/>
        <w:t>nads</w:t>
      </w:r>
      <w:r w:rsidRPr="0049492A">
        <w:softHyphen/>
        <w:t>styrelsens uppgift att bedöma de statliga hyresgästernas (myndigheternas) lokalbehov. Om myndigheten fick ett utökat lokalbehov godkänt av Byggnads</w:t>
      </w:r>
      <w:r w:rsidRPr="0049492A">
        <w:softHyphen/>
        <w:t>styrelsen/ regeringen så höjdes myndighetens anslag för att täcka den extra kostnaden. Det innebar att lokalerna var gratis ur myndigheternas perspektiv. Myndi</w:t>
      </w:r>
      <w:r w:rsidRPr="0049492A">
        <w:t>g</w:t>
      </w:r>
      <w:r w:rsidRPr="0049492A">
        <w:t>heterna behövde inte ta hänsyn till kostnaderna när de bedömde sitt behov av lokaler. Byggnadsstyrelsen, som ytterst bestämde hur stora lokaler en my</w:t>
      </w:r>
      <w:r w:rsidRPr="0049492A">
        <w:t>n</w:t>
      </w:r>
      <w:r w:rsidRPr="0049492A">
        <w:t>dighet skulle ha, hade inte alltid den bästa kun</w:t>
      </w:r>
      <w:r w:rsidRPr="0049492A">
        <w:t xml:space="preserve">skapen om verksamhetens behov. </w:t>
      </w:r>
    </w:p>
    <w:p w:rsidR="008D3479" w:rsidRPr="0049492A" w:rsidRDefault="008D3479">
      <w:pPr>
        <w:pStyle w:val="Normaltindrag"/>
      </w:pPr>
      <w:r w:rsidRPr="0049492A">
        <w:t>Den ekonomiska förvalt</w:t>
      </w:r>
      <w:r w:rsidRPr="0049492A">
        <w:softHyphen/>
        <w:t xml:space="preserve">ningen av </w:t>
      </w:r>
      <w:r w:rsidRPr="0049492A">
        <w:rPr>
          <w:i/>
        </w:rPr>
        <w:t>försvarets fastigheter</w:t>
      </w:r>
      <w:r w:rsidRPr="0049492A">
        <w:t xml:space="preserve"> sköttes av </w:t>
      </w:r>
      <w:r w:rsidRPr="0049492A">
        <w:rPr>
          <w:i/>
        </w:rPr>
        <w:t>Fortif</w:t>
      </w:r>
      <w:r w:rsidRPr="0049492A">
        <w:rPr>
          <w:i/>
        </w:rPr>
        <w:t>i</w:t>
      </w:r>
      <w:r w:rsidRPr="0049492A">
        <w:rPr>
          <w:i/>
        </w:rPr>
        <w:t>kations</w:t>
      </w:r>
      <w:r w:rsidRPr="0049492A">
        <w:rPr>
          <w:i/>
        </w:rPr>
        <w:softHyphen/>
        <w:t>förvaltningen</w:t>
      </w:r>
      <w:r w:rsidRPr="0049492A">
        <w:t xml:space="preserve"> medan den direkta fastighetsförvaltningen ofta sköttes av de som brukade fastigheterna. Anslag till olika byggprojekt inom försv</w:t>
      </w:r>
      <w:r w:rsidRPr="0049492A">
        <w:t>a</w:t>
      </w:r>
      <w:r w:rsidRPr="0049492A">
        <w:t>rets fastighetsbestånd fördelades genom budget</w:t>
      </w:r>
      <w:r w:rsidRPr="0049492A">
        <w:softHyphen/>
        <w:t>processen, och i regel betal</w:t>
      </w:r>
      <w:r w:rsidRPr="0049492A">
        <w:t>a</w:t>
      </w:r>
      <w:r w:rsidRPr="0049492A">
        <w:t>de hyresgästen ingen hyra för fastighete</w:t>
      </w:r>
      <w:r w:rsidRPr="0049492A">
        <w:t>r</w:t>
      </w:r>
      <w:r w:rsidRPr="0049492A">
        <w:t>na.</w:t>
      </w:r>
      <w:r w:rsidRPr="0049492A">
        <w:rPr>
          <w:rStyle w:val="Fotnotsreferens"/>
        </w:rPr>
        <w:footnoteReference w:id="10"/>
      </w:r>
      <w:r w:rsidRPr="0049492A">
        <w:t xml:space="preserve"> </w:t>
      </w:r>
    </w:p>
    <w:p w:rsidR="008D3479" w:rsidRPr="0049492A" w:rsidRDefault="008D3479">
      <w:pPr>
        <w:pStyle w:val="Rubrik3-Utannumrering"/>
      </w:pPr>
      <w:bookmarkStart w:id="188" w:name="_Toc515780773"/>
      <w:bookmarkStart w:id="189" w:name="_Toc515855834"/>
      <w:bookmarkStart w:id="190" w:name="_Toc515855936"/>
      <w:bookmarkStart w:id="191" w:name="_Toc516536397"/>
      <w:bookmarkStart w:id="192" w:name="_Toc516544549"/>
      <w:bookmarkStart w:id="193" w:name="_Toc516545284"/>
      <w:bookmarkStart w:id="194" w:name="_Toc516545417"/>
      <w:bookmarkStart w:id="195" w:name="_Toc523215824"/>
      <w:bookmarkStart w:id="196" w:name="_Toc524062393"/>
      <w:bookmarkStart w:id="197" w:name="_Toc524081022"/>
      <w:bookmarkStart w:id="198" w:name="_Toc524166745"/>
      <w:bookmarkStart w:id="199" w:name="_Toc524168622"/>
      <w:bookmarkStart w:id="200" w:name="_Toc524856347"/>
      <w:bookmarkStart w:id="201" w:name="_Toc524926700"/>
      <w:bookmarkStart w:id="202" w:name="_Toc526147791"/>
      <w:bookmarkStart w:id="203" w:name="_Toc526234269"/>
      <w:r w:rsidRPr="0049492A">
        <w:t>Nytt system</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8D3479" w:rsidRPr="0049492A" w:rsidRDefault="008D3479">
      <w:r w:rsidRPr="0049492A">
        <w:t>Mot bakgrund av förändringarna i statsförvaltningen som helhet föreslog regeringen föränd</w:t>
      </w:r>
      <w:r w:rsidRPr="0049492A">
        <w:softHyphen/>
        <w:t>ringar även inom fastighetsförvaltningen. De enskilda myndigheterna fick besluta om och ta ansvaret för sin egen lokalförsör</w:t>
      </w:r>
      <w:r w:rsidRPr="0049492A">
        <w:t>j</w:t>
      </w:r>
      <w:r w:rsidRPr="0049492A">
        <w:t>ning.</w:t>
      </w:r>
      <w:r w:rsidRPr="0049492A">
        <w:rPr>
          <w:rStyle w:val="Fotnotsreferens"/>
        </w:rPr>
        <w:footnoteReference w:id="11"/>
      </w:r>
      <w:r w:rsidRPr="0049492A">
        <w:t xml:space="preserve"> Varje myndighets helhetsansvar för sin verksamhet gjordes tydligare. Uppgiften att företräda staten som ägare och förvaltare av fastigheterna re</w:t>
      </w:r>
      <w:r w:rsidRPr="0049492A">
        <w:t>n</w:t>
      </w:r>
      <w:r w:rsidRPr="0049492A">
        <w:t>odlades till ett par olika statliga verk och b</w:t>
      </w:r>
      <w:r w:rsidRPr="0049492A">
        <w:t>o</w:t>
      </w:r>
      <w:r w:rsidRPr="0049492A">
        <w:t xml:space="preserve">lag. </w:t>
      </w:r>
    </w:p>
    <w:p w:rsidR="008D3479" w:rsidRPr="0049492A" w:rsidRDefault="008D3479">
      <w:pPr>
        <w:pStyle w:val="Normaltindrag"/>
      </w:pPr>
      <w:r w:rsidRPr="0049492A">
        <w:t>Förvaltningen av statens ändamålsfastigheter skulle bedrivas på ett sådant sätt att fastigheternas värde inte urhol</w:t>
      </w:r>
      <w:r w:rsidRPr="0049492A">
        <w:softHyphen/>
        <w:t>kades under den ekonomiska livslän</w:t>
      </w:r>
      <w:r w:rsidRPr="0049492A">
        <w:t>g</w:t>
      </w:r>
      <w:r w:rsidRPr="0049492A">
        <w:t>den. Det innebar bl.a. att kostnader för förvaltningen måste täckas av hyres-intäkter. Syftet med detta var att myndigheterna skulle välja de mest prisvä</w:t>
      </w:r>
      <w:r w:rsidRPr="0049492A">
        <w:t>r</w:t>
      </w:r>
      <w:r w:rsidRPr="0049492A">
        <w:t>da lokalerna för sin verksamhet. Ett annat syfte  med reformen var att göra kostnaderna för statens fastigheter tydligare för både myndigheter och r</w:t>
      </w:r>
      <w:r w:rsidRPr="0049492A">
        <w:t>e</w:t>
      </w:r>
      <w:r w:rsidRPr="0049492A">
        <w:t>geringen. Det betydde att staten som verksamhetsansvarig även måste vara beredd att i vissa fall betala den lokalhyra som marknaden kräver, även för ändamåls</w:t>
      </w:r>
      <w:r w:rsidRPr="0049492A">
        <w:softHyphen/>
        <w:t>fastigheter. St</w:t>
      </w:r>
      <w:r w:rsidRPr="0049492A">
        <w:t>aten borde också, som alla fastighetsägare, sträva efter att få avkastning på sitt kapital.</w:t>
      </w:r>
      <w:r w:rsidRPr="0049492A">
        <w:rPr>
          <w:rStyle w:val="Fotnotsreferens"/>
        </w:rPr>
        <w:footnoteReference w:id="12"/>
      </w:r>
      <w:r w:rsidRPr="0049492A">
        <w:t xml:space="preserve"> </w:t>
      </w:r>
    </w:p>
    <w:p w:rsidR="008D3479" w:rsidRPr="0049492A" w:rsidRDefault="008D3479">
      <w:pPr>
        <w:pStyle w:val="Rubrik3-Utannumrering"/>
      </w:pPr>
      <w:bookmarkStart w:id="204" w:name="_Toc515780774"/>
      <w:bookmarkStart w:id="205" w:name="_Toc515855835"/>
      <w:bookmarkStart w:id="206" w:name="_Toc515855937"/>
      <w:bookmarkStart w:id="207" w:name="_Toc516536398"/>
      <w:bookmarkStart w:id="208" w:name="_Toc516544550"/>
      <w:bookmarkStart w:id="209" w:name="_Toc516545285"/>
      <w:bookmarkStart w:id="210" w:name="_Toc516545418"/>
      <w:bookmarkStart w:id="211" w:name="_Toc523215825"/>
      <w:bookmarkStart w:id="212" w:name="_Toc524062394"/>
      <w:bookmarkStart w:id="213" w:name="_Toc524081023"/>
      <w:bookmarkStart w:id="214" w:name="_Toc524166746"/>
      <w:bookmarkStart w:id="215" w:name="_Toc524168623"/>
      <w:bookmarkStart w:id="216" w:name="_Toc524856348"/>
      <w:bookmarkStart w:id="217" w:name="_Toc524926701"/>
      <w:bookmarkStart w:id="218" w:name="_Toc526147792"/>
      <w:bookmarkStart w:id="219" w:name="_Toc526234270"/>
      <w:r w:rsidRPr="0049492A">
        <w:t>Riksdagens beslut</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D3479" w:rsidRPr="0049492A" w:rsidRDefault="008D3479">
      <w:r w:rsidRPr="0049492A">
        <w:t>Med dessa förutsättningar föreslog regeringen ett antal riktlinjer för den statliga fastighetsförvaltningen. Följande riktlinjer beslutades av riksdagen 1991.</w:t>
      </w:r>
      <w:r w:rsidRPr="0049492A">
        <w:rPr>
          <w:rStyle w:val="Fotnotsreferens"/>
        </w:rPr>
        <w:footnoteReference w:id="13"/>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 xml:space="preserve">Fastighetsförvaltningen ska skiljas från brukandet av lokaler och mark. </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En mer rättvisande bild ska ges av mark- och lokalkostnaderna i stat</w:t>
      </w:r>
      <w:r w:rsidRPr="0049492A">
        <w:t>s</w:t>
      </w:r>
      <w:r w:rsidRPr="0049492A">
        <w:t>budgeten.</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Fastighetsförvaltningen ska bedrivas med ett, så långt möjligt, mar</w:t>
      </w:r>
      <w:r w:rsidRPr="0049492A">
        <w:t>k</w:t>
      </w:r>
      <w:r w:rsidRPr="0049492A">
        <w:t>nads</w:t>
      </w:r>
      <w:r w:rsidRPr="0049492A">
        <w:softHyphen/>
        <w:t>mässigt avkastningskrav.</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Fastighetsförvaltningen bör bedrivas i separata resultatenheter, som så långt möjligt formas efter olika fastigheters särart.</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Statens ägarroll bör renodlas. Graden av kapitalbindning och avkas</w:t>
      </w:r>
      <w:r w:rsidRPr="0049492A">
        <w:t>t</w:t>
      </w:r>
      <w:r w:rsidRPr="0049492A">
        <w:t xml:space="preserve">ningen på kapitalet bör fortlöpande bli föremål för prövning. </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 xml:space="preserve">Förvaltningen bör företrädesvis bedrivas i aktiebolagsform. </w:t>
      </w:r>
    </w:p>
    <w:p w:rsidR="008D3479" w:rsidRPr="0049492A" w:rsidRDefault="008D3479">
      <w:pPr>
        <w:numPr>
          <w:ilvl w:val="0"/>
          <w:numId w:val="38"/>
        </w:numPr>
        <w:pBdr>
          <w:top w:val="single" w:sz="4" w:space="1" w:color="auto"/>
          <w:left w:val="single" w:sz="4" w:space="4" w:color="auto"/>
          <w:bottom w:val="single" w:sz="4" w:space="1" w:color="auto"/>
          <w:right w:val="single" w:sz="4" w:space="4" w:color="auto"/>
        </w:pBdr>
      </w:pPr>
      <w:r w:rsidRPr="0049492A">
        <w:t>De fastigheter som av historiska eller andra skäl inte kan överföras till bolag bör omfattas av en samordnad förvaltning i myndighets</w:t>
      </w:r>
      <w:r w:rsidRPr="0049492A">
        <w:softHyphen/>
        <w:t xml:space="preserve">form.  </w:t>
      </w:r>
    </w:p>
    <w:p w:rsidR="008D3479" w:rsidRPr="0049492A" w:rsidRDefault="008D3479">
      <w:pPr>
        <w:pStyle w:val="Rubrik2-Utannumrering"/>
      </w:pPr>
      <w:bookmarkStart w:id="220" w:name="_Toc514560694"/>
      <w:bookmarkStart w:id="221" w:name="_Toc515247939"/>
      <w:bookmarkStart w:id="222" w:name="_Toc515780775"/>
      <w:bookmarkStart w:id="223" w:name="_Toc515855836"/>
      <w:bookmarkStart w:id="224" w:name="_Toc515855938"/>
      <w:bookmarkStart w:id="225" w:name="_Toc516536399"/>
      <w:bookmarkStart w:id="226" w:name="_Toc516544551"/>
      <w:bookmarkStart w:id="227" w:name="_Toc516545286"/>
      <w:bookmarkStart w:id="228" w:name="_Toc516545419"/>
      <w:bookmarkStart w:id="229" w:name="_Toc523215826"/>
      <w:bookmarkStart w:id="230" w:name="_Toc524062395"/>
      <w:bookmarkStart w:id="231" w:name="_Toc524081024"/>
      <w:bookmarkStart w:id="232" w:name="_Toc524166747"/>
      <w:bookmarkStart w:id="233" w:name="_Toc524168624"/>
      <w:bookmarkStart w:id="234" w:name="_Toc524856349"/>
      <w:bookmarkStart w:id="235" w:name="_Toc524926702"/>
      <w:bookmarkStart w:id="236" w:name="_Toc526147793"/>
      <w:bookmarkStart w:id="237" w:name="_Toc526234271"/>
      <w:bookmarkStart w:id="238" w:name="_Toc532725177"/>
      <w:r w:rsidRPr="0049492A">
        <w:t>Fastighetsorganisationen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8D3479" w:rsidRPr="0049492A" w:rsidRDefault="008D3479">
      <w:r w:rsidRPr="0049492A">
        <w:t>Fastighetsreformen genomfördes 1993. Byggnadsstyrelsen, som tidigare haft ansvar för statens lokaler, avvecklades och en ny organisation för statlig fastighetsförvaltning tog form.</w:t>
      </w:r>
      <w:r w:rsidRPr="0049492A">
        <w:rPr>
          <w:rStyle w:val="Fotnotsreferens"/>
        </w:rPr>
        <w:footnoteReference w:id="14"/>
      </w:r>
      <w:r w:rsidRPr="0049492A">
        <w:t xml:space="preserve"> I den nya organisationen delades fastighet</w:t>
      </w:r>
      <w:r w:rsidRPr="0049492A">
        <w:t>s</w:t>
      </w:r>
      <w:r w:rsidRPr="0049492A">
        <w:t>beståndet upp i generellt användbara fastigheter (kontorsfastigheter) och s.k. ändamålfastigheter. Ändamålsfastigheter definierades som byggnader som saknar, eller har en mycket liten, alternativ användning och/eller har skrä</w:t>
      </w:r>
      <w:r w:rsidRPr="0049492A">
        <w:t>d</w:t>
      </w:r>
      <w:r w:rsidRPr="0049492A">
        <w:t>darsytts för sitt ändamål. Exempel på ändamålsfastigheter är vissa av rättsv</w:t>
      </w:r>
      <w:r w:rsidRPr="0049492A">
        <w:t>ä</w:t>
      </w:r>
      <w:r w:rsidRPr="0049492A">
        <w:t>sendets lokaler, vissa byggnader i högskolan och inom kulturområdet samt delar av det militära försvarets bestånd.</w:t>
      </w:r>
      <w:r w:rsidRPr="0049492A">
        <w:rPr>
          <w:rStyle w:val="Fotnotsreferens"/>
        </w:rPr>
        <w:footnoteReference w:id="15"/>
      </w:r>
      <w:r w:rsidRPr="0049492A">
        <w:t xml:space="preserve"> Ett statligt ägande av ändamålsfa</w:t>
      </w:r>
      <w:r w:rsidRPr="0049492A">
        <w:t>s</w:t>
      </w:r>
      <w:r w:rsidRPr="0049492A">
        <w:t>tigheter motiverades av att de är starkt förbundna med en viss statlig ver</w:t>
      </w:r>
      <w:r w:rsidRPr="0049492A">
        <w:t>k</w:t>
      </w:r>
      <w:r w:rsidRPr="0049492A">
        <w:t>samhet, och att verksamheten skulle kunna erbjudas långsiktiga och stabila förutsättningar. Andra skäl till statligt ägande kan vara historiska, säkerhet</w:t>
      </w:r>
      <w:r w:rsidRPr="0049492A">
        <w:t>s</w:t>
      </w:r>
      <w:r w:rsidRPr="0049492A">
        <w:t>mässiga eller att staten vill behålla kontroll över en produktionsfaktor. Ett fortsatt statligt ägande av generella fastigheter bedömdes inte som nödvä</w:t>
      </w:r>
      <w:r w:rsidRPr="0049492A">
        <w:t>n</w:t>
      </w:r>
      <w:r w:rsidRPr="0049492A">
        <w:t xml:space="preserve">digt på lång sikt. </w:t>
      </w:r>
    </w:p>
    <w:p w:rsidR="008D3479" w:rsidRPr="0049492A" w:rsidRDefault="008D3479">
      <w:pPr>
        <w:pStyle w:val="Normaltindrag"/>
      </w:pPr>
      <w:r w:rsidRPr="0049492A">
        <w:t>De fastigheter som bedömdes vara ändamålsfastigheter delades upp utifrån sak</w:t>
      </w:r>
      <w:r w:rsidRPr="0049492A">
        <w:t>område. De fastigheter som bedömdes vara generellt användbara fördes över till ett särskilt bolag, Vasakronan AB. Tre nya verk och två nya bolag skapades genom ombildningen av Byggnadsstyrelsen och Fortifik</w:t>
      </w:r>
      <w:r w:rsidRPr="0049492A">
        <w:t>a</w:t>
      </w:r>
      <w:r w:rsidRPr="0049492A">
        <w:t>tions</w:t>
      </w:r>
      <w:r w:rsidRPr="0049492A">
        <w:softHyphen/>
        <w:t xml:space="preserve">förvaltningen. </w:t>
      </w:r>
    </w:p>
    <w:p w:rsidR="008D3479" w:rsidRPr="0049492A" w:rsidRDefault="008D3479">
      <w:pPr>
        <w:pStyle w:val="Normaltindrag"/>
      </w:pPr>
      <w:r w:rsidRPr="0049492A">
        <w:rPr>
          <w:i/>
        </w:rPr>
        <w:t>Statens lokalförsörjningsverk</w:t>
      </w:r>
      <w:r w:rsidRPr="0049492A">
        <w:t xml:space="preserve"> bildades med uppgift att fungera som stabs-organ åt regeringen och som konsult inom lokalförsörjningsområdet åt statl</w:t>
      </w:r>
      <w:r w:rsidRPr="0049492A">
        <w:t>i</w:t>
      </w:r>
      <w:r w:rsidRPr="0049492A">
        <w:t>ga myndig</w:t>
      </w:r>
      <w:r w:rsidRPr="0049492A">
        <w:softHyphen/>
        <w:t xml:space="preserve">heter. </w:t>
      </w:r>
      <w:r w:rsidRPr="0049492A">
        <w:rPr>
          <w:i/>
        </w:rPr>
        <w:t>Statens fastighetsverk</w:t>
      </w:r>
      <w:r w:rsidRPr="0049492A">
        <w:t xml:space="preserve"> bildades för förvaltning av kultur</w:t>
      </w:r>
      <w:r w:rsidRPr="0049492A">
        <w:softHyphen/>
        <w:t xml:space="preserve">fastigheter m.m., </w:t>
      </w:r>
      <w:r w:rsidRPr="0049492A">
        <w:rPr>
          <w:i/>
        </w:rPr>
        <w:t>Fortifikationsverket</w:t>
      </w:r>
      <w:r w:rsidRPr="0049492A">
        <w:t xml:space="preserve"> bildades för förvaltning av ändamåls</w:t>
      </w:r>
      <w:r w:rsidRPr="0049492A">
        <w:softHyphen/>
        <w:t>fastigheter inom total</w:t>
      </w:r>
      <w:r w:rsidRPr="0049492A">
        <w:softHyphen/>
        <w:t xml:space="preserve">försvaret. Två statliga fastighetskoncerner bildades. Den ena var </w:t>
      </w:r>
      <w:r w:rsidRPr="0049492A">
        <w:rPr>
          <w:i/>
        </w:rPr>
        <w:t>Statliga Akademiska Hus AB</w:t>
      </w:r>
      <w:r w:rsidRPr="0049492A">
        <w:t xml:space="preserve">, som bildades för förvaltning av fastigheter som används av universitet och högskolor. Den andra var </w:t>
      </w:r>
      <w:r w:rsidRPr="0049492A">
        <w:rPr>
          <w:i/>
        </w:rPr>
        <w:t>Vas</w:t>
      </w:r>
      <w:r w:rsidRPr="0049492A">
        <w:rPr>
          <w:i/>
        </w:rPr>
        <w:t>a</w:t>
      </w:r>
      <w:r w:rsidRPr="0049492A">
        <w:rPr>
          <w:i/>
        </w:rPr>
        <w:t>kronan Holding AB</w:t>
      </w:r>
      <w:r w:rsidRPr="0049492A">
        <w:t>, so</w:t>
      </w:r>
      <w:r w:rsidRPr="0049492A">
        <w:t>m inledningsvis bestod av fyra bolag, Vasakronan AB för förvaltning av generellt användbara lokaler som främst var avsedda för kontorsändamål, Vasakronan Krim AB för förvaltning av fastigheter som hyrdes av Kriminalvårdsstyrelsen, Vasajorden AB för förvaltning av fasti</w:t>
      </w:r>
      <w:r w:rsidRPr="0049492A">
        <w:t>g</w:t>
      </w:r>
      <w:r w:rsidRPr="0049492A">
        <w:t>heter som hyrdes av Sveriges lantbruksuniversitet (SLU) och Confortia AB för tekniska uppdrag åt försvaret.</w:t>
      </w:r>
      <w:r w:rsidRPr="0049492A">
        <w:rPr>
          <w:rStyle w:val="Fotnotsreferens"/>
        </w:rPr>
        <w:footnoteReference w:id="16"/>
      </w:r>
    </w:p>
    <w:p w:rsidR="008D3479" w:rsidRPr="0049492A" w:rsidRDefault="008D3479">
      <w:pPr>
        <w:pStyle w:val="Normaltindrag"/>
      </w:pPr>
      <w:r w:rsidRPr="0049492A">
        <w:t>Den reformerade fastighetsorganisationen innebar inte en glasklar uppde</w:t>
      </w:r>
      <w:r w:rsidRPr="0049492A">
        <w:t>l</w:t>
      </w:r>
      <w:r w:rsidRPr="0049492A">
        <w:t>ning mellan renodlade ändamålsfastigheter och generellt användbara fasti</w:t>
      </w:r>
      <w:r w:rsidRPr="0049492A">
        <w:t>g</w:t>
      </w:r>
      <w:r w:rsidRPr="0049492A">
        <w:t>heter. Många fastigheter som har skräddarsytts för ett särskilt ändamål kan med vissa ombyggnationer och/eller en annan brukare ha en alternativ a</w:t>
      </w:r>
      <w:r w:rsidRPr="0049492A">
        <w:t>n</w:t>
      </w:r>
      <w:r w:rsidRPr="0049492A">
        <w:t>vändning. Gränsen mellan vad som är en ändamålsfastighet och en generellt användbar fastighet är därför i många fall flytande. Organisationsstrukturen gjordes dock utifrån en bedömning av fastigheternas grad av ändamålsa</w:t>
      </w:r>
      <w:r w:rsidRPr="0049492A">
        <w:t>n</w:t>
      </w:r>
      <w:r w:rsidRPr="0049492A">
        <w:t>passning och användningsområde. Fastigheter som bedömdes vara av särar</w:t>
      </w:r>
      <w:r w:rsidRPr="0049492A">
        <w:t>t och inte generellt använd- och utbytbara fördes över till särskilda organis</w:t>
      </w:r>
      <w:r w:rsidRPr="0049492A">
        <w:t>a</w:t>
      </w:r>
      <w:r w:rsidRPr="0049492A">
        <w:t>tioner. Fastighetsförvaltningen i dessa organisationer kan därför sägas vara av ändamålskaraktär, även om vissa av fastigheterna i deras bestånd har alternativ användning och hyresgästerna delvis har alternativa hyresvä</w:t>
      </w:r>
      <w:r w:rsidRPr="0049492A">
        <w:t>r</w:t>
      </w:r>
      <w:r w:rsidRPr="0049492A">
        <w:t xml:space="preserve">dar. </w:t>
      </w:r>
    </w:p>
    <w:p w:rsidR="008D3479" w:rsidRPr="0049492A" w:rsidRDefault="008D3479">
      <w:pPr>
        <w:pStyle w:val="Rubrik1-Utannumrering"/>
      </w:pPr>
      <w:bookmarkStart w:id="239" w:name="_Toc514560695"/>
      <w:bookmarkStart w:id="240" w:name="_Toc515247940"/>
      <w:bookmarkStart w:id="241" w:name="_Toc515780776"/>
      <w:bookmarkStart w:id="242" w:name="_Toc515855837"/>
      <w:bookmarkStart w:id="243" w:name="_Toc515855939"/>
      <w:bookmarkStart w:id="244" w:name="_Toc516536400"/>
      <w:bookmarkStart w:id="245" w:name="_Toc516544552"/>
      <w:bookmarkStart w:id="246" w:name="_Toc516545287"/>
      <w:bookmarkStart w:id="247" w:name="_Toc516545420"/>
      <w:bookmarkStart w:id="248" w:name="_Toc523215827"/>
      <w:bookmarkStart w:id="249" w:name="_Toc524062396"/>
      <w:bookmarkStart w:id="250" w:name="_Toc524081025"/>
      <w:bookmarkStart w:id="251" w:name="_Toc524166748"/>
      <w:bookmarkStart w:id="252" w:name="_Toc524168625"/>
      <w:bookmarkStart w:id="253" w:name="_Toc524856350"/>
      <w:bookmarkStart w:id="254" w:name="_Toc524926703"/>
      <w:bookmarkStart w:id="255" w:name="_Toc526147794"/>
      <w:bookmarkStart w:id="256" w:name="_Toc526234272"/>
      <w:bookmarkStart w:id="257" w:name="_Toc532725178"/>
      <w:r w:rsidRPr="0049492A">
        <w:t>3 Utvärderingar av</w:t>
      </w:r>
      <w:bookmarkEnd w:id="239"/>
      <w:r w:rsidRPr="0049492A">
        <w:t xml:space="preserve"> fastighetsreformen</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Sammanfattning:</w:t>
      </w:r>
      <w:r w:rsidRPr="0049492A">
        <w:t xml:space="preserve"> Statens lokalförsörjningsverk har i en utvärdering kritis</w:t>
      </w:r>
      <w:r w:rsidRPr="0049492A">
        <w:t>e</w:t>
      </w:r>
      <w:r w:rsidRPr="0049492A">
        <w:t>rat  systemet för hanteringen av ändamålsfastigheter. Kritiken gällde otydliga principer för hyressättning och bristande styrning från reg</w:t>
      </w:r>
      <w:r w:rsidRPr="0049492A">
        <w:t>e</w:t>
      </w:r>
      <w:r w:rsidRPr="0049492A">
        <w:t xml:space="preserve">ringen.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En utredning av statens fastighetsorganisation har riktat kritik mot att det saknas tydliga ägardirektiv och spelregler för samspelet mellan parterna i ändamålsfastigheter, samt mot bristande öppenhet om grunderna för hyre</w:t>
      </w:r>
      <w:r w:rsidRPr="0049492A">
        <w:t>s</w:t>
      </w:r>
      <w:r w:rsidRPr="0049492A">
        <w:t>sättning. Förslag på ny hyresmodell lades.</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Riksdagens revisorer har i en tidigare rapport ifrågasatt lämpligheten i att använda markna</w:t>
      </w:r>
      <w:r w:rsidRPr="0049492A">
        <w:t>d</w:t>
      </w:r>
      <w:r w:rsidRPr="0049492A">
        <w:t xml:space="preserve">sekonomiska principer för lokaler som saknar marknad. </w:t>
      </w:r>
    </w:p>
    <w:p w:rsidR="008D3479" w:rsidRPr="0049492A" w:rsidRDefault="008D3479">
      <w:pPr>
        <w:pStyle w:val="Rubrik2-Utannumrering"/>
      </w:pPr>
      <w:bookmarkStart w:id="258" w:name="_Toc515247941"/>
      <w:bookmarkStart w:id="259" w:name="_Toc515780777"/>
      <w:bookmarkStart w:id="260" w:name="_Toc515855838"/>
      <w:bookmarkStart w:id="261" w:name="_Toc515855940"/>
      <w:bookmarkStart w:id="262" w:name="_Toc516536401"/>
      <w:bookmarkStart w:id="263" w:name="_Toc516544553"/>
      <w:bookmarkStart w:id="264" w:name="_Toc516545288"/>
      <w:bookmarkStart w:id="265" w:name="_Toc516545421"/>
      <w:bookmarkStart w:id="266" w:name="_Toc523215828"/>
      <w:bookmarkStart w:id="267" w:name="_Toc524062397"/>
      <w:bookmarkStart w:id="268" w:name="_Toc524081026"/>
      <w:bookmarkStart w:id="269" w:name="_Toc524166749"/>
      <w:bookmarkStart w:id="270" w:name="_Toc524168626"/>
      <w:bookmarkStart w:id="271" w:name="_Toc524856351"/>
      <w:bookmarkStart w:id="272" w:name="_Toc524926704"/>
      <w:bookmarkStart w:id="273" w:name="_Toc526147795"/>
      <w:bookmarkStart w:id="274" w:name="_Toc526234273"/>
      <w:bookmarkStart w:id="275" w:name="_Toc532725179"/>
      <w:r w:rsidRPr="0049492A">
        <w:t xml:space="preserve">Lokalförsörjningsverkets </w:t>
      </w:r>
      <w:bookmarkEnd w:id="258"/>
      <w:bookmarkEnd w:id="259"/>
      <w:bookmarkEnd w:id="260"/>
      <w:bookmarkEnd w:id="261"/>
      <w:r w:rsidRPr="0049492A">
        <w:t>utvärdering av riktlinjer</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8D3479" w:rsidRPr="0049492A" w:rsidRDefault="008D3479">
      <w:r w:rsidRPr="0049492A">
        <w:t>Statens lokalförsörjningsverk fick år 1995 i uppdrag att utvärdera effekterna av riktlinjerna för myndigheternas lokalförsörjning. I en rapport konstaterade verket att inga större förändringar var motiverade vad gällde generella lok</w:t>
      </w:r>
      <w:r w:rsidRPr="0049492A">
        <w:t>a</w:t>
      </w:r>
      <w:r w:rsidRPr="0049492A">
        <w:t>ler. Verket var dock kritiskt till systemet för hantering av ändamålsfastigh</w:t>
      </w:r>
      <w:r w:rsidRPr="0049492A">
        <w:t>e</w:t>
      </w:r>
      <w:r w:rsidRPr="0049492A">
        <w:t xml:space="preserve">ter. </w:t>
      </w:r>
    </w:p>
    <w:p w:rsidR="008D3479" w:rsidRPr="0049492A" w:rsidRDefault="008D3479">
      <w:pPr>
        <w:pStyle w:val="Normaltindrag"/>
      </w:pPr>
      <w:r w:rsidRPr="0049492A">
        <w:t>Principerna för hyres</w:t>
      </w:r>
      <w:r w:rsidRPr="0049492A">
        <w:softHyphen/>
        <w:t>sättning behandlades mycket kortfattat och inte helt entydigt i de propositioner som låg till grund för de nya riktlinjerna för fa</w:t>
      </w:r>
      <w:r w:rsidRPr="0049492A">
        <w:t>s</w:t>
      </w:r>
      <w:r w:rsidRPr="0049492A">
        <w:t>tighetsförvaltning och lokalförsörjning, konstaterade verket. Vad som sades i propositioner och riksdagsbeslut hade inte omsatts i särskilda uppdrag från regeringen till de fastig</w:t>
      </w:r>
      <w:r w:rsidRPr="0049492A">
        <w:softHyphen/>
        <w:t>hets</w:t>
      </w:r>
      <w:r w:rsidRPr="0049492A">
        <w:softHyphen/>
        <w:t>förvaltande myndigheterna och aktiebolagen. Detta hade medfört att fastighets</w:t>
      </w:r>
      <w:r w:rsidRPr="0049492A">
        <w:softHyphen/>
        <w:t>förvaltare och hyresgäster hade tolkat föru</w:t>
      </w:r>
      <w:r w:rsidRPr="0049492A">
        <w:t>t</w:t>
      </w:r>
      <w:r w:rsidRPr="0049492A">
        <w:t>sättningarna för hyressättningen på olika sätt, enligt verkets erfaren</w:t>
      </w:r>
      <w:r w:rsidRPr="0049492A">
        <w:softHyphen/>
        <w:t>he</w:t>
      </w:r>
      <w:r w:rsidRPr="0049492A">
        <w:t>ter. Förhållandet mellan Försvarsmakten och Fortifikationsverket framhölls dock som ett undantag där hyresavtal hade upprättats på ett til</w:t>
      </w:r>
      <w:r w:rsidRPr="0049492A">
        <w:t>l</w:t>
      </w:r>
      <w:r w:rsidRPr="0049492A">
        <w:t>fredsställande sätt.</w:t>
      </w:r>
      <w:r w:rsidRPr="0049492A">
        <w:rPr>
          <w:rStyle w:val="Fotnotsreferens"/>
        </w:rPr>
        <w:footnoteReference w:id="17"/>
      </w:r>
      <w:r w:rsidRPr="0049492A">
        <w:t xml:space="preserve"> </w:t>
      </w:r>
    </w:p>
    <w:p w:rsidR="008D3479" w:rsidRPr="0049492A" w:rsidRDefault="008D3479">
      <w:pPr>
        <w:pStyle w:val="Normaltindrag"/>
      </w:pPr>
      <w:r w:rsidRPr="0049492A">
        <w:t>Slutsatsen som Lokalförsörjningsverket drog var att statsmakterna borde vidta åtgärder för att hyrorna skulle kunna sättas efter principer som var tydliga och kända för båda parter. Ett särskilt förvaltnings</w:t>
      </w:r>
      <w:r w:rsidRPr="0049492A">
        <w:softHyphen/>
        <w:t>uppdrag som spec</w:t>
      </w:r>
      <w:r w:rsidRPr="0049492A">
        <w:t>i</w:t>
      </w:r>
      <w:r w:rsidRPr="0049492A">
        <w:t>ficerade grunder och villkor för hyresberäkning till de förvaltande organen skulle vara en lämplig åtgärd, enligt verkets mening.</w:t>
      </w:r>
      <w:r w:rsidRPr="0049492A">
        <w:rPr>
          <w:rStyle w:val="Fotnotsreferens"/>
        </w:rPr>
        <w:footnoteReference w:id="18"/>
      </w:r>
      <w:r w:rsidRPr="0049492A">
        <w:t xml:space="preserve"> </w:t>
      </w:r>
    </w:p>
    <w:p w:rsidR="008D3479" w:rsidRPr="0049492A" w:rsidRDefault="008D3479">
      <w:pPr>
        <w:pStyle w:val="Rubrik2-Utannumrering"/>
      </w:pPr>
      <w:bookmarkStart w:id="276" w:name="_Toc515247942"/>
      <w:bookmarkStart w:id="277" w:name="_Toc515780778"/>
      <w:bookmarkStart w:id="278" w:name="_Toc515855839"/>
      <w:bookmarkStart w:id="279" w:name="_Toc515855941"/>
      <w:bookmarkStart w:id="280" w:name="_Toc516536402"/>
      <w:bookmarkStart w:id="281" w:name="_Toc516544554"/>
      <w:bookmarkStart w:id="282" w:name="_Toc516545289"/>
      <w:bookmarkStart w:id="283" w:name="_Toc516545422"/>
      <w:bookmarkStart w:id="284" w:name="_Toc523215829"/>
      <w:bookmarkStart w:id="285" w:name="_Toc524062398"/>
      <w:bookmarkStart w:id="286" w:name="_Toc524081027"/>
      <w:bookmarkStart w:id="287" w:name="_Toc524166750"/>
      <w:bookmarkStart w:id="288" w:name="_Toc524168627"/>
      <w:bookmarkStart w:id="289" w:name="_Toc524856352"/>
      <w:bookmarkStart w:id="290" w:name="_Toc524926705"/>
      <w:bookmarkStart w:id="291" w:name="_Toc526147796"/>
      <w:bookmarkStart w:id="292" w:name="_Toc526234274"/>
      <w:bookmarkStart w:id="293" w:name="_Toc532725180"/>
      <w:r w:rsidRPr="0049492A">
        <w:t>Utvärderingen av statens fastighetsorganisation</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D3479" w:rsidRPr="0049492A" w:rsidRDefault="008D3479">
      <w:r w:rsidRPr="0049492A">
        <w:t>En utvärdering av statens fastighetsorganisation visade att en klar majoritet av de statliga hyresgästerna ansåg att det nya systemet fungerade bättre än det gamla.</w:t>
      </w:r>
      <w:r w:rsidRPr="0049492A">
        <w:rPr>
          <w:rStyle w:val="Fotnotsreferens"/>
        </w:rPr>
        <w:footnoteReference w:id="19"/>
      </w:r>
      <w:r w:rsidRPr="0049492A">
        <w:t xml:space="preserve"> Det nya systemet innebar en större flexibilitet i lokalutnyttjandet samt en ökad medvetenhet om lokalutnyttjande och lokalkostnader. I utvä</w:t>
      </w:r>
      <w:r w:rsidRPr="0049492A">
        <w:t>r</w:t>
      </w:r>
      <w:r w:rsidRPr="0049492A">
        <w:t>deringen konsta</w:t>
      </w:r>
      <w:r w:rsidRPr="0049492A">
        <w:softHyphen/>
        <w:t>te</w:t>
      </w:r>
      <w:r w:rsidRPr="0049492A">
        <w:softHyphen/>
        <w:t>rades dock att reformen inte enbart fått positiva följder. Efter reformen uppstod konflikter mellan hyresvärd och hyresgäster i änd</w:t>
      </w:r>
      <w:r w:rsidRPr="0049492A">
        <w:t>a</w:t>
      </w:r>
      <w:r w:rsidRPr="0049492A">
        <w:t xml:space="preserve">målsfastigheter främst när det gäller hyressättningen. </w:t>
      </w:r>
    </w:p>
    <w:p w:rsidR="008D3479" w:rsidRPr="0049492A" w:rsidRDefault="008D3479">
      <w:pPr>
        <w:pStyle w:val="Rubrik3-Utannumrering"/>
      </w:pPr>
      <w:bookmarkStart w:id="294" w:name="_Toc515780779"/>
      <w:bookmarkStart w:id="295" w:name="_Toc515855840"/>
      <w:bookmarkStart w:id="296" w:name="_Toc515855942"/>
      <w:bookmarkStart w:id="297" w:name="_Toc516536403"/>
      <w:bookmarkStart w:id="298" w:name="_Toc516544555"/>
      <w:bookmarkStart w:id="299" w:name="_Toc516545290"/>
      <w:bookmarkStart w:id="300" w:name="_Toc516545423"/>
      <w:bookmarkStart w:id="301" w:name="_Toc523215830"/>
      <w:bookmarkStart w:id="302" w:name="_Toc524062399"/>
      <w:bookmarkStart w:id="303" w:name="_Toc524081028"/>
      <w:bookmarkStart w:id="304" w:name="_Toc524166751"/>
      <w:bookmarkStart w:id="305" w:name="_Toc524168628"/>
      <w:bookmarkStart w:id="306" w:name="_Toc524856353"/>
      <w:bookmarkStart w:id="307" w:name="_Toc524926706"/>
      <w:bookmarkStart w:id="308" w:name="_Toc526147797"/>
      <w:bookmarkStart w:id="309" w:name="_Toc526234275"/>
      <w:r w:rsidRPr="0049492A">
        <w:t>Utredningens kritik</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8D3479" w:rsidRPr="0049492A" w:rsidRDefault="008D3479">
      <w:r w:rsidRPr="0049492A">
        <w:t xml:space="preserve"> Kritiken som utredningen riktade mot den nya fastighetsorganisationen gällde bl.a. följande förhållanden: </w:t>
      </w:r>
    </w:p>
    <w:p w:rsidR="008D3479" w:rsidRPr="0049492A" w:rsidRDefault="008D3479">
      <w:pPr>
        <w:pStyle w:val="Normaltindrag"/>
      </w:pPr>
      <w:r w:rsidRPr="0049492A">
        <w:t>Det saknas tydliga ägardirektiv och spelregler för samspelet mellan parte</w:t>
      </w:r>
      <w:r w:rsidRPr="0049492A">
        <w:t>r</w:t>
      </w:r>
      <w:r w:rsidRPr="0049492A">
        <w:t>na vilket har lett till svårigheter i hyres</w:t>
      </w:r>
      <w:r w:rsidRPr="0049492A">
        <w:softHyphen/>
        <w:t>förhandlingar kring ändamålsfasti</w:t>
      </w:r>
      <w:r w:rsidRPr="0049492A">
        <w:t>g</w:t>
      </w:r>
      <w:r w:rsidRPr="0049492A">
        <w:t>heter. Bristerna beror inte på övergången till marknadsmässighet, menade utredningen, utan på att man inte analyserat vad marknads</w:t>
      </w:r>
      <w:r w:rsidRPr="0049492A">
        <w:softHyphen/>
        <w:t>mässighet innebär för lokaler som utformas för särskilda ändamål. Den gråzon där fastigheterna är relativt speciella och den externa marknaden mycket liten, har inte b</w:t>
      </w:r>
      <w:r w:rsidRPr="0049492A">
        <w:t>e</w:t>
      </w:r>
      <w:r w:rsidRPr="0049492A">
        <w:t xml:space="preserve">handlats i förarbeten till fastighetsreformen, enligt utredningen. </w:t>
      </w:r>
    </w:p>
    <w:p w:rsidR="008D3479" w:rsidRPr="0049492A" w:rsidRDefault="008D3479">
      <w:pPr>
        <w:pStyle w:val="Normaltindrag"/>
      </w:pPr>
      <w:r w:rsidRPr="0049492A">
        <w:t>Hyresgästen och fastighetsägaren är ofta oeniga om vilken hyresmod</w:t>
      </w:r>
      <w:r w:rsidRPr="0049492A">
        <w:t>ell som ska tillämpas. Oenigheten har också lett till bristande öppenhet om grunderna för hyressät</w:t>
      </w:r>
      <w:r w:rsidRPr="0049492A">
        <w:t>t</w:t>
      </w:r>
      <w:r w:rsidRPr="0049492A">
        <w:t xml:space="preserve">ningen. </w:t>
      </w:r>
    </w:p>
    <w:p w:rsidR="008D3479" w:rsidRPr="0049492A" w:rsidRDefault="008D3479">
      <w:pPr>
        <w:pStyle w:val="Rubrik3-Utannumrering"/>
      </w:pPr>
      <w:bookmarkStart w:id="310" w:name="_Toc514560699"/>
      <w:bookmarkStart w:id="311" w:name="_Toc515247944"/>
      <w:bookmarkStart w:id="312" w:name="_Toc515780780"/>
      <w:bookmarkStart w:id="313" w:name="_Toc515855841"/>
      <w:bookmarkStart w:id="314" w:name="_Toc515855943"/>
      <w:bookmarkStart w:id="315" w:name="_Toc516536404"/>
      <w:bookmarkStart w:id="316" w:name="_Toc516544556"/>
      <w:bookmarkStart w:id="317" w:name="_Toc516545291"/>
      <w:bookmarkStart w:id="318" w:name="_Toc516545424"/>
      <w:bookmarkStart w:id="319" w:name="_Toc523215831"/>
      <w:bookmarkStart w:id="320" w:name="_Toc524062400"/>
      <w:bookmarkStart w:id="321" w:name="_Toc524081029"/>
      <w:bookmarkStart w:id="322" w:name="_Toc524166752"/>
      <w:bookmarkStart w:id="323" w:name="_Toc524168629"/>
      <w:bookmarkStart w:id="324" w:name="_Toc524856354"/>
      <w:bookmarkStart w:id="325" w:name="_Toc524926707"/>
      <w:bookmarkStart w:id="326" w:name="_Toc526147798"/>
      <w:bookmarkStart w:id="327" w:name="_Toc526234276"/>
      <w:r w:rsidRPr="0049492A">
        <w:t>Förslag på ny hyresmodell</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8D3479" w:rsidRPr="0049492A" w:rsidRDefault="008D3479">
      <w:r w:rsidRPr="0049492A">
        <w:t>Utredningen lade ett förslag om att hyreskontrakten för ändamålsfastigheter skulle utformas på ett särskilt sätt. Utredningen ansåg det mest lämpligt att definiera en ändamålsfastighet som en fastighet där hyresgästen har starkt begränsade alternativ till den aktuella lokalen.</w:t>
      </w:r>
      <w:r w:rsidRPr="0049492A">
        <w:rPr>
          <w:rStyle w:val="Fotnotsreferens"/>
        </w:rPr>
        <w:footnoteReference w:id="20"/>
      </w:r>
    </w:p>
    <w:p w:rsidR="008D3479" w:rsidRPr="0049492A" w:rsidRDefault="008D3479">
      <w:pPr>
        <w:pStyle w:val="Normaltindrag"/>
      </w:pPr>
      <w:r w:rsidRPr="0049492A">
        <w:t>Hyreskontrakten för ändamålsfastigheter skulle vara långsiktiga. Hyre</w:t>
      </w:r>
      <w:r w:rsidRPr="0049492A">
        <w:t>s</w:t>
      </w:r>
      <w:r w:rsidRPr="0049492A">
        <w:t>gästen skulle ha rätt att förlänga kontrakten och vid sådan omsättning ska samma hyressättningsprincip gälla som tidigare. Det skulle råda krav på öppenhet. Hyran skulle utformas som en kom</w:t>
      </w:r>
      <w:r w:rsidRPr="0049492A">
        <w:softHyphen/>
        <w:t>po</w:t>
      </w:r>
      <w:r w:rsidRPr="0049492A">
        <w:softHyphen/>
        <w:t>nenthyra, dvs. med separata överenskommelser för kapitalkostnader, drift</w:t>
      </w:r>
      <w:r w:rsidRPr="0049492A">
        <w:softHyphen/>
        <w:t>skost</w:t>
      </w:r>
      <w:r w:rsidRPr="0049492A">
        <w:softHyphen/>
        <w:t>nader och underhållskos</w:t>
      </w:r>
      <w:r w:rsidRPr="0049492A">
        <w:t>t</w:t>
      </w:r>
      <w:r w:rsidRPr="0049492A">
        <w:t>nader.</w:t>
      </w:r>
      <w:r w:rsidRPr="0049492A">
        <w:rPr>
          <w:rStyle w:val="Fotnotsreferens"/>
        </w:rPr>
        <w:footnoteReference w:id="21"/>
      </w:r>
      <w:r w:rsidRPr="0049492A">
        <w:t xml:space="preserve"> </w:t>
      </w:r>
    </w:p>
    <w:p w:rsidR="008D3479" w:rsidRPr="0049492A" w:rsidRDefault="008D3479">
      <w:pPr>
        <w:pStyle w:val="Normaltindrag"/>
      </w:pPr>
      <w:r w:rsidRPr="0049492A">
        <w:t>Utredningens förslag på ny hyresmodell genomfördes inte. Varken rege</w:t>
      </w:r>
      <w:r w:rsidRPr="0049492A">
        <w:t>r</w:t>
      </w:r>
      <w:r w:rsidRPr="0049492A">
        <w:t>ing eller riksdag ansåg det lämpligt att införa detaljerade principer för en hyressättningsmodell.</w:t>
      </w:r>
      <w:r w:rsidRPr="0049492A">
        <w:rPr>
          <w:rStyle w:val="Fotnotsreferens"/>
        </w:rPr>
        <w:footnoteReference w:id="22"/>
      </w:r>
      <w:r w:rsidRPr="0049492A">
        <w:t xml:space="preserve"> Statens fastighetsbestånd är mycket varierande, med både kommersiella och ändamålsfastigheter, och det är ofta svårt att dra gränsen mellan vad som är en ända</w:t>
      </w:r>
      <w:r w:rsidRPr="0049492A">
        <w:softHyphen/>
        <w:t>måls</w:t>
      </w:r>
      <w:r w:rsidRPr="0049492A">
        <w:softHyphen/>
        <w:t>fastighet och en kommersiell fasti</w:t>
      </w:r>
      <w:r w:rsidRPr="0049492A">
        <w:t>g</w:t>
      </w:r>
      <w:r w:rsidRPr="0049492A">
        <w:t xml:space="preserve">het, menade riksdagen och regeringen. Riksdagen slog dock fast ett antal särskilda riktlinjer som skulle gälla för förvaltningen av ändamålsfastigheter. Dessa presenteras i kapitel 5. </w:t>
      </w:r>
    </w:p>
    <w:p w:rsidR="008D3479" w:rsidRPr="0049492A" w:rsidRDefault="008D3479">
      <w:pPr>
        <w:pStyle w:val="Rubrik2-Utannumrering"/>
      </w:pPr>
      <w:bookmarkStart w:id="328" w:name="_Toc515247943"/>
      <w:bookmarkStart w:id="329" w:name="_Toc515780781"/>
      <w:bookmarkStart w:id="330" w:name="_Toc515855842"/>
      <w:bookmarkStart w:id="331" w:name="_Toc515855944"/>
      <w:bookmarkStart w:id="332" w:name="_Toc516536405"/>
      <w:bookmarkStart w:id="333" w:name="_Toc516544557"/>
      <w:bookmarkStart w:id="334" w:name="_Toc516545292"/>
      <w:bookmarkStart w:id="335" w:name="_Toc516545425"/>
      <w:bookmarkStart w:id="336" w:name="_Toc523215832"/>
      <w:bookmarkStart w:id="337" w:name="_Toc524062401"/>
      <w:bookmarkStart w:id="338" w:name="_Toc524081030"/>
      <w:bookmarkStart w:id="339" w:name="_Toc524166753"/>
      <w:bookmarkStart w:id="340" w:name="_Toc524168630"/>
      <w:bookmarkStart w:id="341" w:name="_Toc524856355"/>
      <w:bookmarkStart w:id="342" w:name="_Toc524926708"/>
      <w:bookmarkStart w:id="343" w:name="_Toc526147799"/>
      <w:bookmarkStart w:id="344" w:name="_Toc526234277"/>
      <w:bookmarkStart w:id="345" w:name="_Toc532725181"/>
      <w:r w:rsidRPr="0049492A">
        <w:t xml:space="preserve">Riksdagens revisorers </w:t>
      </w:r>
      <w:bookmarkEnd w:id="328"/>
      <w:bookmarkEnd w:id="329"/>
      <w:bookmarkEnd w:id="330"/>
      <w:bookmarkEnd w:id="331"/>
      <w:r w:rsidRPr="0049492A">
        <w:t>granskning om lokalförsörjning</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D3479" w:rsidRPr="0049492A" w:rsidRDefault="008D3479">
      <w:r w:rsidRPr="0049492A">
        <w:rPr>
          <w:i/>
        </w:rPr>
        <w:t>Riksdagens revisorer</w:t>
      </w:r>
      <w:r w:rsidRPr="0049492A">
        <w:t xml:space="preserve"> har riktat viss kritik mot systemet i en tidigare rapport om myndigheternas lokalförsörjning. Revisorerna ifrågasatte lämpligheten i att okritiskt använda marknadsekonomiska principer för lokaler som saknar marknad. Att regeringen uppträder både som köpare och säljare för vissa myndigheters fastigheter kan inte betraktas som en marknadssituation, enligt revisorernas uppfattning. Skillnaden i förhållande till en marknadssituation förstärks när köparen saknar hyresaltern</w:t>
      </w:r>
      <w:r w:rsidRPr="0049492A">
        <w:t>a</w:t>
      </w:r>
      <w:r w:rsidRPr="0049492A">
        <w:t>tiv.</w:t>
      </w:r>
      <w:r w:rsidRPr="0049492A">
        <w:rPr>
          <w:rStyle w:val="Fotnotsreferens"/>
        </w:rPr>
        <w:footnoteReference w:id="23"/>
      </w:r>
    </w:p>
    <w:p w:rsidR="008D3479" w:rsidRPr="0049492A" w:rsidRDefault="008D3479">
      <w:pPr>
        <w:pStyle w:val="Rubrik1"/>
      </w:pPr>
      <w:bookmarkStart w:id="346" w:name="_Toc514560700"/>
      <w:bookmarkStart w:id="347" w:name="_Toc515247945"/>
      <w:bookmarkStart w:id="348" w:name="_Toc515780782"/>
      <w:bookmarkStart w:id="349" w:name="_Toc515855843"/>
      <w:bookmarkStart w:id="350" w:name="_Toc515855945"/>
      <w:bookmarkStart w:id="351" w:name="_Toc516536406"/>
      <w:bookmarkStart w:id="352" w:name="_Toc516544558"/>
      <w:bookmarkStart w:id="353" w:name="_Toc516545293"/>
      <w:bookmarkStart w:id="354" w:name="_Toc516545426"/>
      <w:bookmarkStart w:id="355" w:name="_Toc523215833"/>
      <w:bookmarkStart w:id="356" w:name="_Toc524062402"/>
      <w:bookmarkStart w:id="357" w:name="_Toc524081031"/>
      <w:bookmarkStart w:id="358" w:name="_Toc524166754"/>
      <w:bookmarkStart w:id="359" w:name="_Toc524168631"/>
      <w:bookmarkStart w:id="360" w:name="_Toc524856356"/>
      <w:bookmarkStart w:id="361" w:name="_Toc524926709"/>
      <w:bookmarkStart w:id="362" w:name="_Toc526147800"/>
      <w:bookmarkStart w:id="363" w:name="_Toc526234278"/>
      <w:bookmarkStart w:id="364" w:name="_Toc532725182"/>
      <w:r w:rsidRPr="0049492A">
        <w:t>Principer för hyressättning</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9492A">
        <w:t xml:space="preserve"> </w:t>
      </w:r>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 xml:space="preserve">Sammanfattning: </w:t>
      </w:r>
      <w:r w:rsidRPr="0049492A">
        <w:t>Riksdagen gjorde efter utvärderingen av reformen ett antal tillägg för hur förvaltningen av ändamålsfastigheter skulle bedrivas. Hyreskontraktet ska utformas i förhandlingar mellan parterna. Självkostnad är den naturliga utgångspunkten för hyressättning när hyresgästen har b</w:t>
      </w:r>
      <w:r w:rsidRPr="0049492A">
        <w:t>e</w:t>
      </w:r>
      <w:r w:rsidRPr="0049492A">
        <w:t>gränsade alternativ och är beroende av en statlig hyresvärd. Fastighetsfö</w:t>
      </w:r>
      <w:r w:rsidRPr="0049492A">
        <w:t>r</w:t>
      </w:r>
      <w:r w:rsidRPr="0049492A">
        <w:t>valtare av ändamålsfastigheter ska stödja hyresgästernas verksamhet genom att uppfylla ett antal villkor, bl.a. att tillåta god insyn i förvaltningen och upprätta</w:t>
      </w:r>
      <w:r w:rsidRPr="0049492A">
        <w:t xml:space="preserve"> förvaltningsplaner tillsammans med hyresgästerna. Fastighetsfö</w:t>
      </w:r>
      <w:r w:rsidRPr="0049492A">
        <w:t>r</w:t>
      </w:r>
      <w:r w:rsidRPr="0049492A">
        <w:t>valtningen ska bedrivas kostnadse</w:t>
      </w:r>
      <w:r w:rsidRPr="0049492A">
        <w:t>f</w:t>
      </w:r>
      <w:r w:rsidRPr="0049492A">
        <w:t xml:space="preserve">fektivt. </w:t>
      </w:r>
    </w:p>
    <w:p w:rsidR="008D3479" w:rsidRPr="0049492A" w:rsidRDefault="008D3479">
      <w:pPr>
        <w:pStyle w:val="Rubrik2-Utannumrering"/>
      </w:pPr>
      <w:bookmarkStart w:id="365" w:name="_Toc514560701"/>
      <w:bookmarkStart w:id="366" w:name="_Toc515247946"/>
      <w:bookmarkStart w:id="367" w:name="_Toc515780783"/>
      <w:bookmarkStart w:id="368" w:name="_Toc515855844"/>
      <w:bookmarkStart w:id="369" w:name="_Toc515855946"/>
      <w:bookmarkStart w:id="370" w:name="_Toc516536407"/>
      <w:bookmarkStart w:id="371" w:name="_Toc516544559"/>
      <w:bookmarkStart w:id="372" w:name="_Toc516545294"/>
      <w:bookmarkStart w:id="373" w:name="_Toc516545427"/>
      <w:bookmarkStart w:id="374" w:name="_Toc523215834"/>
      <w:bookmarkStart w:id="375" w:name="_Toc524062403"/>
      <w:bookmarkStart w:id="376" w:name="_Toc524081032"/>
      <w:bookmarkStart w:id="377" w:name="_Toc524166755"/>
      <w:bookmarkStart w:id="378" w:name="_Toc524168632"/>
      <w:bookmarkStart w:id="379" w:name="_Toc524856357"/>
      <w:bookmarkStart w:id="380" w:name="_Toc524926710"/>
      <w:bookmarkStart w:id="381" w:name="_Toc526147801"/>
      <w:bookmarkStart w:id="382" w:name="_Toc526234279"/>
      <w:bookmarkStart w:id="383" w:name="_Toc532725183"/>
      <w:r w:rsidRPr="0049492A">
        <w:t>Riksdagens ställningstagande</w:t>
      </w:r>
      <w:bookmarkEnd w:id="365"/>
      <w:bookmarkEnd w:id="366"/>
      <w:bookmarkEnd w:id="367"/>
      <w:bookmarkEnd w:id="368"/>
      <w:bookmarkEnd w:id="369"/>
      <w:r w:rsidRPr="0049492A">
        <w:t>n</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8D3479" w:rsidRPr="0049492A" w:rsidRDefault="008D3479">
      <w:r w:rsidRPr="0049492A">
        <w:t>Riksdagen drog efter utvärderingen om statens fastighetsorganisation</w:t>
      </w:r>
      <w:r w:rsidRPr="0049492A">
        <w:rPr>
          <w:rStyle w:val="Fotnotsreferens"/>
        </w:rPr>
        <w:footnoteReference w:id="24"/>
      </w:r>
      <w:r w:rsidRPr="0049492A">
        <w:t xml:space="preserve"> slu</w:t>
      </w:r>
      <w:r w:rsidRPr="0049492A">
        <w:t>t</w:t>
      </w:r>
      <w:r w:rsidRPr="0049492A">
        <w:t>satsen att fastighetsreformen i stort sett fungerat bra. Vissa tillägg om hyre</w:t>
      </w:r>
      <w:r w:rsidRPr="0049492A">
        <w:t>s</w:t>
      </w:r>
      <w:r w:rsidRPr="0049492A">
        <w:t>sättning och brukarens nytta lades dock till de tidigare fastlagda riktlinjerna för fastighetsförvaltnin</w:t>
      </w:r>
      <w:r w:rsidRPr="0049492A">
        <w:t>g</w:t>
      </w:r>
      <w:r w:rsidRPr="0049492A">
        <w:t>en.</w:t>
      </w:r>
      <w:r w:rsidRPr="0049492A">
        <w:rPr>
          <w:rStyle w:val="Fotnotsreferens"/>
        </w:rPr>
        <w:footnoteReference w:id="25"/>
      </w:r>
      <w:r w:rsidRPr="0049492A">
        <w:t xml:space="preserve"> </w:t>
      </w:r>
    </w:p>
    <w:p w:rsidR="008D3479" w:rsidRPr="0049492A" w:rsidRDefault="008D3479">
      <w:pPr>
        <w:pStyle w:val="Normaltindrag"/>
      </w:pPr>
      <w:r w:rsidRPr="0049492A">
        <w:t>Riksdagen ansåg det inte lämpligt att påbörda parterna en hyressät</w:t>
      </w:r>
      <w:r w:rsidRPr="0049492A">
        <w:t>t</w:t>
      </w:r>
      <w:r w:rsidRPr="0049492A">
        <w:t>nings</w:t>
      </w:r>
      <w:r w:rsidRPr="0049492A">
        <w:softHyphen/>
        <w:t>modell. Hyreskontraktets utformning borde däremot vara för</w:t>
      </w:r>
      <w:r w:rsidRPr="0049492A">
        <w:t>e</w:t>
      </w:r>
      <w:r w:rsidRPr="0049492A">
        <w:t>mål för för</w:t>
      </w:r>
      <w:r w:rsidRPr="0049492A">
        <w:softHyphen/>
        <w:t xml:space="preserve">handlingar och ömsesidiga överenskommelser mellan parterna. Riksdagen slog dock fast att </w:t>
      </w:r>
      <w:r w:rsidRPr="0049492A">
        <w:rPr>
          <w:i/>
        </w:rPr>
        <w:t>självkostnadshyra</w:t>
      </w:r>
      <w:r w:rsidRPr="0049492A">
        <w:rPr>
          <w:rStyle w:val="Fotnotsreferens"/>
          <w:i/>
        </w:rPr>
        <w:footnoteReference w:id="26"/>
      </w:r>
      <w:r w:rsidRPr="0049492A">
        <w:t xml:space="preserve"> är den naturliga utgångspunkten när hyresgästen har begrän</w:t>
      </w:r>
      <w:r w:rsidRPr="0049492A">
        <w:softHyphen/>
        <w:t>sade alternativ och är beroende av en statlig hyre</w:t>
      </w:r>
      <w:r w:rsidRPr="0049492A">
        <w:t>s</w:t>
      </w:r>
      <w:r w:rsidRPr="0049492A">
        <w:t xml:space="preserve">värd. Riksdagen ställde också upp ett antal särskilda villkor som de fyra bolagen och verken som förvaltar statens ändamålsfastigheter alltid ska uppfylla. Dessa villkor redovisas nedan. </w:t>
      </w:r>
    </w:p>
    <w:p w:rsidR="008D3479" w:rsidRPr="0049492A" w:rsidRDefault="008D3479">
      <w:pPr>
        <w:pStyle w:val="Rubrik3-Utannumrering"/>
      </w:pPr>
      <w:bookmarkStart w:id="384" w:name="_Toc515780784"/>
      <w:bookmarkStart w:id="385" w:name="_Toc515855845"/>
      <w:bookmarkStart w:id="386" w:name="_Toc515855947"/>
      <w:bookmarkStart w:id="387" w:name="_Toc516536408"/>
      <w:bookmarkStart w:id="388" w:name="_Toc516544560"/>
      <w:bookmarkStart w:id="389" w:name="_Toc516545295"/>
      <w:bookmarkStart w:id="390" w:name="_Toc516545428"/>
      <w:bookmarkStart w:id="391" w:name="_Toc523215835"/>
      <w:bookmarkStart w:id="392" w:name="_Toc524062404"/>
      <w:bookmarkStart w:id="393" w:name="_Toc524081033"/>
      <w:bookmarkStart w:id="394" w:name="_Toc524166756"/>
      <w:bookmarkStart w:id="395" w:name="_Toc524168633"/>
      <w:bookmarkStart w:id="396" w:name="_Toc524856358"/>
      <w:bookmarkStart w:id="397" w:name="_Toc524926711"/>
      <w:bookmarkStart w:id="398" w:name="_Toc526147802"/>
      <w:bookmarkStart w:id="399" w:name="_Toc526234280"/>
      <w:r w:rsidRPr="0049492A">
        <w:t>Stödja verksamheten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8D3479" w:rsidRPr="0049492A" w:rsidRDefault="008D3479">
      <w:r w:rsidRPr="0049492A">
        <w:t>En fastighetsrörelse av ändamålskaraktär ska till</w:t>
      </w:r>
      <w:r w:rsidRPr="0049492A">
        <w:softHyphen/>
        <w:t>godose verksamhetens b</w:t>
      </w:r>
      <w:r w:rsidRPr="0049492A">
        <w:t>e</w:t>
      </w:r>
      <w:r w:rsidRPr="0049492A">
        <w:t>hov av ändamålslokaler och optimera brukarens nytta av den hyra myndi</w:t>
      </w:r>
      <w:r w:rsidRPr="0049492A">
        <w:t>g</w:t>
      </w:r>
      <w:r w:rsidRPr="0049492A">
        <w:t>heten betalar för lokalen. Riksdagen har slagit fast att de verk och bolag som hyr ut ändamålsfastigheter ska stödja verksamheten och uppfylla följande villkor:</w:t>
      </w:r>
    </w:p>
    <w:p w:rsidR="008D3479" w:rsidRPr="0049492A" w:rsidRDefault="008D3479">
      <w:pPr>
        <w:pStyle w:val="Normaltindrag"/>
        <w:numPr>
          <w:ilvl w:val="0"/>
          <w:numId w:val="29"/>
        </w:numPr>
      </w:pPr>
      <w:r w:rsidRPr="0049492A">
        <w:t>Fastigheterna ska ha gemensamt upprättade förvaltningsplaner</w:t>
      </w:r>
      <w:r w:rsidRPr="0049492A">
        <w:rPr>
          <w:rStyle w:val="Fotnotsreferens"/>
        </w:rPr>
        <w:footnoteReference w:id="27"/>
      </w:r>
      <w:r w:rsidRPr="0049492A">
        <w:t>.</w:t>
      </w:r>
    </w:p>
    <w:p w:rsidR="008D3479" w:rsidRPr="0049492A" w:rsidRDefault="008D3479">
      <w:pPr>
        <w:pStyle w:val="Normaltindrag"/>
        <w:numPr>
          <w:ilvl w:val="0"/>
          <w:numId w:val="29"/>
        </w:numPr>
      </w:pPr>
      <w:r w:rsidRPr="0049492A">
        <w:t>Hyresvärden får över tiden inte ta ut mer än marknads</w:t>
      </w:r>
      <w:r w:rsidRPr="0049492A">
        <w:softHyphen/>
        <w:t>mässig ersät</w:t>
      </w:r>
      <w:r w:rsidRPr="0049492A">
        <w:t>t</w:t>
      </w:r>
      <w:r w:rsidRPr="0049492A">
        <w:t xml:space="preserve">ning för underhåll, service m.m. </w:t>
      </w:r>
    </w:p>
    <w:p w:rsidR="008D3479" w:rsidRPr="0049492A" w:rsidRDefault="008D3479">
      <w:pPr>
        <w:pStyle w:val="Normaltindrag"/>
        <w:numPr>
          <w:ilvl w:val="0"/>
          <w:numId w:val="29"/>
        </w:numPr>
      </w:pPr>
      <w:r w:rsidRPr="0049492A">
        <w:t>Ned</w:t>
      </w:r>
      <w:r w:rsidRPr="0049492A">
        <w:softHyphen/>
        <w:t xml:space="preserve">dragning av underhåll av fastigheterna får inte hota fastighetens långsiktiga värde. </w:t>
      </w:r>
    </w:p>
    <w:p w:rsidR="008D3479" w:rsidRPr="0049492A" w:rsidRDefault="008D3479">
      <w:pPr>
        <w:pStyle w:val="Normaltindrag"/>
        <w:numPr>
          <w:ilvl w:val="0"/>
          <w:numId w:val="29"/>
        </w:numPr>
      </w:pPr>
      <w:r w:rsidRPr="0049492A">
        <w:t>Det ska vara möjligt att särskilja drift- och underhållskostnaden i h</w:t>
      </w:r>
      <w:r w:rsidRPr="0049492A">
        <w:t>y</w:t>
      </w:r>
      <w:r w:rsidRPr="0049492A">
        <w:t>ressättnin</w:t>
      </w:r>
      <w:r w:rsidRPr="0049492A">
        <w:t>g</w:t>
      </w:r>
      <w:r w:rsidRPr="0049492A">
        <w:t xml:space="preserve">en. </w:t>
      </w:r>
    </w:p>
    <w:p w:rsidR="008D3479" w:rsidRPr="0049492A" w:rsidRDefault="008D3479">
      <w:pPr>
        <w:pStyle w:val="Normaltindrag"/>
      </w:pPr>
      <w:r w:rsidRPr="0049492A">
        <w:t>Riksdagen har också sagt att god insyn i förvaltningen är en förutsättning för att nå maximal nytta för brukaren. De olika hyresdelarna bör redovisas öppet, både de delar som avser drift och underhåll och de olika komponenter som ingår i kap</w:t>
      </w:r>
      <w:r w:rsidRPr="0049492A">
        <w:t>i</w:t>
      </w:r>
      <w:r w:rsidRPr="0049492A">
        <w:t>talkostnader.</w:t>
      </w:r>
      <w:r w:rsidRPr="0049492A">
        <w:rPr>
          <w:rStyle w:val="Fotnotsreferens"/>
        </w:rPr>
        <w:footnoteReference w:id="28"/>
      </w:r>
    </w:p>
    <w:p w:rsidR="008D3479" w:rsidRPr="0049492A" w:rsidRDefault="008D3479">
      <w:pPr>
        <w:pStyle w:val="Rubrik3-Utannumrering"/>
      </w:pPr>
      <w:bookmarkStart w:id="400" w:name="_Toc515247948"/>
      <w:bookmarkStart w:id="401" w:name="_Toc515780785"/>
      <w:bookmarkStart w:id="402" w:name="_Toc515855846"/>
      <w:bookmarkStart w:id="403" w:name="_Toc515855948"/>
      <w:bookmarkStart w:id="404" w:name="_Toc516536409"/>
      <w:bookmarkStart w:id="405" w:name="_Toc516544561"/>
      <w:bookmarkStart w:id="406" w:name="_Toc516545296"/>
      <w:bookmarkStart w:id="407" w:name="_Toc516545429"/>
      <w:bookmarkStart w:id="408" w:name="_Toc523215836"/>
      <w:bookmarkStart w:id="409" w:name="_Toc524062405"/>
      <w:bookmarkStart w:id="410" w:name="_Toc524081034"/>
      <w:bookmarkStart w:id="411" w:name="_Toc524166757"/>
      <w:bookmarkStart w:id="412" w:name="_Toc524168634"/>
      <w:bookmarkStart w:id="413" w:name="_Toc524856359"/>
      <w:bookmarkStart w:id="414" w:name="_Toc524926712"/>
      <w:bookmarkStart w:id="415" w:name="_Toc526147803"/>
      <w:bookmarkStart w:id="416" w:name="_Toc526234281"/>
      <w:r w:rsidRPr="0049492A">
        <w:t>God förvaltning av kapitalet</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8D3479" w:rsidRPr="0049492A" w:rsidRDefault="008D3479">
      <w:r w:rsidRPr="0049492A">
        <w:t>Riksdagen betonade att fastighetsförvaltningen måste bedrivas kostnadse</w:t>
      </w:r>
      <w:r w:rsidRPr="0049492A">
        <w:t>f</w:t>
      </w:r>
      <w:r w:rsidRPr="0049492A">
        <w:t>fektivt. Riksdagens ståndpunkt är att för att bedöma kostnadseffektiviteten måste man dels beakta statens kostnad för det kapital</w:t>
      </w:r>
      <w:r w:rsidRPr="0049492A">
        <w:rPr>
          <w:rStyle w:val="Fotnotsreferens"/>
        </w:rPr>
        <w:footnoteReference w:id="29"/>
      </w:r>
      <w:r w:rsidRPr="0049492A">
        <w:t xml:space="preserve"> som tillförts fasti</w:t>
      </w:r>
      <w:r w:rsidRPr="0049492A">
        <w:t>g</w:t>
      </w:r>
      <w:r w:rsidRPr="0049492A">
        <w:t xml:space="preserve">heterna, dels att drift- och underhållsinsatser sker effektivt. </w:t>
      </w:r>
    </w:p>
    <w:p w:rsidR="008D3479" w:rsidRPr="0049492A" w:rsidRDefault="008D3479">
      <w:pPr>
        <w:pStyle w:val="Normaltindrag"/>
      </w:pPr>
      <w:r w:rsidRPr="0049492A">
        <w:t>När det gäller avkastningskrav</w:t>
      </w:r>
      <w:r w:rsidRPr="0049492A">
        <w:rPr>
          <w:rStyle w:val="Fotnotsreferens"/>
        </w:rPr>
        <w:footnoteReference w:id="30"/>
      </w:r>
      <w:r w:rsidRPr="0049492A">
        <w:t xml:space="preserve"> för ändamålsfastigheter har riksdagen betonat att de särskilda förutsättningar som gäller för dessa bör beaktas. Minimikravet på statens fastighetsförvaltning är dock att den ska täcka kap</w:t>
      </w:r>
      <w:r w:rsidRPr="0049492A">
        <w:t>i</w:t>
      </w:r>
      <w:r w:rsidRPr="0049492A">
        <w:t>talkostnader, dvs. huvudsakligen anskaffningskostnad, samt skapa utrymme för reinvesteringar m.m. så att förmögenhetens värde bevaras under fasti</w:t>
      </w:r>
      <w:r w:rsidRPr="0049492A">
        <w:t>g</w:t>
      </w:r>
      <w:r w:rsidRPr="0049492A">
        <w:t>hetens ekonomiska livslängd. Däremot bör inte krav på avkastning i form av värdetillväxt ställas på dessa fastigh</w:t>
      </w:r>
      <w:r w:rsidRPr="0049492A">
        <w:t>e</w:t>
      </w:r>
      <w:r w:rsidRPr="0049492A">
        <w:t xml:space="preserve">ter. </w:t>
      </w:r>
      <w:r w:rsidRPr="0049492A">
        <w:rPr>
          <w:rStyle w:val="Fotnotsreferens"/>
        </w:rPr>
        <w:footnoteReference w:id="31"/>
      </w:r>
    </w:p>
    <w:p w:rsidR="008D3479" w:rsidRPr="0049492A" w:rsidRDefault="008D3479">
      <w:pPr>
        <w:pStyle w:val="Rubrik3-Utannumrering"/>
      </w:pPr>
      <w:bookmarkStart w:id="417" w:name="_Toc515247949"/>
      <w:bookmarkStart w:id="418" w:name="_Toc515780786"/>
      <w:bookmarkStart w:id="419" w:name="_Toc515855847"/>
      <w:bookmarkStart w:id="420" w:name="_Toc515855949"/>
      <w:bookmarkStart w:id="421" w:name="_Toc516536410"/>
      <w:bookmarkStart w:id="422" w:name="_Toc516544562"/>
      <w:bookmarkStart w:id="423" w:name="_Toc516545297"/>
      <w:bookmarkStart w:id="424" w:name="_Toc516545430"/>
      <w:bookmarkStart w:id="425" w:name="_Toc523215837"/>
      <w:bookmarkStart w:id="426" w:name="_Toc524062406"/>
      <w:bookmarkStart w:id="427" w:name="_Toc524081035"/>
      <w:bookmarkStart w:id="428" w:name="_Toc524166758"/>
      <w:bookmarkStart w:id="429" w:name="_Toc524168635"/>
      <w:bookmarkStart w:id="430" w:name="_Toc524856360"/>
      <w:bookmarkStart w:id="431" w:name="_Toc524926713"/>
      <w:bookmarkStart w:id="432" w:name="_Toc526147804"/>
      <w:bookmarkStart w:id="433" w:name="_Toc526234282"/>
      <w:r w:rsidRPr="0049492A">
        <w:t>Avvikande meningar</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8D3479" w:rsidRPr="0049492A" w:rsidRDefault="008D3479">
      <w:r w:rsidRPr="0049492A">
        <w:t>Sänkt avkastningskrav på ändamålsfastigheter har föreslagits i ett antal m</w:t>
      </w:r>
      <w:r w:rsidRPr="0049492A">
        <w:t>o</w:t>
      </w:r>
      <w:r w:rsidRPr="0049492A">
        <w:t xml:space="preserve">tioner. I samband med att finansutskottet behandlade frågor om hyressättning begärde utskottet in yttranden från andra berörda utskott. </w:t>
      </w:r>
    </w:p>
    <w:p w:rsidR="008D3479" w:rsidRPr="0049492A" w:rsidRDefault="008D3479">
      <w:pPr>
        <w:pStyle w:val="Normaltindrag"/>
      </w:pPr>
      <w:r w:rsidRPr="0049492A">
        <w:rPr>
          <w:i/>
        </w:rPr>
        <w:t>Justitieutskottet</w:t>
      </w:r>
      <w:r w:rsidRPr="0049492A">
        <w:t xml:space="preserve"> hävdade att avkastningskravet för ändamålsfastigheter inte borde sättas lika högt som för det statliga fastighetsbeståndet i ö</w:t>
      </w:r>
      <w:r w:rsidRPr="0049492A">
        <w:t>v</w:t>
      </w:r>
      <w:r w:rsidRPr="0049492A">
        <w:t>rigt.</w:t>
      </w:r>
    </w:p>
    <w:p w:rsidR="008D3479" w:rsidRPr="0049492A" w:rsidRDefault="008D3479">
      <w:pPr>
        <w:pStyle w:val="Normaltindrag"/>
      </w:pPr>
      <w:r w:rsidRPr="0049492A">
        <w:rPr>
          <w:i/>
        </w:rPr>
        <w:t>Kulturutskottet</w:t>
      </w:r>
      <w:r w:rsidRPr="0049492A">
        <w:t xml:space="preserve"> framförde önskemål om särskild behandling av det statliga fastighetsägandet inom kulturområdet eftersom det ofta grundas på att byg</w:t>
      </w:r>
      <w:r w:rsidRPr="0049492A">
        <w:t>g</w:t>
      </w:r>
      <w:r w:rsidRPr="0049492A">
        <w:t>naderna är en symbol för den verksamhet som bedrivs i den eller att byggn</w:t>
      </w:r>
      <w:r w:rsidRPr="0049492A">
        <w:t>a</w:t>
      </w:r>
      <w:r w:rsidRPr="0049492A">
        <w:t>den har kulturhistoriskt värde. När avkastningskravet för dessa fastigheter sätts borde det beaktas att någon alternativ användning inte är aktuell, men</w:t>
      </w:r>
      <w:r w:rsidRPr="0049492A">
        <w:t>a</w:t>
      </w:r>
      <w:r w:rsidRPr="0049492A">
        <w:t xml:space="preserve">de kulturutskottet. Kulturutskottet uttalade sig också för komponenthyra, dvs. att kapitalkostnader och kostnader för drift och underhåll skiljs åt och </w:t>
      </w:r>
      <w:r w:rsidRPr="0049492A">
        <w:t>redov</w:t>
      </w:r>
      <w:r w:rsidRPr="0049492A">
        <w:t>i</w:t>
      </w:r>
      <w:r w:rsidRPr="0049492A">
        <w:t>sas för hyresgästen,  samt för att kulturinstitutionernas roll gentemot Fasti</w:t>
      </w:r>
      <w:r w:rsidRPr="0049492A">
        <w:t>g</w:t>
      </w:r>
      <w:r w:rsidRPr="0049492A">
        <w:t xml:space="preserve">hetsverket behöver stärkas. </w:t>
      </w:r>
    </w:p>
    <w:p w:rsidR="008D3479" w:rsidRPr="0049492A" w:rsidRDefault="008D3479">
      <w:pPr>
        <w:pStyle w:val="Normaltindrag"/>
      </w:pPr>
      <w:r w:rsidRPr="0049492A">
        <w:rPr>
          <w:i/>
        </w:rPr>
        <w:t>Utbildningsutskottet</w:t>
      </w:r>
      <w:r w:rsidRPr="0049492A">
        <w:t xml:space="preserve"> instämde inte i kraven på sänkta avkastningskrav. Vad det gäller högskolefastigheter uttalade sig utbildningsutskottet för att ett avkastningskrav och därmed lokalkostnader som avviker från det som gen</w:t>
      </w:r>
      <w:r w:rsidRPr="0049492A">
        <w:t>e</w:t>
      </w:r>
      <w:r w:rsidRPr="0049492A">
        <w:t>rellt råder på marknaden måste beaktas vid anvisandet av anslag till unive</w:t>
      </w:r>
      <w:r w:rsidRPr="0049492A">
        <w:t>r</w:t>
      </w:r>
      <w:r w:rsidRPr="0049492A">
        <w:t>sitet och hö</w:t>
      </w:r>
      <w:r w:rsidRPr="0049492A">
        <w:t>g</w:t>
      </w:r>
      <w:r w:rsidRPr="0049492A">
        <w:t>skolor.</w:t>
      </w:r>
      <w:r w:rsidRPr="0049492A">
        <w:rPr>
          <w:rStyle w:val="Fotnotsreferens"/>
        </w:rPr>
        <w:footnoteReference w:id="32"/>
      </w:r>
      <w:r w:rsidRPr="0049492A">
        <w:t xml:space="preserve"> </w:t>
      </w:r>
    </w:p>
    <w:p w:rsidR="008D3479" w:rsidRPr="0049492A" w:rsidRDefault="008D3479">
      <w:pPr>
        <w:pStyle w:val="Normaltindrag"/>
      </w:pPr>
      <w:r w:rsidRPr="0049492A">
        <w:t>Riksdagen beslutade dock i enlighet med finansutskottets mening.</w:t>
      </w:r>
      <w:r w:rsidRPr="0049492A">
        <w:rPr>
          <w:rStyle w:val="Fotnotsreferens"/>
        </w:rPr>
        <w:t xml:space="preserve"> </w:t>
      </w:r>
      <w:r w:rsidRPr="0049492A">
        <w:rPr>
          <w:rStyle w:val="Fotnotsreferens"/>
        </w:rPr>
        <w:footnoteReference w:id="33"/>
      </w:r>
      <w:r w:rsidRPr="0049492A">
        <w:t xml:space="preserve"> </w:t>
      </w:r>
      <w:r w:rsidRPr="0049492A">
        <w:rPr>
          <w:i/>
        </w:rPr>
        <w:t>F</w:t>
      </w:r>
      <w:r w:rsidRPr="0049492A">
        <w:rPr>
          <w:i/>
        </w:rPr>
        <w:t>i</w:t>
      </w:r>
      <w:r w:rsidRPr="0049492A">
        <w:rPr>
          <w:i/>
        </w:rPr>
        <w:t>nansutskottet</w:t>
      </w:r>
      <w:r w:rsidRPr="0049492A">
        <w:t xml:space="preserve"> avslog kraven på sänkta avkastningskrav för vissa fastigheter genom att hänvisa till att en av riktlinjerna inför reformen var att skapa en mer rättvisande bild av lokalkostnaderna i statsbudgeten. Utskottet påpekade att myndigheternas anslag justerades inför systemomläggningen för att fö</w:t>
      </w:r>
      <w:r w:rsidRPr="0049492A">
        <w:t>r</w:t>
      </w:r>
      <w:r w:rsidRPr="0049492A">
        <w:t>ändrade lokalkostnader inte skulle påverka verksamhetens förutsättnin</w:t>
      </w:r>
      <w:r w:rsidRPr="0049492A">
        <w:t>g</w:t>
      </w:r>
      <w:r w:rsidRPr="0049492A">
        <w:t xml:space="preserve">ar. </w:t>
      </w:r>
    </w:p>
    <w:p w:rsidR="008D3479" w:rsidRPr="0049492A" w:rsidRDefault="008D3479">
      <w:pPr>
        <w:pStyle w:val="Rubrik1"/>
      </w:pPr>
      <w:bookmarkStart w:id="434" w:name="_Toc514560702"/>
      <w:bookmarkStart w:id="435" w:name="_Toc515247950"/>
      <w:bookmarkStart w:id="436" w:name="_Toc515780788"/>
      <w:bookmarkStart w:id="437" w:name="_Toc515855849"/>
      <w:bookmarkStart w:id="438" w:name="_Toc515855951"/>
      <w:bookmarkStart w:id="439" w:name="_Toc516536411"/>
      <w:bookmarkStart w:id="440" w:name="_Toc516544563"/>
      <w:bookmarkStart w:id="441" w:name="_Toc516545298"/>
      <w:bookmarkStart w:id="442" w:name="_Toc516545431"/>
      <w:bookmarkStart w:id="443" w:name="_Toc523215838"/>
      <w:bookmarkStart w:id="444" w:name="_Toc524062407"/>
      <w:bookmarkStart w:id="445" w:name="_Toc524081036"/>
      <w:bookmarkStart w:id="446" w:name="_Toc524166759"/>
      <w:bookmarkStart w:id="447" w:name="_Toc524168636"/>
      <w:bookmarkStart w:id="448" w:name="_Toc524856361"/>
      <w:bookmarkStart w:id="449" w:name="_Toc524926714"/>
      <w:bookmarkStart w:id="450" w:name="_Toc526147805"/>
      <w:bookmarkStart w:id="451" w:name="_Toc526234283"/>
      <w:bookmarkStart w:id="452" w:name="_Toc532725184"/>
      <w:r w:rsidRPr="0049492A">
        <w:t>Tillämpning av principerna för hyressättning och fastighetsförvaltning</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Sammanfattning:</w:t>
      </w:r>
      <w:r w:rsidRPr="0049492A">
        <w:t xml:space="preserve"> Finansdepartementet styr de fastighetsförvaltande verken och bolagen. Fastighetsförvaltarna är fria att utforma den hyresmodell som ska tillämpas. Riksdagens uttalande om att självkostnadshyra är en naturlig utgångspunkt när hyresgästen har begränsade alternativ återges ingenstans i regeringens styrdokument. Fastighetsförvaltarna har valt sinsemellan olika modeller för hyressättning. Varje förvaltare tillämpar däremot i stort sett samma hyresmodell för alla sina fastigheter, oberoende av i vilken grad fast</w:t>
      </w:r>
      <w:r w:rsidRPr="0049492A">
        <w:t>igheten är specialanpassad. Regeringen har inte uttryckt riksdagens m</w:t>
      </w:r>
      <w:r w:rsidRPr="0049492A">
        <w:t>e</w:t>
      </w:r>
      <w:r w:rsidRPr="0049492A">
        <w:t>ning att parterna bör förhandla om hyreskontraktets utformning. Fastighet</w:t>
      </w:r>
      <w:r w:rsidRPr="0049492A">
        <w:t>s</w:t>
      </w:r>
      <w:r w:rsidRPr="0049492A">
        <w:t>förvaltarna förhandlar inte heller om vilken modell för hyressättning som ska ti</w:t>
      </w:r>
      <w:r w:rsidRPr="0049492A">
        <w:t>l</w:t>
      </w:r>
      <w:r w:rsidRPr="0049492A">
        <w:t xml:space="preserve">lämpas.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Regeringen har inte vidarebefordrat riksdagens uppfattning att hyresgä</w:t>
      </w:r>
      <w:r w:rsidRPr="0049492A">
        <w:t>s</w:t>
      </w:r>
      <w:r w:rsidRPr="0049492A">
        <w:t xml:space="preserve">terna ska ha god insyn i förvaltningen. De fastighetsförvaltare som tillämpar marknadshyror redovisar inte förvaltningskostnaderna. De som tillämpar kostnadshyra har en mer öppen redovisning av förvaltningskostnader.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Regeringen har inte instruerat om att förvaltningsplaner ska upprättas gemensamt av parterna. Underhållsplaner upprättas genomgående av fasti</w:t>
      </w:r>
      <w:r w:rsidRPr="0049492A">
        <w:t>g</w:t>
      </w:r>
      <w:r w:rsidRPr="0049492A">
        <w:t>hetsförvaltarna, med varierande medverkan av hyresgäste</w:t>
      </w:r>
      <w:r w:rsidRPr="0049492A">
        <w:t>r</w:t>
      </w:r>
      <w:r w:rsidRPr="0049492A">
        <w:t>na.</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Statlig fastighetsförvaltning ska bedrivas kostnadseffektivt. Regeringens krav på hur den ska redovisas är ofta på en övergripande nivå. Interna kos</w:t>
      </w:r>
      <w:r w:rsidRPr="0049492A">
        <w:t>t</w:t>
      </w:r>
      <w:r w:rsidRPr="0049492A">
        <w:t xml:space="preserve">nadsjämförelser med extern statistik förekommer, men redovisas i begränsad omfattning för hyresgäster och regering. Fastighetsförvaltarnas uppköp av drift- och underhållsarbete varierar. Underhållstjänster köps dock upp i högre grad än driftarbete.  </w:t>
      </w:r>
    </w:p>
    <w:p w:rsidR="008D3479" w:rsidRPr="0049492A" w:rsidRDefault="008D3479">
      <w:pPr>
        <w:pStyle w:val="Rubrik2-Utannumrering"/>
      </w:pPr>
      <w:bookmarkStart w:id="453" w:name="_Toc514560703"/>
      <w:bookmarkStart w:id="454" w:name="_Toc515247951"/>
      <w:bookmarkStart w:id="455" w:name="_Toc515780789"/>
      <w:bookmarkStart w:id="456" w:name="_Toc515855850"/>
      <w:bookmarkStart w:id="457" w:name="_Toc515855952"/>
      <w:bookmarkStart w:id="458" w:name="_Toc516536412"/>
      <w:bookmarkStart w:id="459" w:name="_Toc516544564"/>
      <w:bookmarkStart w:id="460" w:name="_Toc516545299"/>
      <w:bookmarkStart w:id="461" w:name="_Toc516545432"/>
      <w:bookmarkStart w:id="462" w:name="_Toc523215839"/>
      <w:bookmarkStart w:id="463" w:name="_Toc524062408"/>
      <w:bookmarkStart w:id="464" w:name="_Toc524081037"/>
      <w:bookmarkStart w:id="465" w:name="_Toc524166760"/>
      <w:bookmarkStart w:id="466" w:name="_Toc524168637"/>
      <w:bookmarkStart w:id="467" w:name="_Toc524856362"/>
      <w:bookmarkStart w:id="468" w:name="_Toc524926715"/>
      <w:bookmarkStart w:id="469" w:name="_Toc526147806"/>
      <w:bookmarkStart w:id="470" w:name="_Toc526234284"/>
      <w:bookmarkStart w:id="471" w:name="_Toc532725185"/>
      <w:r w:rsidRPr="0049492A">
        <w:t>Regeringens styrning av fastighetsförvaltningen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8D3479" w:rsidRPr="0049492A" w:rsidRDefault="008D3479">
      <w:r w:rsidRPr="0049492A">
        <w:t>Statens medel och dess övriga tillgångar står till regeringens disposition. Riksdagen ska fastställa grunderna – i den omfattning som behövs – för förvaltningen av statens egendom och förfogandet av den.</w:t>
      </w:r>
      <w:r w:rsidRPr="0049492A">
        <w:rPr>
          <w:rStyle w:val="Fotnotsreferens"/>
        </w:rPr>
        <w:footnoteReference w:id="34"/>
      </w:r>
    </w:p>
    <w:p w:rsidR="008D3479" w:rsidRPr="0049492A" w:rsidRDefault="008D3479">
      <w:pPr>
        <w:pStyle w:val="Normaltindrag"/>
      </w:pPr>
      <w:r w:rsidRPr="0049492A">
        <w:t xml:space="preserve">Regeringen styr myndigheterna via långsiktiga instruktioner i förordningar som anger deras uppgifter och ansvarsområden. Instruktionerna kompletteras med årliga regleringsbrev som preciserar politiska mål och ekonomiska ramar. Regleringsbreven ska ha sin utgångspunkt i de mål som riksdagen beslutat om. </w:t>
      </w:r>
    </w:p>
    <w:p w:rsidR="008D3479" w:rsidRPr="0049492A" w:rsidRDefault="008D3479">
      <w:pPr>
        <w:pStyle w:val="Normaltindrag"/>
      </w:pPr>
      <w:r w:rsidRPr="0049492A">
        <w:t>Regeringen förvaltar ägandet i statliga bolag, bl.a. genom att besluta om ägardirektiv där bolagets uppdrag, ekonomiska krav och riktlinjer för ver</w:t>
      </w:r>
      <w:r w:rsidRPr="0049492A">
        <w:t>k</w:t>
      </w:r>
      <w:r w:rsidRPr="0049492A">
        <w:t xml:space="preserve">samheten anges. </w:t>
      </w:r>
    </w:p>
    <w:p w:rsidR="008D3479" w:rsidRPr="0049492A" w:rsidRDefault="008D3479">
      <w:pPr>
        <w:pStyle w:val="Normaltindrag"/>
      </w:pPr>
      <w:r w:rsidRPr="0049492A">
        <w:t>Inom Regeringskansliet har Finansdepartementet ansvaret för statens fa</w:t>
      </w:r>
      <w:r w:rsidRPr="0049492A">
        <w:t>s</w:t>
      </w:r>
      <w:r w:rsidRPr="0049492A">
        <w:t>tighetsförvaltning. Styrningen av Statens fastighetsverk, Fortifikationsverket, Akademiska Hus AB och Specialfastigheter AB sker således av Finansd</w:t>
      </w:r>
      <w:r w:rsidRPr="0049492A">
        <w:t>e</w:t>
      </w:r>
      <w:r w:rsidRPr="0049492A">
        <w:t>partementet.</w:t>
      </w:r>
    </w:p>
    <w:p w:rsidR="008D3479" w:rsidRPr="0049492A" w:rsidRDefault="008D3479">
      <w:pPr>
        <w:pStyle w:val="Normaltindrag"/>
      </w:pPr>
      <w:r w:rsidRPr="0049492A">
        <w:t>I förordningen om förvaltning av statliga fastigheter</w:t>
      </w:r>
      <w:r w:rsidRPr="0049492A">
        <w:rPr>
          <w:rStyle w:val="Fotnotsreferens"/>
        </w:rPr>
        <w:footnoteReference w:id="35"/>
      </w:r>
      <w:r w:rsidRPr="0049492A">
        <w:t xml:space="preserve"> sägs att upplåtelse ska ske på marknadsmässiga villkor. Om hyran inte kan fastställas på mar</w:t>
      </w:r>
      <w:r w:rsidRPr="0049492A">
        <w:t>k</w:t>
      </w:r>
      <w:r w:rsidRPr="0049492A">
        <w:t>nadsmässig grund ska den fastställas efter vad som kan anses skäligt. Hänsyn bör då tas till sådana faktorer som fastighetens särskilda karaktär samt dess ekonomiska och tekniska livslängd. Angående förvaltning sägs att den fa</w:t>
      </w:r>
      <w:r w:rsidRPr="0049492A">
        <w:t>s</w:t>
      </w:r>
      <w:r w:rsidRPr="0049492A">
        <w:t>tighetsförvaltande myndigheten ska upprätta och fortlöpande hålla en fö</w:t>
      </w:r>
      <w:r w:rsidRPr="0049492A">
        <w:t>r</w:t>
      </w:r>
      <w:r w:rsidRPr="0049492A">
        <w:t>valtningsplan för drift och underhåll av fastigheterna. En investeringsplan och en avyttringsplan ska också upprättas o</w:t>
      </w:r>
      <w:r w:rsidRPr="0049492A">
        <w:t>ch fortlöpande hållas.</w:t>
      </w:r>
      <w:r w:rsidRPr="0049492A">
        <w:rPr>
          <w:rStyle w:val="Fotnotsreferens"/>
        </w:rPr>
        <w:footnoteReference w:id="36"/>
      </w:r>
    </w:p>
    <w:p w:rsidR="008D3479" w:rsidRPr="0049492A" w:rsidRDefault="008D3479">
      <w:pPr>
        <w:pStyle w:val="Normaltindrag"/>
      </w:pPr>
      <w:r w:rsidRPr="0049492A">
        <w:t>Nedanstående tabell sammanfattar regeringens uppdrag till statens förva</w:t>
      </w:r>
      <w:r w:rsidRPr="0049492A">
        <w:t>l</w:t>
      </w:r>
      <w:r w:rsidRPr="0049492A">
        <w:t>tare av ändamålfasti</w:t>
      </w:r>
      <w:r w:rsidRPr="0049492A">
        <w:t>g</w:t>
      </w:r>
      <w:r w:rsidRPr="0049492A">
        <w:t xml:space="preserve">heter. </w:t>
      </w:r>
    </w:p>
    <w:p w:rsidR="008D3479" w:rsidRPr="0049492A" w:rsidRDefault="008D3479">
      <w:pPr>
        <w:pStyle w:val="Normaltindrag"/>
      </w:pPr>
    </w:p>
    <w:tbl>
      <w:tblPr>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firstRow="1" w:lastRow="0" w:firstColumn="1" w:lastColumn="0" w:noHBand="0" w:noVBand="0"/>
      </w:tblPr>
      <w:tblGrid>
        <w:gridCol w:w="3127"/>
        <w:gridCol w:w="514"/>
        <w:gridCol w:w="665"/>
        <w:gridCol w:w="896"/>
        <w:gridCol w:w="754"/>
      </w:tblGrid>
      <w:tr w:rsidR="00000000" w:rsidRPr="0049492A">
        <w:tblPrEx>
          <w:tblCellMar>
            <w:top w:w="0" w:type="dxa"/>
            <w:bottom w:w="0" w:type="dxa"/>
          </w:tblCellMar>
        </w:tblPrEx>
        <w:trPr>
          <w:trHeight w:val="247"/>
        </w:trPr>
        <w:tc>
          <w:tcPr>
            <w:tcW w:w="3127" w:type="dxa"/>
          </w:tcPr>
          <w:p w:rsidR="008D3479" w:rsidRPr="0049492A" w:rsidRDefault="008D3479">
            <w:pPr>
              <w:jc w:val="left"/>
              <w:rPr>
                <w:b/>
                <w:snapToGrid w:val="0"/>
                <w:sz w:val="16"/>
                <w:lang w:eastAsia="sv-SE"/>
              </w:rPr>
            </w:pPr>
            <w:r w:rsidRPr="0049492A">
              <w:rPr>
                <w:b/>
                <w:snapToGrid w:val="0"/>
                <w:sz w:val="16"/>
                <w:lang w:eastAsia="sv-SE"/>
              </w:rPr>
              <w:t>Anges i regeringens styrdokument:</w:t>
            </w:r>
          </w:p>
        </w:tc>
        <w:tc>
          <w:tcPr>
            <w:tcW w:w="514" w:type="dxa"/>
          </w:tcPr>
          <w:p w:rsidR="008D3479" w:rsidRPr="0049492A" w:rsidRDefault="008D3479">
            <w:pPr>
              <w:jc w:val="left"/>
              <w:rPr>
                <w:b/>
                <w:snapToGrid w:val="0"/>
                <w:sz w:val="16"/>
                <w:lang w:eastAsia="sv-SE"/>
              </w:rPr>
            </w:pPr>
            <w:r w:rsidRPr="0049492A">
              <w:rPr>
                <w:b/>
                <w:snapToGrid w:val="0"/>
                <w:sz w:val="16"/>
                <w:lang w:eastAsia="sv-SE"/>
              </w:rPr>
              <w:t>SFV</w:t>
            </w:r>
          </w:p>
        </w:tc>
        <w:tc>
          <w:tcPr>
            <w:tcW w:w="665" w:type="dxa"/>
          </w:tcPr>
          <w:p w:rsidR="008D3479" w:rsidRPr="0049492A" w:rsidRDefault="008D3479">
            <w:pPr>
              <w:jc w:val="left"/>
              <w:rPr>
                <w:b/>
                <w:snapToGrid w:val="0"/>
                <w:sz w:val="16"/>
                <w:lang w:eastAsia="sv-SE"/>
              </w:rPr>
            </w:pPr>
            <w:r w:rsidRPr="0049492A">
              <w:rPr>
                <w:b/>
                <w:snapToGrid w:val="0"/>
                <w:sz w:val="16"/>
                <w:lang w:eastAsia="sv-SE"/>
              </w:rPr>
              <w:t>FORTV</w:t>
            </w:r>
          </w:p>
        </w:tc>
        <w:tc>
          <w:tcPr>
            <w:tcW w:w="896" w:type="dxa"/>
          </w:tcPr>
          <w:p w:rsidR="008D3479" w:rsidRPr="0049492A" w:rsidRDefault="008D3479">
            <w:pPr>
              <w:jc w:val="left"/>
              <w:rPr>
                <w:b/>
                <w:snapToGrid w:val="0"/>
                <w:sz w:val="16"/>
                <w:lang w:eastAsia="sv-SE"/>
              </w:rPr>
            </w:pPr>
            <w:r w:rsidRPr="0049492A">
              <w:rPr>
                <w:b/>
                <w:snapToGrid w:val="0"/>
                <w:sz w:val="16"/>
                <w:lang w:eastAsia="sv-SE"/>
              </w:rPr>
              <w:t>Ak Hus AB</w:t>
            </w:r>
          </w:p>
        </w:tc>
        <w:tc>
          <w:tcPr>
            <w:tcW w:w="754" w:type="dxa"/>
          </w:tcPr>
          <w:p w:rsidR="008D3479" w:rsidRPr="0049492A" w:rsidRDefault="008D3479">
            <w:pPr>
              <w:jc w:val="left"/>
              <w:rPr>
                <w:b/>
                <w:snapToGrid w:val="0"/>
                <w:sz w:val="16"/>
                <w:lang w:eastAsia="sv-SE"/>
              </w:rPr>
            </w:pPr>
            <w:r w:rsidRPr="0049492A">
              <w:rPr>
                <w:b/>
                <w:snapToGrid w:val="0"/>
                <w:sz w:val="16"/>
                <w:lang w:eastAsia="sv-SE"/>
              </w:rPr>
              <w:t>Spec. AB</w:t>
            </w:r>
          </w:p>
        </w:tc>
      </w:tr>
      <w:tr w:rsidR="00000000" w:rsidRPr="0049492A">
        <w:tblPrEx>
          <w:tblCellMar>
            <w:top w:w="0" w:type="dxa"/>
            <w:bottom w:w="0" w:type="dxa"/>
          </w:tblCellMar>
        </w:tblPrEx>
        <w:trPr>
          <w:trHeight w:val="434"/>
        </w:trPr>
        <w:tc>
          <w:tcPr>
            <w:tcW w:w="3127" w:type="dxa"/>
          </w:tcPr>
          <w:p w:rsidR="008D3479" w:rsidRPr="0049492A" w:rsidRDefault="008D3479">
            <w:pPr>
              <w:jc w:val="left"/>
              <w:rPr>
                <w:b/>
                <w:snapToGrid w:val="0"/>
                <w:sz w:val="16"/>
                <w:lang w:eastAsia="sv-SE"/>
              </w:rPr>
            </w:pPr>
            <w:r w:rsidRPr="0049492A">
              <w:rPr>
                <w:b/>
                <w:snapToGrid w:val="0"/>
                <w:sz w:val="16"/>
                <w:lang w:eastAsia="sv-SE"/>
              </w:rPr>
              <w:t>Tillhandahålla/erbjuda ändamålsenliga lokaler för brukarna</w:t>
            </w:r>
          </w:p>
        </w:tc>
        <w:tc>
          <w:tcPr>
            <w:tcW w:w="514" w:type="dxa"/>
          </w:tcPr>
          <w:p w:rsidR="008D3479" w:rsidRPr="0049492A" w:rsidRDefault="008D3479">
            <w:pPr>
              <w:jc w:val="center"/>
              <w:rPr>
                <w:snapToGrid w:val="0"/>
                <w:sz w:val="16"/>
                <w:lang w:eastAsia="sv-SE"/>
              </w:rPr>
            </w:pPr>
            <w:r w:rsidRPr="0049492A">
              <w:rPr>
                <w:snapToGrid w:val="0"/>
                <w:sz w:val="16"/>
                <w:lang w:eastAsia="sv-SE"/>
              </w:rPr>
              <w:t>Ja</w:t>
            </w:r>
          </w:p>
        </w:tc>
        <w:tc>
          <w:tcPr>
            <w:tcW w:w="665" w:type="dxa"/>
          </w:tcPr>
          <w:p w:rsidR="008D3479" w:rsidRPr="0049492A" w:rsidRDefault="008D3479">
            <w:pPr>
              <w:jc w:val="center"/>
              <w:rPr>
                <w:snapToGrid w:val="0"/>
                <w:sz w:val="16"/>
                <w:lang w:eastAsia="sv-SE"/>
              </w:rPr>
            </w:pPr>
            <w:r w:rsidRPr="0049492A">
              <w:rPr>
                <w:snapToGrid w:val="0"/>
                <w:sz w:val="16"/>
                <w:lang w:eastAsia="sv-SE"/>
              </w:rPr>
              <w:t>Ja</w:t>
            </w:r>
          </w:p>
        </w:tc>
        <w:tc>
          <w:tcPr>
            <w:tcW w:w="896" w:type="dxa"/>
          </w:tcPr>
          <w:p w:rsidR="008D3479" w:rsidRPr="0049492A" w:rsidRDefault="008D3479">
            <w:pPr>
              <w:jc w:val="center"/>
              <w:rPr>
                <w:snapToGrid w:val="0"/>
                <w:sz w:val="16"/>
                <w:lang w:eastAsia="sv-SE"/>
              </w:rPr>
            </w:pPr>
            <w:r w:rsidRPr="0049492A">
              <w:rPr>
                <w:snapToGrid w:val="0"/>
                <w:sz w:val="16"/>
                <w:lang w:eastAsia="sv-SE"/>
              </w:rPr>
              <w:t>Ja</w:t>
            </w:r>
          </w:p>
        </w:tc>
        <w:tc>
          <w:tcPr>
            <w:tcW w:w="754" w:type="dxa"/>
          </w:tcPr>
          <w:p w:rsidR="008D3479" w:rsidRPr="0049492A" w:rsidRDefault="008D3479">
            <w:pPr>
              <w:jc w:val="center"/>
              <w:rPr>
                <w:snapToGrid w:val="0"/>
                <w:sz w:val="16"/>
                <w:lang w:eastAsia="sv-SE"/>
              </w:rPr>
            </w:pPr>
            <w:r w:rsidRPr="0049492A">
              <w:rPr>
                <w:snapToGrid w:val="0"/>
                <w:sz w:val="16"/>
                <w:lang w:eastAsia="sv-SE"/>
              </w:rPr>
              <w:t>Ja</w:t>
            </w:r>
          </w:p>
        </w:tc>
      </w:tr>
      <w:tr w:rsidR="00000000" w:rsidRPr="0049492A">
        <w:tblPrEx>
          <w:tblCellMar>
            <w:top w:w="0" w:type="dxa"/>
            <w:bottom w:w="0" w:type="dxa"/>
          </w:tblCellMar>
        </w:tblPrEx>
        <w:trPr>
          <w:trHeight w:val="653"/>
        </w:trPr>
        <w:tc>
          <w:tcPr>
            <w:tcW w:w="3127" w:type="dxa"/>
          </w:tcPr>
          <w:p w:rsidR="008D3479" w:rsidRPr="0049492A" w:rsidRDefault="008D3479">
            <w:pPr>
              <w:jc w:val="left"/>
              <w:rPr>
                <w:b/>
                <w:snapToGrid w:val="0"/>
                <w:sz w:val="16"/>
                <w:lang w:eastAsia="sv-SE"/>
              </w:rPr>
            </w:pPr>
            <w:r w:rsidRPr="0049492A">
              <w:rPr>
                <w:b/>
                <w:snapToGrid w:val="0"/>
                <w:sz w:val="16"/>
                <w:lang w:eastAsia="sv-SE"/>
              </w:rPr>
              <w:t>Inriktningen på förvaltningen ska vara att stödja den myndighet som brukar änd</w:t>
            </w:r>
            <w:r w:rsidRPr="0049492A">
              <w:rPr>
                <w:b/>
                <w:snapToGrid w:val="0"/>
                <w:sz w:val="16"/>
                <w:lang w:eastAsia="sv-SE"/>
              </w:rPr>
              <w:t>a</w:t>
            </w:r>
            <w:r w:rsidRPr="0049492A">
              <w:rPr>
                <w:b/>
                <w:snapToGrid w:val="0"/>
                <w:sz w:val="16"/>
                <w:lang w:eastAsia="sv-SE"/>
              </w:rPr>
              <w:t>målsl</w:t>
            </w:r>
            <w:r w:rsidRPr="0049492A">
              <w:rPr>
                <w:b/>
                <w:snapToGrid w:val="0"/>
                <w:sz w:val="16"/>
                <w:lang w:eastAsia="sv-SE"/>
              </w:rPr>
              <w:t>o</w:t>
            </w:r>
            <w:r w:rsidRPr="0049492A">
              <w:rPr>
                <w:b/>
                <w:snapToGrid w:val="0"/>
                <w:sz w:val="16"/>
                <w:lang w:eastAsia="sv-SE"/>
              </w:rPr>
              <w:t>kalerna i sin verksamhet</w:t>
            </w:r>
          </w:p>
        </w:tc>
        <w:tc>
          <w:tcPr>
            <w:tcW w:w="514" w:type="dxa"/>
          </w:tcPr>
          <w:p w:rsidR="008D3479" w:rsidRPr="0049492A" w:rsidRDefault="008D3479">
            <w:pPr>
              <w:jc w:val="center"/>
              <w:rPr>
                <w:snapToGrid w:val="0"/>
                <w:sz w:val="16"/>
                <w:lang w:eastAsia="sv-SE"/>
              </w:rPr>
            </w:pPr>
            <w:r w:rsidRPr="0049492A">
              <w:rPr>
                <w:snapToGrid w:val="0"/>
                <w:sz w:val="16"/>
                <w:lang w:eastAsia="sv-SE"/>
              </w:rPr>
              <w:t>Ja</w:t>
            </w:r>
          </w:p>
        </w:tc>
        <w:tc>
          <w:tcPr>
            <w:tcW w:w="665" w:type="dxa"/>
          </w:tcPr>
          <w:p w:rsidR="008D3479" w:rsidRPr="0049492A" w:rsidRDefault="008D3479">
            <w:pPr>
              <w:jc w:val="center"/>
              <w:rPr>
                <w:snapToGrid w:val="0"/>
                <w:sz w:val="16"/>
                <w:lang w:eastAsia="sv-SE"/>
              </w:rPr>
            </w:pPr>
            <w:r w:rsidRPr="0049492A">
              <w:rPr>
                <w:snapToGrid w:val="0"/>
                <w:sz w:val="16"/>
                <w:lang w:eastAsia="sv-SE"/>
              </w:rPr>
              <w:t>Nej</w:t>
            </w:r>
          </w:p>
        </w:tc>
        <w:tc>
          <w:tcPr>
            <w:tcW w:w="896" w:type="dxa"/>
          </w:tcPr>
          <w:p w:rsidR="008D3479" w:rsidRPr="0049492A" w:rsidRDefault="008D3479">
            <w:pPr>
              <w:jc w:val="center"/>
              <w:rPr>
                <w:snapToGrid w:val="0"/>
                <w:sz w:val="16"/>
                <w:lang w:eastAsia="sv-SE"/>
              </w:rPr>
            </w:pPr>
            <w:r w:rsidRPr="0049492A">
              <w:rPr>
                <w:snapToGrid w:val="0"/>
                <w:sz w:val="16"/>
                <w:lang w:eastAsia="sv-SE"/>
              </w:rPr>
              <w:t>Ja</w:t>
            </w:r>
          </w:p>
        </w:tc>
        <w:tc>
          <w:tcPr>
            <w:tcW w:w="754" w:type="dxa"/>
          </w:tcPr>
          <w:p w:rsidR="008D3479" w:rsidRPr="0049492A" w:rsidRDefault="008D3479">
            <w:pPr>
              <w:jc w:val="center"/>
              <w:rPr>
                <w:snapToGrid w:val="0"/>
                <w:sz w:val="16"/>
                <w:lang w:eastAsia="sv-SE"/>
              </w:rPr>
            </w:pPr>
            <w:r w:rsidRPr="0049492A">
              <w:rPr>
                <w:snapToGrid w:val="0"/>
                <w:sz w:val="16"/>
                <w:lang w:eastAsia="sv-SE"/>
              </w:rPr>
              <w:t>Ja</w:t>
            </w:r>
          </w:p>
        </w:tc>
      </w:tr>
      <w:tr w:rsidR="00000000" w:rsidRPr="0049492A">
        <w:tblPrEx>
          <w:tblCellMar>
            <w:top w:w="0" w:type="dxa"/>
            <w:bottom w:w="0" w:type="dxa"/>
          </w:tblCellMar>
        </w:tblPrEx>
        <w:trPr>
          <w:trHeight w:val="434"/>
        </w:trPr>
        <w:tc>
          <w:tcPr>
            <w:tcW w:w="3127" w:type="dxa"/>
          </w:tcPr>
          <w:p w:rsidR="008D3479" w:rsidRPr="0049492A" w:rsidRDefault="008D3479">
            <w:pPr>
              <w:jc w:val="left"/>
              <w:rPr>
                <w:b/>
                <w:snapToGrid w:val="0"/>
                <w:sz w:val="16"/>
                <w:lang w:eastAsia="sv-SE"/>
              </w:rPr>
            </w:pPr>
            <w:r w:rsidRPr="0049492A">
              <w:rPr>
                <w:b/>
                <w:snapToGrid w:val="0"/>
                <w:sz w:val="16"/>
                <w:lang w:eastAsia="sv-SE"/>
              </w:rPr>
              <w:t>Hålla en öppen och aktiv dialog med hyre</w:t>
            </w:r>
            <w:r w:rsidRPr="0049492A">
              <w:rPr>
                <w:b/>
                <w:snapToGrid w:val="0"/>
                <w:sz w:val="16"/>
                <w:lang w:eastAsia="sv-SE"/>
              </w:rPr>
              <w:t>s</w:t>
            </w:r>
            <w:r w:rsidRPr="0049492A">
              <w:rPr>
                <w:b/>
                <w:snapToGrid w:val="0"/>
                <w:sz w:val="16"/>
                <w:lang w:eastAsia="sv-SE"/>
              </w:rPr>
              <w:t>gästerna i lokalfrågor</w:t>
            </w:r>
          </w:p>
        </w:tc>
        <w:tc>
          <w:tcPr>
            <w:tcW w:w="514" w:type="dxa"/>
          </w:tcPr>
          <w:p w:rsidR="008D3479" w:rsidRPr="0049492A" w:rsidRDefault="008D3479">
            <w:pPr>
              <w:jc w:val="center"/>
              <w:rPr>
                <w:snapToGrid w:val="0"/>
                <w:sz w:val="16"/>
                <w:lang w:eastAsia="sv-SE"/>
              </w:rPr>
            </w:pPr>
            <w:r w:rsidRPr="0049492A">
              <w:rPr>
                <w:snapToGrid w:val="0"/>
                <w:sz w:val="16"/>
                <w:lang w:eastAsia="sv-SE"/>
              </w:rPr>
              <w:t>Ja</w:t>
            </w:r>
          </w:p>
        </w:tc>
        <w:tc>
          <w:tcPr>
            <w:tcW w:w="665" w:type="dxa"/>
          </w:tcPr>
          <w:p w:rsidR="008D3479" w:rsidRPr="0049492A" w:rsidRDefault="008D3479">
            <w:pPr>
              <w:jc w:val="center"/>
              <w:rPr>
                <w:snapToGrid w:val="0"/>
                <w:sz w:val="16"/>
                <w:lang w:eastAsia="sv-SE"/>
              </w:rPr>
            </w:pPr>
            <w:r w:rsidRPr="0049492A">
              <w:rPr>
                <w:snapToGrid w:val="0"/>
                <w:sz w:val="16"/>
                <w:lang w:eastAsia="sv-SE"/>
              </w:rPr>
              <w:t>Nej</w:t>
            </w:r>
          </w:p>
        </w:tc>
        <w:tc>
          <w:tcPr>
            <w:tcW w:w="896" w:type="dxa"/>
          </w:tcPr>
          <w:p w:rsidR="008D3479" w:rsidRPr="0049492A" w:rsidRDefault="008D3479">
            <w:pPr>
              <w:jc w:val="center"/>
              <w:rPr>
                <w:snapToGrid w:val="0"/>
                <w:sz w:val="16"/>
                <w:lang w:eastAsia="sv-SE"/>
              </w:rPr>
            </w:pPr>
            <w:r w:rsidRPr="0049492A">
              <w:rPr>
                <w:snapToGrid w:val="0"/>
                <w:sz w:val="16"/>
                <w:lang w:eastAsia="sv-SE"/>
              </w:rPr>
              <w:t>Ja</w:t>
            </w:r>
          </w:p>
        </w:tc>
        <w:tc>
          <w:tcPr>
            <w:tcW w:w="754" w:type="dxa"/>
          </w:tcPr>
          <w:p w:rsidR="008D3479" w:rsidRPr="0049492A" w:rsidRDefault="008D3479">
            <w:pPr>
              <w:jc w:val="center"/>
              <w:rPr>
                <w:snapToGrid w:val="0"/>
                <w:sz w:val="16"/>
                <w:lang w:eastAsia="sv-SE"/>
              </w:rPr>
            </w:pPr>
            <w:r w:rsidRPr="0049492A">
              <w:rPr>
                <w:snapToGrid w:val="0"/>
                <w:sz w:val="16"/>
                <w:lang w:eastAsia="sv-SE"/>
              </w:rPr>
              <w:t>Ja</w:t>
            </w:r>
          </w:p>
        </w:tc>
      </w:tr>
      <w:tr w:rsidR="00000000" w:rsidRPr="0049492A">
        <w:tblPrEx>
          <w:tblCellMar>
            <w:top w:w="0" w:type="dxa"/>
            <w:bottom w:w="0" w:type="dxa"/>
          </w:tblCellMar>
        </w:tblPrEx>
        <w:trPr>
          <w:trHeight w:val="247"/>
        </w:trPr>
        <w:tc>
          <w:tcPr>
            <w:tcW w:w="3127" w:type="dxa"/>
          </w:tcPr>
          <w:p w:rsidR="008D3479" w:rsidRPr="0049492A" w:rsidRDefault="008D3479">
            <w:pPr>
              <w:jc w:val="left"/>
              <w:rPr>
                <w:b/>
                <w:snapToGrid w:val="0"/>
                <w:sz w:val="16"/>
                <w:lang w:eastAsia="sv-SE"/>
              </w:rPr>
            </w:pPr>
            <w:r w:rsidRPr="0049492A">
              <w:rPr>
                <w:b/>
                <w:snapToGrid w:val="0"/>
                <w:sz w:val="16"/>
                <w:lang w:eastAsia="sv-SE"/>
              </w:rPr>
              <w:t xml:space="preserve">Bedriva kostnadseffektiv förvaltning </w:t>
            </w:r>
          </w:p>
        </w:tc>
        <w:tc>
          <w:tcPr>
            <w:tcW w:w="514" w:type="dxa"/>
          </w:tcPr>
          <w:p w:rsidR="008D3479" w:rsidRPr="0049492A" w:rsidRDefault="008D3479">
            <w:pPr>
              <w:jc w:val="center"/>
              <w:rPr>
                <w:snapToGrid w:val="0"/>
                <w:sz w:val="16"/>
                <w:lang w:eastAsia="sv-SE"/>
              </w:rPr>
            </w:pPr>
            <w:r w:rsidRPr="0049492A">
              <w:rPr>
                <w:snapToGrid w:val="0"/>
                <w:sz w:val="16"/>
                <w:lang w:eastAsia="sv-SE"/>
              </w:rPr>
              <w:t>Ja</w:t>
            </w:r>
          </w:p>
        </w:tc>
        <w:tc>
          <w:tcPr>
            <w:tcW w:w="665" w:type="dxa"/>
          </w:tcPr>
          <w:p w:rsidR="008D3479" w:rsidRPr="0049492A" w:rsidRDefault="008D3479">
            <w:pPr>
              <w:jc w:val="center"/>
              <w:rPr>
                <w:snapToGrid w:val="0"/>
                <w:sz w:val="16"/>
                <w:lang w:eastAsia="sv-SE"/>
              </w:rPr>
            </w:pPr>
            <w:r w:rsidRPr="0049492A">
              <w:rPr>
                <w:snapToGrid w:val="0"/>
                <w:sz w:val="16"/>
                <w:lang w:eastAsia="sv-SE"/>
              </w:rPr>
              <w:t>Ja</w:t>
            </w:r>
          </w:p>
        </w:tc>
        <w:tc>
          <w:tcPr>
            <w:tcW w:w="896" w:type="dxa"/>
          </w:tcPr>
          <w:p w:rsidR="008D3479" w:rsidRPr="0049492A" w:rsidRDefault="008D3479">
            <w:pPr>
              <w:jc w:val="center"/>
              <w:rPr>
                <w:snapToGrid w:val="0"/>
                <w:sz w:val="16"/>
                <w:lang w:eastAsia="sv-SE"/>
              </w:rPr>
            </w:pPr>
            <w:r w:rsidRPr="0049492A">
              <w:rPr>
                <w:snapToGrid w:val="0"/>
                <w:sz w:val="16"/>
                <w:lang w:eastAsia="sv-SE"/>
              </w:rPr>
              <w:t>Ja</w:t>
            </w:r>
          </w:p>
        </w:tc>
        <w:tc>
          <w:tcPr>
            <w:tcW w:w="754" w:type="dxa"/>
          </w:tcPr>
          <w:p w:rsidR="008D3479" w:rsidRPr="0049492A" w:rsidRDefault="008D3479">
            <w:pPr>
              <w:jc w:val="center"/>
              <w:rPr>
                <w:snapToGrid w:val="0"/>
                <w:sz w:val="16"/>
                <w:lang w:eastAsia="sv-SE"/>
              </w:rPr>
            </w:pPr>
            <w:r w:rsidRPr="0049492A">
              <w:rPr>
                <w:snapToGrid w:val="0"/>
                <w:sz w:val="16"/>
                <w:lang w:eastAsia="sv-SE"/>
              </w:rPr>
              <w:t>Ja</w:t>
            </w:r>
          </w:p>
        </w:tc>
      </w:tr>
      <w:tr w:rsidR="00000000" w:rsidRPr="0049492A">
        <w:tblPrEx>
          <w:tblCellMar>
            <w:top w:w="0" w:type="dxa"/>
            <w:bottom w:w="0" w:type="dxa"/>
          </w:tblCellMar>
        </w:tblPrEx>
        <w:trPr>
          <w:trHeight w:val="247"/>
        </w:trPr>
        <w:tc>
          <w:tcPr>
            <w:tcW w:w="3127" w:type="dxa"/>
          </w:tcPr>
          <w:p w:rsidR="008D3479" w:rsidRPr="0049492A" w:rsidRDefault="008D3479">
            <w:pPr>
              <w:jc w:val="left"/>
              <w:rPr>
                <w:b/>
                <w:snapToGrid w:val="0"/>
                <w:sz w:val="16"/>
                <w:lang w:eastAsia="sv-SE"/>
              </w:rPr>
            </w:pPr>
            <w:r w:rsidRPr="0049492A">
              <w:rPr>
                <w:b/>
                <w:snapToGrid w:val="0"/>
                <w:sz w:val="16"/>
                <w:lang w:eastAsia="sv-SE"/>
              </w:rPr>
              <w:t xml:space="preserve">Optimera kundnyttan </w:t>
            </w:r>
          </w:p>
        </w:tc>
        <w:tc>
          <w:tcPr>
            <w:tcW w:w="514" w:type="dxa"/>
          </w:tcPr>
          <w:p w:rsidR="008D3479" w:rsidRPr="0049492A" w:rsidRDefault="008D3479">
            <w:pPr>
              <w:jc w:val="center"/>
              <w:rPr>
                <w:snapToGrid w:val="0"/>
                <w:sz w:val="16"/>
                <w:lang w:eastAsia="sv-SE"/>
              </w:rPr>
            </w:pPr>
            <w:r w:rsidRPr="0049492A">
              <w:rPr>
                <w:snapToGrid w:val="0"/>
                <w:sz w:val="16"/>
                <w:lang w:eastAsia="sv-SE"/>
              </w:rPr>
              <w:t>Nej</w:t>
            </w:r>
          </w:p>
        </w:tc>
        <w:tc>
          <w:tcPr>
            <w:tcW w:w="665" w:type="dxa"/>
          </w:tcPr>
          <w:p w:rsidR="008D3479" w:rsidRPr="0049492A" w:rsidRDefault="008D3479">
            <w:pPr>
              <w:jc w:val="center"/>
              <w:rPr>
                <w:snapToGrid w:val="0"/>
                <w:sz w:val="16"/>
                <w:lang w:eastAsia="sv-SE"/>
              </w:rPr>
            </w:pPr>
            <w:r w:rsidRPr="0049492A">
              <w:rPr>
                <w:snapToGrid w:val="0"/>
                <w:sz w:val="16"/>
                <w:lang w:eastAsia="sv-SE"/>
              </w:rPr>
              <w:t>Nej</w:t>
            </w:r>
          </w:p>
        </w:tc>
        <w:tc>
          <w:tcPr>
            <w:tcW w:w="896" w:type="dxa"/>
          </w:tcPr>
          <w:p w:rsidR="008D3479" w:rsidRPr="0049492A" w:rsidRDefault="008D3479">
            <w:pPr>
              <w:jc w:val="center"/>
              <w:rPr>
                <w:snapToGrid w:val="0"/>
                <w:sz w:val="16"/>
                <w:lang w:eastAsia="sv-SE"/>
              </w:rPr>
            </w:pPr>
            <w:r w:rsidRPr="0049492A">
              <w:rPr>
                <w:snapToGrid w:val="0"/>
                <w:sz w:val="16"/>
                <w:lang w:eastAsia="sv-SE"/>
              </w:rPr>
              <w:t>Ja</w:t>
            </w:r>
          </w:p>
        </w:tc>
        <w:tc>
          <w:tcPr>
            <w:tcW w:w="754" w:type="dxa"/>
          </w:tcPr>
          <w:p w:rsidR="008D3479" w:rsidRPr="0049492A" w:rsidRDefault="008D3479">
            <w:pPr>
              <w:jc w:val="center"/>
              <w:rPr>
                <w:snapToGrid w:val="0"/>
                <w:sz w:val="16"/>
                <w:lang w:eastAsia="sv-SE"/>
              </w:rPr>
            </w:pPr>
            <w:r w:rsidRPr="0049492A">
              <w:rPr>
                <w:snapToGrid w:val="0"/>
                <w:sz w:val="16"/>
                <w:lang w:eastAsia="sv-SE"/>
              </w:rPr>
              <w:t>Ja</w:t>
            </w:r>
          </w:p>
        </w:tc>
      </w:tr>
      <w:tr w:rsidR="00000000" w:rsidRPr="0049492A">
        <w:tblPrEx>
          <w:tblCellMar>
            <w:top w:w="0" w:type="dxa"/>
            <w:bottom w:w="0" w:type="dxa"/>
          </w:tblCellMar>
        </w:tblPrEx>
        <w:trPr>
          <w:trHeight w:val="247"/>
        </w:trPr>
        <w:tc>
          <w:tcPr>
            <w:tcW w:w="3127" w:type="dxa"/>
          </w:tcPr>
          <w:p w:rsidR="008D3479" w:rsidRPr="0049492A" w:rsidRDefault="008D3479">
            <w:pPr>
              <w:jc w:val="left"/>
              <w:rPr>
                <w:b/>
                <w:snapToGrid w:val="0"/>
                <w:sz w:val="16"/>
                <w:lang w:eastAsia="sv-SE"/>
              </w:rPr>
            </w:pPr>
            <w:r w:rsidRPr="0049492A">
              <w:rPr>
                <w:b/>
                <w:snapToGrid w:val="0"/>
                <w:sz w:val="16"/>
                <w:lang w:eastAsia="sv-SE"/>
              </w:rPr>
              <w:t>Kapitalavkastningskrav (den 31/12 2000)</w:t>
            </w:r>
          </w:p>
        </w:tc>
        <w:tc>
          <w:tcPr>
            <w:tcW w:w="514" w:type="dxa"/>
          </w:tcPr>
          <w:p w:rsidR="008D3479" w:rsidRPr="0049492A" w:rsidRDefault="008D3479">
            <w:pPr>
              <w:jc w:val="center"/>
              <w:rPr>
                <w:snapToGrid w:val="0"/>
                <w:sz w:val="16"/>
                <w:lang w:eastAsia="sv-SE"/>
              </w:rPr>
            </w:pPr>
            <w:r w:rsidRPr="0049492A">
              <w:rPr>
                <w:snapToGrid w:val="0"/>
                <w:sz w:val="16"/>
                <w:lang w:eastAsia="sv-SE"/>
              </w:rPr>
              <w:t>2,8 %</w:t>
            </w:r>
          </w:p>
        </w:tc>
        <w:tc>
          <w:tcPr>
            <w:tcW w:w="665" w:type="dxa"/>
          </w:tcPr>
          <w:p w:rsidR="008D3479" w:rsidRPr="0049492A" w:rsidRDefault="008D3479">
            <w:pPr>
              <w:jc w:val="center"/>
              <w:rPr>
                <w:snapToGrid w:val="0"/>
                <w:sz w:val="16"/>
                <w:lang w:eastAsia="sv-SE"/>
              </w:rPr>
            </w:pPr>
            <w:r w:rsidRPr="0049492A">
              <w:rPr>
                <w:snapToGrid w:val="0"/>
                <w:sz w:val="16"/>
                <w:lang w:eastAsia="sv-SE"/>
              </w:rPr>
              <w:t>7,7 %</w:t>
            </w:r>
          </w:p>
        </w:tc>
        <w:tc>
          <w:tcPr>
            <w:tcW w:w="896" w:type="dxa"/>
          </w:tcPr>
          <w:p w:rsidR="008D3479" w:rsidRPr="0049492A" w:rsidRDefault="008D3479">
            <w:pPr>
              <w:jc w:val="center"/>
              <w:rPr>
                <w:snapToGrid w:val="0"/>
                <w:sz w:val="16"/>
                <w:lang w:eastAsia="sv-SE"/>
              </w:rPr>
            </w:pPr>
            <w:r w:rsidRPr="0049492A">
              <w:rPr>
                <w:snapToGrid w:val="0"/>
                <w:sz w:val="16"/>
                <w:lang w:eastAsia="sv-SE"/>
              </w:rPr>
              <w:t>7,5 %</w:t>
            </w:r>
          </w:p>
        </w:tc>
        <w:tc>
          <w:tcPr>
            <w:tcW w:w="754" w:type="dxa"/>
          </w:tcPr>
          <w:p w:rsidR="008D3479" w:rsidRPr="0049492A" w:rsidRDefault="008D3479">
            <w:pPr>
              <w:jc w:val="center"/>
              <w:rPr>
                <w:snapToGrid w:val="0"/>
                <w:sz w:val="16"/>
                <w:lang w:eastAsia="sv-SE"/>
              </w:rPr>
            </w:pPr>
            <w:r w:rsidRPr="0049492A">
              <w:rPr>
                <w:snapToGrid w:val="0"/>
                <w:sz w:val="16"/>
                <w:lang w:eastAsia="sv-SE"/>
              </w:rPr>
              <w:t>7,5 %</w:t>
            </w:r>
          </w:p>
        </w:tc>
      </w:tr>
      <w:tr w:rsidR="00000000" w:rsidRPr="0049492A">
        <w:tblPrEx>
          <w:tblCellMar>
            <w:top w:w="0" w:type="dxa"/>
            <w:bottom w:w="0" w:type="dxa"/>
          </w:tblCellMar>
        </w:tblPrEx>
        <w:trPr>
          <w:trHeight w:val="247"/>
        </w:trPr>
        <w:tc>
          <w:tcPr>
            <w:tcW w:w="3127" w:type="dxa"/>
          </w:tcPr>
          <w:p w:rsidR="008D3479" w:rsidRPr="0049492A" w:rsidRDefault="008D3479">
            <w:pPr>
              <w:jc w:val="left"/>
              <w:rPr>
                <w:b/>
                <w:snapToGrid w:val="0"/>
                <w:sz w:val="16"/>
                <w:lang w:eastAsia="sv-SE"/>
              </w:rPr>
            </w:pPr>
            <w:r w:rsidRPr="0049492A">
              <w:rPr>
                <w:b/>
                <w:snapToGrid w:val="0"/>
                <w:sz w:val="16"/>
                <w:lang w:eastAsia="sv-SE"/>
              </w:rPr>
              <w:t>Soliditetsmål</w:t>
            </w:r>
          </w:p>
        </w:tc>
        <w:tc>
          <w:tcPr>
            <w:tcW w:w="514" w:type="dxa"/>
          </w:tcPr>
          <w:p w:rsidR="008D3479" w:rsidRPr="0049492A" w:rsidRDefault="008D3479">
            <w:pPr>
              <w:jc w:val="center"/>
              <w:rPr>
                <w:snapToGrid w:val="0"/>
                <w:sz w:val="16"/>
                <w:lang w:eastAsia="sv-SE"/>
              </w:rPr>
            </w:pPr>
            <w:r w:rsidRPr="0049492A">
              <w:rPr>
                <w:snapToGrid w:val="0"/>
                <w:sz w:val="16"/>
                <w:lang w:eastAsia="sv-SE"/>
              </w:rPr>
              <w:t>50 %</w:t>
            </w:r>
          </w:p>
        </w:tc>
        <w:tc>
          <w:tcPr>
            <w:tcW w:w="665" w:type="dxa"/>
          </w:tcPr>
          <w:p w:rsidR="008D3479" w:rsidRPr="0049492A" w:rsidRDefault="008D3479">
            <w:pPr>
              <w:jc w:val="center"/>
              <w:rPr>
                <w:snapToGrid w:val="0"/>
                <w:sz w:val="16"/>
                <w:lang w:eastAsia="sv-SE"/>
              </w:rPr>
            </w:pPr>
            <w:r w:rsidRPr="0049492A">
              <w:rPr>
                <w:snapToGrid w:val="0"/>
                <w:sz w:val="16"/>
                <w:lang w:eastAsia="sv-SE"/>
              </w:rPr>
              <w:t>Nej</w:t>
            </w:r>
          </w:p>
        </w:tc>
        <w:tc>
          <w:tcPr>
            <w:tcW w:w="896" w:type="dxa"/>
          </w:tcPr>
          <w:p w:rsidR="008D3479" w:rsidRPr="0049492A" w:rsidRDefault="008D3479">
            <w:pPr>
              <w:jc w:val="center"/>
              <w:rPr>
                <w:snapToGrid w:val="0"/>
                <w:sz w:val="16"/>
                <w:lang w:eastAsia="sv-SE"/>
              </w:rPr>
            </w:pPr>
            <w:r w:rsidRPr="0049492A">
              <w:rPr>
                <w:snapToGrid w:val="0"/>
                <w:sz w:val="16"/>
                <w:lang w:eastAsia="sv-SE"/>
              </w:rPr>
              <w:t>25 %</w:t>
            </w:r>
          </w:p>
        </w:tc>
        <w:tc>
          <w:tcPr>
            <w:tcW w:w="754" w:type="dxa"/>
          </w:tcPr>
          <w:p w:rsidR="008D3479" w:rsidRPr="0049492A" w:rsidRDefault="008D3479">
            <w:pPr>
              <w:jc w:val="center"/>
              <w:rPr>
                <w:snapToGrid w:val="0"/>
                <w:sz w:val="16"/>
                <w:lang w:eastAsia="sv-SE"/>
              </w:rPr>
            </w:pPr>
            <w:r w:rsidRPr="0049492A">
              <w:rPr>
                <w:snapToGrid w:val="0"/>
                <w:sz w:val="16"/>
                <w:lang w:eastAsia="sv-SE"/>
              </w:rPr>
              <w:t>20 %</w:t>
            </w:r>
          </w:p>
        </w:tc>
      </w:tr>
    </w:tbl>
    <w:p w:rsidR="008D3479" w:rsidRPr="0049492A" w:rsidRDefault="008D3479">
      <w:pPr>
        <w:pStyle w:val="Rubrik2-Utannumrering"/>
      </w:pPr>
      <w:bookmarkStart w:id="472" w:name="_Toc515247952"/>
      <w:bookmarkStart w:id="473" w:name="_Toc515780790"/>
      <w:bookmarkStart w:id="474" w:name="_Toc515855851"/>
      <w:bookmarkStart w:id="475" w:name="_Toc515855953"/>
      <w:bookmarkStart w:id="476" w:name="_Toc516536413"/>
      <w:bookmarkStart w:id="477" w:name="_Toc516544565"/>
      <w:bookmarkStart w:id="478" w:name="_Toc516545300"/>
      <w:bookmarkStart w:id="479" w:name="_Toc516545433"/>
      <w:bookmarkStart w:id="480" w:name="_Toc523215840"/>
      <w:bookmarkStart w:id="481" w:name="_Toc524062409"/>
      <w:bookmarkStart w:id="482" w:name="_Toc524081038"/>
      <w:bookmarkStart w:id="483" w:name="_Toc524166761"/>
      <w:bookmarkStart w:id="484" w:name="_Toc524168638"/>
      <w:bookmarkStart w:id="485" w:name="_Toc524856363"/>
      <w:bookmarkStart w:id="486" w:name="_Toc524926716"/>
    </w:p>
    <w:p w:rsidR="008D3479" w:rsidRPr="0049492A" w:rsidRDefault="008D3479">
      <w:pPr>
        <w:pStyle w:val="Rubrik2-Utannumrering"/>
      </w:pPr>
    </w:p>
    <w:p w:rsidR="008D3479" w:rsidRPr="0049492A" w:rsidRDefault="008D3479">
      <w:pPr>
        <w:pStyle w:val="Rubrik2-Utannumrering"/>
      </w:pPr>
      <w:bookmarkStart w:id="487" w:name="_Toc526147807"/>
      <w:bookmarkStart w:id="488" w:name="_Toc526234285"/>
    </w:p>
    <w:p w:rsidR="008D3479" w:rsidRPr="0049492A" w:rsidRDefault="008D3479">
      <w:pPr>
        <w:pStyle w:val="Rubrik2-Utannumrering"/>
      </w:pPr>
    </w:p>
    <w:p w:rsidR="008D3479" w:rsidRPr="0049492A" w:rsidRDefault="008D3479">
      <w:pPr>
        <w:pStyle w:val="Rubrik2-Utannumrering"/>
      </w:pPr>
      <w:bookmarkStart w:id="489" w:name="_Toc532725186"/>
      <w:r w:rsidRPr="0049492A">
        <w:t>Statens fastigheter av ändamålskaraktär</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8D3479" w:rsidRPr="0049492A" w:rsidRDefault="008D3479">
      <w:r w:rsidRPr="0049492A">
        <w:t xml:space="preserve">För att ge en överblick över den statliga förvaltningen av ändamålsfastigheter presenteras här en översiktlig tabell över de fyra förvaltare som behandlas i granskningen. </w:t>
      </w:r>
    </w:p>
    <w:p w:rsidR="008D3479" w:rsidRPr="0049492A" w:rsidRDefault="008D3479">
      <w:pPr>
        <w:pStyle w:val="Normaltindrag"/>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993"/>
        <w:gridCol w:w="1076"/>
        <w:gridCol w:w="1403"/>
        <w:gridCol w:w="1247"/>
        <w:gridCol w:w="1247"/>
      </w:tblGrid>
      <w:tr w:rsidR="00000000" w:rsidRPr="0049492A">
        <w:tblPrEx>
          <w:tblCellMar>
            <w:top w:w="0" w:type="dxa"/>
            <w:bottom w:w="0" w:type="dxa"/>
          </w:tblCellMar>
        </w:tblPrEx>
        <w:trPr>
          <w:tblHeader/>
        </w:trPr>
        <w:tc>
          <w:tcPr>
            <w:tcW w:w="993" w:type="dxa"/>
          </w:tcPr>
          <w:p w:rsidR="008D3479" w:rsidRPr="0049492A" w:rsidRDefault="008D3479">
            <w:pPr>
              <w:jc w:val="left"/>
              <w:rPr>
                <w:b/>
                <w:sz w:val="16"/>
              </w:rPr>
            </w:pPr>
            <w:r w:rsidRPr="0049492A">
              <w:rPr>
                <w:b/>
                <w:sz w:val="16"/>
              </w:rPr>
              <w:t>Förvaltande myndi</w:t>
            </w:r>
            <w:r w:rsidRPr="0049492A">
              <w:rPr>
                <w:b/>
                <w:sz w:val="16"/>
              </w:rPr>
              <w:t>g</w:t>
            </w:r>
            <w:r w:rsidRPr="0049492A">
              <w:rPr>
                <w:b/>
                <w:sz w:val="16"/>
              </w:rPr>
              <w:t>het</w:t>
            </w:r>
          </w:p>
        </w:tc>
        <w:tc>
          <w:tcPr>
            <w:tcW w:w="1076" w:type="dxa"/>
          </w:tcPr>
          <w:p w:rsidR="008D3479" w:rsidRPr="0049492A" w:rsidRDefault="008D3479">
            <w:pPr>
              <w:jc w:val="left"/>
              <w:rPr>
                <w:b/>
                <w:sz w:val="16"/>
              </w:rPr>
            </w:pPr>
            <w:r w:rsidRPr="0049492A">
              <w:rPr>
                <w:b/>
                <w:sz w:val="16"/>
              </w:rPr>
              <w:t>Hyresgä</w:t>
            </w:r>
            <w:r w:rsidRPr="0049492A">
              <w:rPr>
                <w:b/>
                <w:sz w:val="16"/>
              </w:rPr>
              <w:t>s</w:t>
            </w:r>
            <w:r w:rsidRPr="0049492A">
              <w:rPr>
                <w:b/>
                <w:sz w:val="16"/>
              </w:rPr>
              <w:t>ter</w:t>
            </w:r>
          </w:p>
        </w:tc>
        <w:tc>
          <w:tcPr>
            <w:tcW w:w="1403" w:type="dxa"/>
          </w:tcPr>
          <w:p w:rsidR="008D3479" w:rsidRPr="0049492A" w:rsidRDefault="008D3479">
            <w:pPr>
              <w:jc w:val="left"/>
              <w:rPr>
                <w:b/>
                <w:sz w:val="16"/>
              </w:rPr>
            </w:pPr>
            <w:r w:rsidRPr="0049492A">
              <w:rPr>
                <w:b/>
                <w:sz w:val="16"/>
              </w:rPr>
              <w:t>Hyresmodell</w:t>
            </w:r>
          </w:p>
        </w:tc>
        <w:tc>
          <w:tcPr>
            <w:tcW w:w="1247" w:type="dxa"/>
          </w:tcPr>
          <w:p w:rsidR="008D3479" w:rsidRPr="0049492A" w:rsidRDefault="008D3479">
            <w:pPr>
              <w:jc w:val="left"/>
              <w:rPr>
                <w:b/>
                <w:sz w:val="16"/>
              </w:rPr>
            </w:pPr>
            <w:r w:rsidRPr="0049492A">
              <w:rPr>
                <w:b/>
                <w:sz w:val="16"/>
              </w:rPr>
              <w:t>Avkastnings-krav</w:t>
            </w:r>
          </w:p>
        </w:tc>
        <w:tc>
          <w:tcPr>
            <w:tcW w:w="1247" w:type="dxa"/>
          </w:tcPr>
          <w:p w:rsidR="008D3479" w:rsidRPr="0049492A" w:rsidRDefault="008D3479">
            <w:pPr>
              <w:jc w:val="left"/>
              <w:rPr>
                <w:b/>
                <w:sz w:val="16"/>
              </w:rPr>
            </w:pPr>
            <w:r w:rsidRPr="0049492A">
              <w:rPr>
                <w:b/>
                <w:sz w:val="16"/>
              </w:rPr>
              <w:t>Bokfört värde 2000</w:t>
            </w:r>
            <w:r w:rsidRPr="0049492A">
              <w:rPr>
                <w:rStyle w:val="Fotnotsreferens"/>
                <w:b/>
                <w:sz w:val="16"/>
              </w:rPr>
              <w:footnoteReference w:id="37"/>
            </w:r>
          </w:p>
        </w:tc>
      </w:tr>
      <w:tr w:rsidR="00000000" w:rsidRPr="0049492A">
        <w:tblPrEx>
          <w:tblCellMar>
            <w:top w:w="0" w:type="dxa"/>
            <w:bottom w:w="0" w:type="dxa"/>
          </w:tblCellMar>
        </w:tblPrEx>
        <w:tc>
          <w:tcPr>
            <w:tcW w:w="993" w:type="dxa"/>
          </w:tcPr>
          <w:p w:rsidR="008D3479" w:rsidRPr="0049492A" w:rsidRDefault="008D3479">
            <w:pPr>
              <w:jc w:val="left"/>
              <w:rPr>
                <w:b/>
                <w:sz w:val="16"/>
              </w:rPr>
            </w:pPr>
            <w:r w:rsidRPr="0049492A">
              <w:rPr>
                <w:b/>
                <w:sz w:val="16"/>
              </w:rPr>
              <w:t xml:space="preserve">Statens </w:t>
            </w:r>
          </w:p>
          <w:p w:rsidR="008D3479" w:rsidRPr="0049492A" w:rsidRDefault="008D3479">
            <w:pPr>
              <w:jc w:val="left"/>
              <w:rPr>
                <w:b/>
                <w:sz w:val="16"/>
              </w:rPr>
            </w:pPr>
            <w:r w:rsidRPr="0049492A">
              <w:rPr>
                <w:b/>
                <w:sz w:val="16"/>
              </w:rPr>
              <w:t>fastighet</w:t>
            </w:r>
            <w:r w:rsidRPr="0049492A">
              <w:rPr>
                <w:b/>
                <w:sz w:val="16"/>
              </w:rPr>
              <w:t>s</w:t>
            </w:r>
            <w:r w:rsidRPr="0049492A">
              <w:rPr>
                <w:b/>
                <w:sz w:val="16"/>
              </w:rPr>
              <w:t>verk</w:t>
            </w:r>
          </w:p>
        </w:tc>
        <w:tc>
          <w:tcPr>
            <w:tcW w:w="1076" w:type="dxa"/>
          </w:tcPr>
          <w:p w:rsidR="008D3479" w:rsidRPr="0049492A" w:rsidRDefault="008D3479">
            <w:pPr>
              <w:jc w:val="left"/>
              <w:rPr>
                <w:sz w:val="16"/>
              </w:rPr>
            </w:pPr>
            <w:r w:rsidRPr="0049492A">
              <w:rPr>
                <w:sz w:val="16"/>
              </w:rPr>
              <w:t>Kultur-institutioner, Sveriges ambassader, Regerings-kansliet, m.m.</w:t>
            </w:r>
          </w:p>
        </w:tc>
        <w:tc>
          <w:tcPr>
            <w:tcW w:w="1403" w:type="dxa"/>
          </w:tcPr>
          <w:p w:rsidR="008D3479" w:rsidRPr="0049492A" w:rsidRDefault="008D3479">
            <w:pPr>
              <w:jc w:val="left"/>
              <w:rPr>
                <w:sz w:val="16"/>
              </w:rPr>
            </w:pPr>
            <w:r w:rsidRPr="0049492A">
              <w:rPr>
                <w:sz w:val="16"/>
              </w:rPr>
              <w:t>Marknadsliknande hyror, sätts efter jämförelse med likvärdiga lokaler på marknaden.</w:t>
            </w:r>
            <w:r w:rsidRPr="0049492A">
              <w:rPr>
                <w:rStyle w:val="Fotnotsreferens"/>
                <w:sz w:val="16"/>
              </w:rPr>
              <w:footnoteReference w:id="38"/>
            </w:r>
            <w:r w:rsidRPr="0049492A">
              <w:rPr>
                <w:sz w:val="16"/>
              </w:rPr>
              <w:t xml:space="preserve"> Kostnadsbaserad balanshyra tillä</w:t>
            </w:r>
            <w:r w:rsidRPr="0049492A">
              <w:rPr>
                <w:sz w:val="16"/>
              </w:rPr>
              <w:t>m</w:t>
            </w:r>
            <w:r w:rsidRPr="0049492A">
              <w:rPr>
                <w:sz w:val="16"/>
              </w:rPr>
              <w:t>pas för nybyggn</w:t>
            </w:r>
            <w:r w:rsidRPr="0049492A">
              <w:rPr>
                <w:sz w:val="16"/>
              </w:rPr>
              <w:t>a</w:t>
            </w:r>
            <w:r w:rsidRPr="0049492A">
              <w:rPr>
                <w:sz w:val="16"/>
              </w:rPr>
              <w:t>tioner.</w:t>
            </w:r>
          </w:p>
        </w:tc>
        <w:tc>
          <w:tcPr>
            <w:tcW w:w="1247" w:type="dxa"/>
          </w:tcPr>
          <w:p w:rsidR="008D3479" w:rsidRPr="0049492A" w:rsidRDefault="008D3479">
            <w:pPr>
              <w:jc w:val="left"/>
              <w:rPr>
                <w:sz w:val="16"/>
              </w:rPr>
            </w:pPr>
            <w:r w:rsidRPr="0049492A">
              <w:rPr>
                <w:sz w:val="16"/>
              </w:rPr>
              <w:t>2,8 %, bygger på ett antagande om hyresintäkter på 1,6 miljarder under år 2001.</w:t>
            </w:r>
          </w:p>
          <w:p w:rsidR="008D3479" w:rsidRPr="0049492A" w:rsidRDefault="008D3479">
            <w:pPr>
              <w:jc w:val="left"/>
              <w:rPr>
                <w:sz w:val="16"/>
              </w:rPr>
            </w:pPr>
          </w:p>
          <w:p w:rsidR="008D3479" w:rsidRPr="0049492A" w:rsidRDefault="008D3479">
            <w:pPr>
              <w:jc w:val="left"/>
              <w:rPr>
                <w:sz w:val="16"/>
              </w:rPr>
            </w:pPr>
          </w:p>
        </w:tc>
        <w:tc>
          <w:tcPr>
            <w:tcW w:w="1247" w:type="dxa"/>
          </w:tcPr>
          <w:p w:rsidR="008D3479" w:rsidRPr="0049492A" w:rsidRDefault="008D3479">
            <w:pPr>
              <w:jc w:val="left"/>
              <w:rPr>
                <w:sz w:val="16"/>
              </w:rPr>
            </w:pPr>
            <w:r w:rsidRPr="0049492A">
              <w:rPr>
                <w:sz w:val="16"/>
              </w:rPr>
              <w:t>11,1 miljarder kr</w:t>
            </w:r>
          </w:p>
        </w:tc>
      </w:tr>
      <w:tr w:rsidR="00000000" w:rsidRPr="0049492A">
        <w:tblPrEx>
          <w:tblCellMar>
            <w:top w:w="0" w:type="dxa"/>
            <w:bottom w:w="0" w:type="dxa"/>
          </w:tblCellMar>
        </w:tblPrEx>
        <w:tc>
          <w:tcPr>
            <w:tcW w:w="993" w:type="dxa"/>
          </w:tcPr>
          <w:p w:rsidR="008D3479" w:rsidRPr="0049492A" w:rsidRDefault="008D3479">
            <w:pPr>
              <w:jc w:val="left"/>
              <w:rPr>
                <w:b/>
                <w:sz w:val="16"/>
              </w:rPr>
            </w:pPr>
            <w:r w:rsidRPr="0049492A">
              <w:rPr>
                <w:b/>
                <w:sz w:val="16"/>
              </w:rPr>
              <w:t>Fortifik</w:t>
            </w:r>
            <w:r w:rsidRPr="0049492A">
              <w:rPr>
                <w:b/>
                <w:sz w:val="16"/>
              </w:rPr>
              <w:t>a</w:t>
            </w:r>
            <w:r w:rsidRPr="0049492A">
              <w:rPr>
                <w:b/>
                <w:sz w:val="16"/>
              </w:rPr>
              <w:t>tionsve</w:t>
            </w:r>
            <w:r w:rsidRPr="0049492A">
              <w:rPr>
                <w:b/>
                <w:sz w:val="16"/>
              </w:rPr>
              <w:t>r</w:t>
            </w:r>
            <w:r w:rsidRPr="0049492A">
              <w:rPr>
                <w:b/>
                <w:sz w:val="16"/>
              </w:rPr>
              <w:t>ket</w:t>
            </w:r>
          </w:p>
        </w:tc>
        <w:tc>
          <w:tcPr>
            <w:tcW w:w="1076" w:type="dxa"/>
          </w:tcPr>
          <w:p w:rsidR="008D3479" w:rsidRPr="0049492A" w:rsidRDefault="008D3479">
            <w:pPr>
              <w:jc w:val="left"/>
              <w:rPr>
                <w:sz w:val="16"/>
              </w:rPr>
            </w:pPr>
            <w:r w:rsidRPr="0049492A">
              <w:rPr>
                <w:sz w:val="16"/>
              </w:rPr>
              <w:t>Försvars-makten, Försvarets materielverk, m.m.</w:t>
            </w:r>
          </w:p>
        </w:tc>
        <w:tc>
          <w:tcPr>
            <w:tcW w:w="1403" w:type="dxa"/>
          </w:tcPr>
          <w:p w:rsidR="008D3479" w:rsidRPr="0049492A" w:rsidRDefault="008D3479">
            <w:pPr>
              <w:jc w:val="left"/>
              <w:rPr>
                <w:sz w:val="16"/>
              </w:rPr>
            </w:pPr>
            <w:r w:rsidRPr="0049492A">
              <w:rPr>
                <w:sz w:val="16"/>
              </w:rPr>
              <w:t>Kostnadsbaserad totalhyra, beståe</w:t>
            </w:r>
            <w:r w:rsidRPr="0049492A">
              <w:rPr>
                <w:sz w:val="16"/>
              </w:rPr>
              <w:t>n</w:t>
            </w:r>
            <w:r w:rsidRPr="0049492A">
              <w:rPr>
                <w:sz w:val="16"/>
              </w:rPr>
              <w:t>de av schablonis</w:t>
            </w:r>
            <w:r w:rsidRPr="0049492A">
              <w:rPr>
                <w:sz w:val="16"/>
              </w:rPr>
              <w:t>e</w:t>
            </w:r>
            <w:r w:rsidRPr="0049492A">
              <w:rPr>
                <w:sz w:val="16"/>
              </w:rPr>
              <w:t>rade kostnader för kapital, adminis</w:t>
            </w:r>
            <w:r w:rsidRPr="0049492A">
              <w:rPr>
                <w:sz w:val="16"/>
              </w:rPr>
              <w:t>t</w:t>
            </w:r>
            <w:r w:rsidRPr="0049492A">
              <w:rPr>
                <w:sz w:val="16"/>
              </w:rPr>
              <w:t>ration, underhåll, drift och energi, etc.</w:t>
            </w:r>
          </w:p>
        </w:tc>
        <w:tc>
          <w:tcPr>
            <w:tcW w:w="1247" w:type="dxa"/>
          </w:tcPr>
          <w:p w:rsidR="008D3479" w:rsidRPr="0049492A" w:rsidRDefault="008D3479">
            <w:pPr>
              <w:jc w:val="left"/>
              <w:rPr>
                <w:sz w:val="16"/>
              </w:rPr>
            </w:pPr>
            <w:r w:rsidRPr="0049492A">
              <w:rPr>
                <w:sz w:val="16"/>
              </w:rPr>
              <w:t>Statens utl</w:t>
            </w:r>
            <w:r w:rsidRPr="0049492A">
              <w:rPr>
                <w:sz w:val="16"/>
              </w:rPr>
              <w:t>å</w:t>
            </w:r>
            <w:r w:rsidRPr="0049492A">
              <w:rPr>
                <w:sz w:val="16"/>
              </w:rPr>
              <w:t>ningsränta plus riskpremie på 2,5 %.</w:t>
            </w:r>
          </w:p>
          <w:p w:rsidR="008D3479" w:rsidRPr="0049492A" w:rsidRDefault="008D3479">
            <w:pPr>
              <w:jc w:val="left"/>
              <w:rPr>
                <w:sz w:val="16"/>
              </w:rPr>
            </w:pPr>
          </w:p>
          <w:p w:rsidR="008D3479" w:rsidRPr="0049492A" w:rsidRDefault="008D3479">
            <w:pPr>
              <w:jc w:val="left"/>
              <w:rPr>
                <w:sz w:val="16"/>
              </w:rPr>
            </w:pPr>
          </w:p>
        </w:tc>
        <w:tc>
          <w:tcPr>
            <w:tcW w:w="1247" w:type="dxa"/>
          </w:tcPr>
          <w:p w:rsidR="008D3479" w:rsidRPr="0049492A" w:rsidRDefault="008D3479">
            <w:pPr>
              <w:jc w:val="left"/>
              <w:rPr>
                <w:sz w:val="16"/>
              </w:rPr>
            </w:pPr>
            <w:r w:rsidRPr="0049492A">
              <w:rPr>
                <w:sz w:val="16"/>
              </w:rPr>
              <w:t>11,8 miljarder kr</w:t>
            </w:r>
          </w:p>
        </w:tc>
      </w:tr>
      <w:tr w:rsidR="00000000" w:rsidRPr="0049492A">
        <w:tblPrEx>
          <w:tblCellMar>
            <w:top w:w="0" w:type="dxa"/>
            <w:bottom w:w="0" w:type="dxa"/>
          </w:tblCellMar>
        </w:tblPrEx>
        <w:tc>
          <w:tcPr>
            <w:tcW w:w="993" w:type="dxa"/>
          </w:tcPr>
          <w:p w:rsidR="008D3479" w:rsidRPr="0049492A" w:rsidRDefault="008D3479">
            <w:pPr>
              <w:jc w:val="left"/>
              <w:rPr>
                <w:b/>
                <w:sz w:val="16"/>
              </w:rPr>
            </w:pPr>
            <w:r w:rsidRPr="0049492A">
              <w:rPr>
                <w:b/>
                <w:sz w:val="16"/>
              </w:rPr>
              <w:t>Akade-miska Hus AB</w:t>
            </w:r>
          </w:p>
        </w:tc>
        <w:tc>
          <w:tcPr>
            <w:tcW w:w="1076" w:type="dxa"/>
          </w:tcPr>
          <w:p w:rsidR="008D3479" w:rsidRPr="0049492A" w:rsidRDefault="008D3479">
            <w:pPr>
              <w:jc w:val="left"/>
              <w:rPr>
                <w:sz w:val="16"/>
              </w:rPr>
            </w:pPr>
            <w:r w:rsidRPr="0049492A">
              <w:rPr>
                <w:sz w:val="16"/>
              </w:rPr>
              <w:t>Universitet och hö</w:t>
            </w:r>
            <w:r w:rsidRPr="0049492A">
              <w:rPr>
                <w:sz w:val="16"/>
              </w:rPr>
              <w:t>g</w:t>
            </w:r>
            <w:r w:rsidRPr="0049492A">
              <w:rPr>
                <w:sz w:val="16"/>
              </w:rPr>
              <w:t>skolor</w:t>
            </w:r>
          </w:p>
        </w:tc>
        <w:tc>
          <w:tcPr>
            <w:tcW w:w="1403" w:type="dxa"/>
          </w:tcPr>
          <w:p w:rsidR="008D3479" w:rsidRPr="0049492A" w:rsidRDefault="008D3479">
            <w:pPr>
              <w:jc w:val="left"/>
              <w:rPr>
                <w:sz w:val="16"/>
              </w:rPr>
            </w:pPr>
            <w:r w:rsidRPr="0049492A">
              <w:rPr>
                <w:sz w:val="16"/>
              </w:rPr>
              <w:t>Marknads-anpassade hyror, sätts efter jämföre</w:t>
            </w:r>
            <w:r w:rsidRPr="0049492A">
              <w:rPr>
                <w:sz w:val="16"/>
              </w:rPr>
              <w:t>l</w:t>
            </w:r>
            <w:r w:rsidRPr="0049492A">
              <w:rPr>
                <w:sz w:val="16"/>
              </w:rPr>
              <w:t>se med likvärdiga lokaler på markn</w:t>
            </w:r>
            <w:r w:rsidRPr="0049492A">
              <w:rPr>
                <w:sz w:val="16"/>
              </w:rPr>
              <w:t>a</w:t>
            </w:r>
            <w:r w:rsidRPr="0049492A">
              <w:rPr>
                <w:sz w:val="16"/>
              </w:rPr>
              <w:t>den. Kostnadsbas</w:t>
            </w:r>
            <w:r w:rsidRPr="0049492A">
              <w:rPr>
                <w:sz w:val="16"/>
              </w:rPr>
              <w:t>e</w:t>
            </w:r>
            <w:r w:rsidRPr="0049492A">
              <w:rPr>
                <w:sz w:val="16"/>
              </w:rPr>
              <w:t>rad balanshyra tillämpas för nybyggnationer.</w:t>
            </w:r>
          </w:p>
        </w:tc>
        <w:tc>
          <w:tcPr>
            <w:tcW w:w="1247" w:type="dxa"/>
          </w:tcPr>
          <w:p w:rsidR="008D3479" w:rsidRPr="0049492A" w:rsidRDefault="008D3479">
            <w:pPr>
              <w:jc w:val="left"/>
              <w:rPr>
                <w:sz w:val="16"/>
              </w:rPr>
            </w:pPr>
            <w:r w:rsidRPr="0049492A">
              <w:rPr>
                <w:sz w:val="16"/>
              </w:rPr>
              <w:t>Femåriga stats-obligations-räntan plus riskpremie på 2,5 %.</w:t>
            </w:r>
          </w:p>
          <w:p w:rsidR="008D3479" w:rsidRPr="0049492A" w:rsidRDefault="008D3479">
            <w:pPr>
              <w:jc w:val="left"/>
              <w:rPr>
                <w:sz w:val="16"/>
              </w:rPr>
            </w:pPr>
          </w:p>
          <w:p w:rsidR="008D3479" w:rsidRPr="0049492A" w:rsidRDefault="008D3479">
            <w:pPr>
              <w:jc w:val="left"/>
              <w:rPr>
                <w:sz w:val="16"/>
              </w:rPr>
            </w:pPr>
          </w:p>
        </w:tc>
        <w:tc>
          <w:tcPr>
            <w:tcW w:w="1247" w:type="dxa"/>
          </w:tcPr>
          <w:p w:rsidR="008D3479" w:rsidRPr="0049492A" w:rsidRDefault="008D3479">
            <w:pPr>
              <w:jc w:val="left"/>
              <w:rPr>
                <w:sz w:val="16"/>
              </w:rPr>
            </w:pPr>
            <w:r w:rsidRPr="0049492A">
              <w:rPr>
                <w:sz w:val="16"/>
              </w:rPr>
              <w:t>22,3 miljarder kr</w:t>
            </w:r>
          </w:p>
        </w:tc>
      </w:tr>
      <w:tr w:rsidR="00000000" w:rsidRPr="0049492A">
        <w:tblPrEx>
          <w:tblCellMar>
            <w:top w:w="0" w:type="dxa"/>
            <w:bottom w:w="0" w:type="dxa"/>
          </w:tblCellMar>
        </w:tblPrEx>
        <w:trPr>
          <w:trHeight w:val="1357"/>
        </w:trPr>
        <w:tc>
          <w:tcPr>
            <w:tcW w:w="993" w:type="dxa"/>
          </w:tcPr>
          <w:p w:rsidR="008D3479" w:rsidRPr="0049492A" w:rsidRDefault="008D3479">
            <w:pPr>
              <w:jc w:val="left"/>
              <w:rPr>
                <w:b/>
                <w:sz w:val="16"/>
              </w:rPr>
            </w:pPr>
            <w:r w:rsidRPr="0049492A">
              <w:rPr>
                <w:b/>
                <w:sz w:val="16"/>
              </w:rPr>
              <w:t>Special-fastigheter AB</w:t>
            </w:r>
          </w:p>
        </w:tc>
        <w:tc>
          <w:tcPr>
            <w:tcW w:w="1076" w:type="dxa"/>
          </w:tcPr>
          <w:p w:rsidR="008D3479" w:rsidRPr="0049492A" w:rsidRDefault="008D3479">
            <w:pPr>
              <w:jc w:val="left"/>
              <w:rPr>
                <w:sz w:val="16"/>
              </w:rPr>
            </w:pPr>
            <w:r w:rsidRPr="0049492A">
              <w:rPr>
                <w:sz w:val="16"/>
              </w:rPr>
              <w:t>Krimina</w:t>
            </w:r>
            <w:r w:rsidRPr="0049492A">
              <w:rPr>
                <w:sz w:val="16"/>
              </w:rPr>
              <w:t>l</w:t>
            </w:r>
            <w:r w:rsidRPr="0049492A">
              <w:rPr>
                <w:sz w:val="16"/>
              </w:rPr>
              <w:t>vårds-styrelsen, Rikspolisst</w:t>
            </w:r>
            <w:r w:rsidRPr="0049492A">
              <w:rPr>
                <w:sz w:val="16"/>
              </w:rPr>
              <w:t>y</w:t>
            </w:r>
            <w:r w:rsidRPr="0049492A">
              <w:rPr>
                <w:sz w:val="16"/>
              </w:rPr>
              <w:t>relsen, Statens institution</w:t>
            </w:r>
            <w:r w:rsidRPr="0049492A">
              <w:rPr>
                <w:sz w:val="16"/>
              </w:rPr>
              <w:t>s</w:t>
            </w:r>
            <w:r w:rsidRPr="0049492A">
              <w:rPr>
                <w:sz w:val="16"/>
              </w:rPr>
              <w:t>styrelse, m.m.</w:t>
            </w:r>
          </w:p>
        </w:tc>
        <w:tc>
          <w:tcPr>
            <w:tcW w:w="1403" w:type="dxa"/>
          </w:tcPr>
          <w:p w:rsidR="008D3479" w:rsidRPr="0049492A" w:rsidRDefault="008D3479">
            <w:pPr>
              <w:jc w:val="left"/>
              <w:rPr>
                <w:sz w:val="16"/>
              </w:rPr>
            </w:pPr>
            <w:r w:rsidRPr="0049492A">
              <w:rPr>
                <w:sz w:val="16"/>
              </w:rPr>
              <w:t>Kostnadsbaserad totalhyra, viss marknads-anpassning av avskri</w:t>
            </w:r>
            <w:r w:rsidRPr="0049492A">
              <w:rPr>
                <w:sz w:val="16"/>
              </w:rPr>
              <w:t>v</w:t>
            </w:r>
            <w:r w:rsidRPr="0049492A">
              <w:rPr>
                <w:sz w:val="16"/>
              </w:rPr>
              <w:t>nings-takten.</w:t>
            </w:r>
          </w:p>
        </w:tc>
        <w:tc>
          <w:tcPr>
            <w:tcW w:w="1247" w:type="dxa"/>
          </w:tcPr>
          <w:p w:rsidR="008D3479" w:rsidRPr="0049492A" w:rsidRDefault="008D3479">
            <w:pPr>
              <w:jc w:val="left"/>
              <w:rPr>
                <w:sz w:val="16"/>
              </w:rPr>
            </w:pPr>
            <w:r w:rsidRPr="0049492A">
              <w:rPr>
                <w:sz w:val="16"/>
              </w:rPr>
              <w:t>Femåriga stats-obligations-räntan plus riskpremie på 2,5 %.</w:t>
            </w:r>
          </w:p>
          <w:p w:rsidR="008D3479" w:rsidRPr="0049492A" w:rsidRDefault="008D3479">
            <w:pPr>
              <w:jc w:val="left"/>
              <w:rPr>
                <w:sz w:val="16"/>
              </w:rPr>
            </w:pPr>
          </w:p>
          <w:p w:rsidR="008D3479" w:rsidRPr="0049492A" w:rsidRDefault="008D3479">
            <w:pPr>
              <w:jc w:val="left"/>
              <w:rPr>
                <w:sz w:val="16"/>
              </w:rPr>
            </w:pPr>
          </w:p>
        </w:tc>
        <w:tc>
          <w:tcPr>
            <w:tcW w:w="1247" w:type="dxa"/>
          </w:tcPr>
          <w:p w:rsidR="008D3479" w:rsidRPr="0049492A" w:rsidRDefault="008D3479">
            <w:pPr>
              <w:jc w:val="left"/>
              <w:rPr>
                <w:sz w:val="16"/>
              </w:rPr>
            </w:pPr>
            <w:r w:rsidRPr="0049492A">
              <w:rPr>
                <w:sz w:val="16"/>
              </w:rPr>
              <w:t>5,2 miljarder kr</w:t>
            </w:r>
          </w:p>
        </w:tc>
      </w:tr>
    </w:tbl>
    <w:p w:rsidR="008D3479" w:rsidRPr="0049492A" w:rsidRDefault="008D3479"/>
    <w:p w:rsidR="008D3479" w:rsidRPr="0049492A" w:rsidRDefault="008D3479">
      <w:r w:rsidRPr="0049492A">
        <w:t xml:space="preserve">Beskrivningen av följande statliga fastighetsförvaltare bygger på intervjuer  med de ansvariga för verksamheten samt på de skriftliga källor som anges. </w:t>
      </w:r>
    </w:p>
    <w:p w:rsidR="008D3479" w:rsidRPr="0049492A" w:rsidRDefault="008D3479">
      <w:pPr>
        <w:pStyle w:val="Rubrik2-Utannumrering"/>
      </w:pPr>
      <w:bookmarkStart w:id="490" w:name="_Toc514560706"/>
      <w:bookmarkStart w:id="491" w:name="_Toc515247953"/>
      <w:bookmarkStart w:id="492" w:name="_Toc515780791"/>
      <w:bookmarkStart w:id="493" w:name="_Toc515855852"/>
      <w:bookmarkStart w:id="494" w:name="_Toc515855954"/>
      <w:bookmarkStart w:id="495" w:name="_Toc516536414"/>
      <w:bookmarkStart w:id="496" w:name="_Toc516544566"/>
      <w:bookmarkStart w:id="497" w:name="_Toc516545301"/>
      <w:bookmarkStart w:id="498" w:name="_Toc516545434"/>
      <w:bookmarkStart w:id="499" w:name="_Toc523215841"/>
      <w:bookmarkStart w:id="500" w:name="_Toc524062410"/>
      <w:bookmarkStart w:id="501" w:name="_Toc524081039"/>
      <w:bookmarkStart w:id="502" w:name="_Toc524166762"/>
      <w:bookmarkStart w:id="503" w:name="_Toc524168639"/>
      <w:bookmarkStart w:id="504" w:name="_Toc524856364"/>
      <w:bookmarkStart w:id="505" w:name="_Toc524926717"/>
      <w:bookmarkStart w:id="506" w:name="_Toc526147808"/>
      <w:bookmarkStart w:id="507" w:name="_Toc526234286"/>
      <w:bookmarkStart w:id="508" w:name="_Toc532725187"/>
      <w:r w:rsidRPr="0049492A">
        <w:t>Statens fastighetsverk</w:t>
      </w:r>
      <w:bookmarkEnd w:id="490"/>
      <w:r w:rsidRPr="0049492A">
        <w:t xml:space="preserve"> </w:t>
      </w:r>
      <w:r w:rsidRPr="0049492A">
        <w:rPr>
          <w:rStyle w:val="Fotnotsreferens"/>
          <w:sz w:val="18"/>
        </w:rPr>
        <w:footnoteReference w:id="39"/>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8D3479" w:rsidRPr="0049492A" w:rsidRDefault="008D3479">
      <w:r w:rsidRPr="0049492A">
        <w:rPr>
          <w:i/>
        </w:rPr>
        <w:t>Statens fastighetsverk</w:t>
      </w:r>
      <w:r w:rsidRPr="0049492A">
        <w:t xml:space="preserve"> (SFV) inrättades 1993. Verket förvaltar (icke-militära) fastigheter som vid omorganiseringen av statens fastighetsförvaltning inte bedömdes lämpliga att förvalta i bolagsform. Dit hör utrikes fastigheter, de kungliga slotten, Djurgårdsmarken och regeringsbyggnaderna, vissa av st</w:t>
      </w:r>
      <w:r w:rsidRPr="0049492A">
        <w:t>a</w:t>
      </w:r>
      <w:r w:rsidRPr="0049492A">
        <w:t>tens kulturfastigheter, gamla fästen, monument, vissa älvsträckor och mar</w:t>
      </w:r>
      <w:r w:rsidRPr="0049492A">
        <w:t>k</w:t>
      </w:r>
      <w:r w:rsidRPr="0049492A">
        <w:t>områden samt vissa donationsfastigheter. De flesta fastigheterna tillhör det nationella kulturarvet. Fastighetsverket förvaltar t.ex. de statliga kulturfasti</w:t>
      </w:r>
      <w:r w:rsidRPr="0049492A">
        <w:t>g</w:t>
      </w:r>
      <w:r w:rsidRPr="0049492A">
        <w:t>heterna som Operan, Dramaten, Kungliga biblioteket, Naturhistoriska rik</w:t>
      </w:r>
      <w:r w:rsidRPr="0049492A">
        <w:t>s</w:t>
      </w:r>
      <w:r w:rsidRPr="0049492A">
        <w:t>museet och andra statliga museer samt donationsfasti</w:t>
      </w:r>
      <w:r w:rsidRPr="0049492A">
        <w:t>g</w:t>
      </w:r>
      <w:r w:rsidRPr="0049492A">
        <w:t xml:space="preserve">heter. </w:t>
      </w:r>
    </w:p>
    <w:p w:rsidR="008D3479" w:rsidRPr="0049492A" w:rsidRDefault="008D3479">
      <w:pPr>
        <w:pStyle w:val="Rubrik3-Utannumrering"/>
      </w:pPr>
      <w:bookmarkStart w:id="509" w:name="_Toc514560707"/>
      <w:bookmarkStart w:id="510" w:name="_Toc515247954"/>
      <w:bookmarkStart w:id="511" w:name="_Toc515780792"/>
      <w:bookmarkStart w:id="512" w:name="_Toc515855853"/>
      <w:bookmarkStart w:id="513" w:name="_Toc515855955"/>
      <w:bookmarkStart w:id="514" w:name="_Toc516536415"/>
      <w:bookmarkStart w:id="515" w:name="_Toc516544567"/>
      <w:bookmarkStart w:id="516" w:name="_Toc516545302"/>
      <w:bookmarkStart w:id="517" w:name="_Toc516545435"/>
      <w:bookmarkStart w:id="518" w:name="_Toc523215842"/>
      <w:bookmarkStart w:id="519" w:name="_Toc524062411"/>
      <w:bookmarkStart w:id="520" w:name="_Toc524081040"/>
      <w:bookmarkStart w:id="521" w:name="_Toc524166763"/>
      <w:bookmarkStart w:id="522" w:name="_Toc524168640"/>
      <w:bookmarkStart w:id="523" w:name="_Toc524856365"/>
      <w:bookmarkStart w:id="524" w:name="_Toc524926718"/>
      <w:bookmarkStart w:id="525" w:name="_Toc526147809"/>
      <w:bookmarkStart w:id="526" w:name="_Toc526234287"/>
      <w:r w:rsidRPr="0049492A">
        <w:t>Mål för verksamhet och ekonomi</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49492A">
        <w:t xml:space="preserve"> </w:t>
      </w:r>
    </w:p>
    <w:p w:rsidR="008D3479" w:rsidRPr="0049492A" w:rsidRDefault="008D3479">
      <w:r w:rsidRPr="0049492A">
        <w:t xml:space="preserve">Målen för verksamheten specificeras i årliga regleringsbrev från regeringen. I regleringsbrevet anges att förvaltningen ska vara kostnadseffektiv, vilket preciseras som att tillgångarnas värde bibehålls och om möjligt ökas samt att god resurshushållning och hög ekonomisk effektivitet eftersträvas. Kultur- och naturmiljövärden i verkets fastighetsbestånd ska tillvaratas och bevaras. </w:t>
      </w:r>
    </w:p>
    <w:p w:rsidR="008D3479" w:rsidRPr="0049492A" w:rsidRDefault="008D3479">
      <w:pPr>
        <w:pStyle w:val="Normaltindrag"/>
      </w:pPr>
      <w:r w:rsidRPr="0049492A">
        <w:t>Förvaltningen ska tillhandahålla ändamålsenliga lokaler för brukarna. Se</w:t>
      </w:r>
      <w:r w:rsidRPr="0049492A">
        <w:t>r</w:t>
      </w:r>
      <w:r w:rsidRPr="0049492A">
        <w:t>vice och avkastning ska vara jämförbara med andra fastighetsförvaltare på marknaden. I regleringsbrevet för år 2001 har gjorts ett tillägg, enligt riksd</w:t>
      </w:r>
      <w:r w:rsidRPr="0049492A">
        <w:t>a</w:t>
      </w:r>
      <w:r w:rsidRPr="0049492A">
        <w:t>gens uttalande</w:t>
      </w:r>
      <w:r w:rsidRPr="0049492A">
        <w:rPr>
          <w:rStyle w:val="Fotnotsreferens"/>
        </w:rPr>
        <w:footnoteReference w:id="40"/>
      </w:r>
      <w:r w:rsidRPr="0049492A">
        <w:t>, om att förvaltningen av ändamålsfastigheterna ska stödja den myndighet som brukar ändamålslokalerna i sin verksamhet. Det fastslås också att Statens fastighetsverk ska  hålla en öppen dialog med sina hyre</w:t>
      </w:r>
      <w:r w:rsidRPr="0049492A">
        <w:t>s</w:t>
      </w:r>
      <w:r w:rsidRPr="0049492A">
        <w:t xml:space="preserve">gäster i lokalfrågor. </w:t>
      </w:r>
    </w:p>
    <w:p w:rsidR="008D3479" w:rsidRPr="0049492A" w:rsidRDefault="008D3479">
      <w:pPr>
        <w:pStyle w:val="Normaltindrag"/>
      </w:pPr>
      <w:r w:rsidRPr="0049492A">
        <w:t>I regleringsbrevet fastställs att verksamheten ska generera en avkastning motsvarande 2,8 procent av genomsnittligt myndighetskapital. Soliditeten ska vara på 50 procent, dvs. det totala myndighetskapitalet ska vara 50 pr</w:t>
      </w:r>
      <w:r w:rsidRPr="0049492A">
        <w:t>o</w:t>
      </w:r>
      <w:r w:rsidRPr="0049492A">
        <w:t>cent av verkets totala omslutning. Eventuellt överskott, under förutsättning att soliditetsmålet är uppfyllt, ska levereras till statsverket. Verksamheten finansieras med intäkter från fastighetsförvaltningen. I regleringsbrevet a</w:t>
      </w:r>
      <w:r w:rsidRPr="0049492A">
        <w:t>n</w:t>
      </w:r>
      <w:r w:rsidRPr="0049492A">
        <w:t>ges att Fastighetsverket bestämmer hyressättning och andra avgifters sto</w:t>
      </w:r>
      <w:r w:rsidRPr="0049492A">
        <w:t>r</w:t>
      </w:r>
      <w:r w:rsidRPr="0049492A">
        <w:t>lek.</w:t>
      </w:r>
    </w:p>
    <w:p w:rsidR="008D3479" w:rsidRPr="0049492A" w:rsidRDefault="008D3479">
      <w:pPr>
        <w:pStyle w:val="Rubrik4-Utannumrering"/>
      </w:pPr>
      <w:bookmarkStart w:id="527" w:name="_Toc524062412"/>
      <w:bookmarkStart w:id="528" w:name="_Toc524081041"/>
      <w:r w:rsidRPr="0049492A">
        <w:t>Inga direktiv om hyror</w:t>
      </w:r>
      <w:bookmarkEnd w:id="527"/>
      <w:bookmarkEnd w:id="528"/>
    </w:p>
    <w:p w:rsidR="008D3479" w:rsidRPr="0049492A" w:rsidRDefault="008D3479">
      <w:r w:rsidRPr="0049492A">
        <w:t>Styrdokumenten från statsmakterna ger inga anvisningar</w:t>
      </w:r>
      <w:r w:rsidRPr="0049492A">
        <w:rPr>
          <w:i/>
        </w:rPr>
        <w:t xml:space="preserve"> </w:t>
      </w:r>
      <w:r w:rsidRPr="0049492A">
        <w:t>om vilken hyre</w:t>
      </w:r>
      <w:r w:rsidRPr="0049492A">
        <w:t>s</w:t>
      </w:r>
      <w:r w:rsidRPr="0049492A">
        <w:t>modell som ska användas. De säger heller inget om att parterna ska förhandla om hyreskontraktets utformning eller att självkostnad bör vara utgångspunkt för hyressättningen när hyresgästen har begränsade alternativ. Begreppet kundnytta nämns inte, inte heller krav på gemensamt upprättade förval</w:t>
      </w:r>
      <w:r w:rsidRPr="0049492A">
        <w:t>t</w:t>
      </w:r>
      <w:r w:rsidRPr="0049492A">
        <w:t xml:space="preserve">ningsplaner och inte vilka krav som kan ställas på en ”öppen dialog”. </w:t>
      </w:r>
    </w:p>
    <w:p w:rsidR="008D3479" w:rsidRPr="0049492A" w:rsidRDefault="008D3479">
      <w:pPr>
        <w:pStyle w:val="Rubrik3-Utannumrering"/>
      </w:pPr>
      <w:bookmarkStart w:id="529" w:name="_Toc514560708"/>
      <w:bookmarkStart w:id="530" w:name="_Toc515247955"/>
      <w:bookmarkStart w:id="531" w:name="_Toc515780793"/>
      <w:bookmarkStart w:id="532" w:name="_Toc515855854"/>
      <w:bookmarkStart w:id="533" w:name="_Toc515855956"/>
      <w:bookmarkStart w:id="534" w:name="_Toc516536416"/>
      <w:bookmarkStart w:id="535" w:name="_Toc516544568"/>
      <w:bookmarkStart w:id="536" w:name="_Toc516545303"/>
      <w:bookmarkStart w:id="537" w:name="_Toc516545436"/>
      <w:bookmarkStart w:id="538" w:name="_Toc523215843"/>
      <w:bookmarkStart w:id="539" w:name="_Toc524062413"/>
      <w:bookmarkStart w:id="540" w:name="_Toc524081042"/>
      <w:bookmarkStart w:id="541" w:name="_Toc524166764"/>
      <w:bookmarkStart w:id="542" w:name="_Toc524168641"/>
      <w:bookmarkStart w:id="543" w:name="_Toc524856366"/>
      <w:bookmarkStart w:id="544" w:name="_Toc524926719"/>
      <w:bookmarkStart w:id="545" w:name="_Toc526147810"/>
      <w:bookmarkStart w:id="546" w:name="_Toc526234288"/>
      <w:r w:rsidRPr="0049492A">
        <w:t>Tillämpning av principer</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49492A">
        <w:t xml:space="preserve"> </w:t>
      </w:r>
    </w:p>
    <w:p w:rsidR="008D3479" w:rsidRPr="0049492A" w:rsidRDefault="008D3479">
      <w:pPr>
        <w:pStyle w:val="Rubrik4-Utannumrering"/>
      </w:pPr>
      <w:bookmarkStart w:id="547" w:name="_Toc524062414"/>
      <w:bookmarkStart w:id="548" w:name="_Toc524081043"/>
      <w:r w:rsidRPr="0049492A">
        <w:t>Marknads- och marknadsliknande hyra</w:t>
      </w:r>
      <w:bookmarkEnd w:id="547"/>
      <w:bookmarkEnd w:id="548"/>
    </w:p>
    <w:p w:rsidR="008D3479" w:rsidRPr="0049492A" w:rsidRDefault="008D3479">
      <w:r w:rsidRPr="0049492A">
        <w:t>Verksinstruktion och regleringsbrev lämnar relativt stort utrymme för Fa</w:t>
      </w:r>
      <w:r w:rsidRPr="0049492A">
        <w:t>s</w:t>
      </w:r>
      <w:r w:rsidRPr="0049492A">
        <w:t xml:space="preserve">tighetsverket att själv utforma verksamheten. </w:t>
      </w:r>
    </w:p>
    <w:p w:rsidR="008D3479" w:rsidRPr="0049492A" w:rsidRDefault="008D3479">
      <w:pPr>
        <w:pStyle w:val="Normaltindrag"/>
      </w:pPr>
      <w:r w:rsidRPr="0049492A">
        <w:t xml:space="preserve">Fastighetsverket har tagit fasta på förordningen om förvaltning av statliga fastigheter, där det anges att upplåtelse ska ske på marknadsmässiga villkor. Marknadsmässiga villkor kan sägas gälla både för </w:t>
      </w:r>
      <w:r w:rsidRPr="0049492A">
        <w:rPr>
          <w:i/>
        </w:rPr>
        <w:t>marknadshyror</w:t>
      </w:r>
      <w:r w:rsidRPr="0049492A">
        <w:t xml:space="preserve"> och s.k. </w:t>
      </w:r>
      <w:r w:rsidRPr="0049492A">
        <w:rPr>
          <w:i/>
        </w:rPr>
        <w:t>marknadsliknande hyror</w:t>
      </w:r>
      <w:r w:rsidRPr="0049492A">
        <w:t>. En förutsättning för marknadshyra är att det råder en konkurrenssituation. I Fastighetsverkets bestånd finns ett stort antal fa</w:t>
      </w:r>
      <w:r w:rsidRPr="0049492A">
        <w:t>s</w:t>
      </w:r>
      <w:r w:rsidRPr="0049492A">
        <w:t>tigheter som inte har någon marknad, beroende på fastighetens speciella karaktär. För dessa fastigheter använder sig Fastighetsverket av något som kallas marknadsliknande hyra. Den beräknas genom att lokalerna delas upp efter lokaltyp, t.ex. kontor, lager och utställningslokaler, som var för sig kan återfinnas på den öppna marknaden. G</w:t>
      </w:r>
      <w:r w:rsidRPr="0049492A">
        <w:t xml:space="preserve">enom dessa delmarknader för de olika lokaltyperna identifierar Fastighetsverket olika delhyror, som sedan vägs samman för hela lokalen. </w:t>
      </w:r>
    </w:p>
    <w:p w:rsidR="008D3479" w:rsidRPr="0049492A" w:rsidRDefault="008D3479">
      <w:pPr>
        <w:pStyle w:val="Normaltindrag"/>
      </w:pPr>
      <w:r w:rsidRPr="0049492A">
        <w:t>Hyreskontrakten löper vanligen mellan tre och fem år. Eftersom hyran är fastställd genom jämförelser med hyror per kvadratmeter för motsvarande lokaltyper i motsvarande läge anser Fastighetsverket att hyresförhandlingar också ska ske med denna metod. Hyresgästen har möjlighet att ta in jämf</w:t>
      </w:r>
      <w:r w:rsidRPr="0049492A">
        <w:t>ö</w:t>
      </w:r>
      <w:r w:rsidRPr="0049492A">
        <w:t xml:space="preserve">rande uppgifter om kvadratmeterhyror för motsvarande fastigheter eller delar av fastigheter. </w:t>
      </w:r>
    </w:p>
    <w:p w:rsidR="008D3479" w:rsidRPr="0049492A" w:rsidRDefault="008D3479">
      <w:pPr>
        <w:pStyle w:val="Rubrik4-Utannumrering"/>
      </w:pPr>
      <w:bookmarkStart w:id="549" w:name="_Toc524062415"/>
      <w:bookmarkStart w:id="550" w:name="_Toc524081044"/>
      <w:r w:rsidRPr="0049492A">
        <w:t>Kostnadshyra</w:t>
      </w:r>
      <w:bookmarkEnd w:id="549"/>
      <w:bookmarkEnd w:id="550"/>
    </w:p>
    <w:p w:rsidR="008D3479" w:rsidRPr="0049492A" w:rsidRDefault="008D3479">
      <w:r w:rsidRPr="0049492A">
        <w:t xml:space="preserve">Marknadshyror tillämpas dock inte för alla fastigheter. </w:t>
      </w:r>
      <w:r w:rsidRPr="0049492A">
        <w:rPr>
          <w:i/>
        </w:rPr>
        <w:t>Kostnadsbaserad balanshyra</w:t>
      </w:r>
      <w:r w:rsidRPr="0049492A">
        <w:rPr>
          <w:rStyle w:val="Fotnotsreferens"/>
          <w:i/>
        </w:rPr>
        <w:footnoteReference w:id="41"/>
      </w:r>
      <w:r w:rsidRPr="0049492A">
        <w:t xml:space="preserve"> används för nybyggnationer, t.ex. för nybyggda museer. Denna hyra består av beräknade kapitalkostnader för avskrivningar och ränta samt beräknade kostnader för drift, underhåll och administration under balansper</w:t>
      </w:r>
      <w:r w:rsidRPr="0049492A">
        <w:t>i</w:t>
      </w:r>
      <w:r w:rsidRPr="0049492A">
        <w:t>oden. Räntan ska täcka finansieringsränta, avkastningskrav och risker. Den årliga hyran är lika stor för varje år under balansperioden som vanligen är mellan 10 och 20 år. Självkostnadsbaserad hyra används för donationsfasti</w:t>
      </w:r>
      <w:r w:rsidRPr="0049492A">
        <w:t>g</w:t>
      </w:r>
      <w:r w:rsidRPr="0049492A">
        <w:t xml:space="preserve">heter som alltså kommit i statens ägo utan kostnad för staten. Denna hyra </w:t>
      </w:r>
      <w:r w:rsidRPr="0049492A">
        <w:t>består av de faktiska kostnaderna för drift, underhåll och administration under hyresperi</w:t>
      </w:r>
      <w:r w:rsidRPr="0049492A">
        <w:t>o</w:t>
      </w:r>
      <w:r w:rsidRPr="0049492A">
        <w:t xml:space="preserve">den. </w:t>
      </w:r>
    </w:p>
    <w:p w:rsidR="008D3479" w:rsidRPr="0049492A" w:rsidRDefault="008D3479">
      <w:pPr>
        <w:pStyle w:val="Normaltindrag"/>
      </w:pPr>
      <w:r w:rsidRPr="0049492A">
        <w:t>Att verket använder kostnadsbaserad balanshyra för nybyggnationer fö</w:t>
      </w:r>
      <w:r w:rsidRPr="0049492A">
        <w:t>r</w:t>
      </w:r>
      <w:r w:rsidRPr="0049492A">
        <w:t>klaras av att marknadshyror inte skulle täcka de stora kapitalkostnaderna som uppstår vid nybyggen. För donationsfastigheter anser verket att något annat än självkos</w:t>
      </w:r>
      <w:r w:rsidRPr="0049492A">
        <w:t>t</w:t>
      </w:r>
      <w:r w:rsidRPr="0049492A">
        <w:t xml:space="preserve">nadshyra vore orimligt. </w:t>
      </w:r>
    </w:p>
    <w:p w:rsidR="008D3479" w:rsidRPr="0049492A" w:rsidRDefault="008D3479">
      <w:pPr>
        <w:pStyle w:val="Normaltindrag"/>
      </w:pPr>
      <w:r w:rsidRPr="0049492A">
        <w:t>Enligt Fastighetsverket består verkets fastighetsbestånd till stor del av ä</w:t>
      </w:r>
      <w:r w:rsidRPr="0049492A">
        <w:t>n</w:t>
      </w:r>
      <w:r w:rsidRPr="0049492A">
        <w:t>damålsfastigheter. Fastighetsverket gör dock ingen åtskillnad i hyressättning beroende på hur fastigheten klassificeras. Enligt verket kan inte fastighetens klassificering vara grundval för hyressättningsmodell, eftersom begreppet ändamålsfastighet är så svårt att definiera. I motiveringen till att marknad</w:t>
      </w:r>
      <w:r w:rsidRPr="0049492A">
        <w:t>s</w:t>
      </w:r>
      <w:r w:rsidRPr="0049492A">
        <w:t>liknande hyra tillämpas hänvisar verket till att hyran syftar till att ge en riktig bild av vad verksamheten kostar. Marknadshyra är också mycket lättare att hantera administrativt, hävdar Fastighetsve</w:t>
      </w:r>
      <w:r w:rsidRPr="0049492A">
        <w:t>r</w:t>
      </w:r>
      <w:r w:rsidRPr="0049492A">
        <w:t>k</w:t>
      </w:r>
      <w:r w:rsidRPr="0049492A">
        <w:t xml:space="preserve">et. </w:t>
      </w:r>
    </w:p>
    <w:p w:rsidR="008D3479" w:rsidRPr="0049492A" w:rsidRDefault="008D3479">
      <w:pPr>
        <w:pStyle w:val="Rubrik4-Utannumrering"/>
      </w:pPr>
      <w:bookmarkStart w:id="551" w:name="_Toc514560710"/>
      <w:bookmarkStart w:id="552" w:name="_Toc524062416"/>
      <w:bookmarkStart w:id="553" w:name="_Toc524081045"/>
      <w:r w:rsidRPr="0049492A">
        <w:t>Öppe</w:t>
      </w:r>
      <w:bookmarkEnd w:id="551"/>
      <w:r w:rsidRPr="0049492A">
        <w:t>n dialog</w:t>
      </w:r>
      <w:bookmarkEnd w:id="552"/>
      <w:bookmarkEnd w:id="553"/>
    </w:p>
    <w:p w:rsidR="008D3479" w:rsidRPr="0049492A" w:rsidRDefault="008D3479">
      <w:r w:rsidRPr="0049492A">
        <w:t>Fastighetsverket redovisar inte sina förvaltnings- och kapitalkostnader för hyresgästen men menar ändå att hyressättningen sker tillräckligt öppet. Med marknads- eller marknadsliknande hyra är förvaltarens kostnader för drift, underhåll, investeringar, m.m. inte relevanta att redovisa för hyresgästen eftersom dessa kostnader inte utgör underlag för hyran. Att redovisa kostn</w:t>
      </w:r>
      <w:r w:rsidRPr="0049492A">
        <w:t>a</w:t>
      </w:r>
      <w:r w:rsidRPr="0049492A">
        <w:t>derna för hyresgästen och samtidigt hävda en marknads- eller marknadsli</w:t>
      </w:r>
      <w:r w:rsidRPr="0049492A">
        <w:t>k</w:t>
      </w:r>
      <w:r w:rsidRPr="0049492A">
        <w:t>nande hyra skulle vara svårt i en förhandlingssituation, menar verket. Dä</w:t>
      </w:r>
      <w:r w:rsidRPr="0049492A">
        <w:t>r</w:t>
      </w:r>
      <w:r w:rsidRPr="0049492A">
        <w:t>emot ska hyresgästen ha insyn i de marknadshyror som hyresvärden anvä</w:t>
      </w:r>
      <w:r w:rsidRPr="0049492A">
        <w:t>n</w:t>
      </w:r>
      <w:r w:rsidRPr="0049492A">
        <w:t>der sig av för att beräkna hyror för hela eller delar av lokalerna. Vid fö</w:t>
      </w:r>
      <w:r w:rsidRPr="0049492A">
        <w:t>r</w:t>
      </w:r>
      <w:r w:rsidRPr="0049492A">
        <w:t xml:space="preserve">handlingar om balanserad kostnadshyra redovisas beräknade kostnader för drift, underhåll och räntor under avtalsperioden. </w:t>
      </w:r>
    </w:p>
    <w:p w:rsidR="008D3479" w:rsidRPr="0049492A" w:rsidRDefault="008D3479">
      <w:pPr>
        <w:pStyle w:val="Rubrik4-Utannumrering"/>
      </w:pPr>
      <w:bookmarkStart w:id="554" w:name="_Toc514560711"/>
      <w:bookmarkStart w:id="555" w:name="_Toc524062417"/>
      <w:bookmarkStart w:id="556" w:name="_Toc524081046"/>
      <w:r w:rsidRPr="0049492A">
        <w:t>Fastighetsförvaltning</w:t>
      </w:r>
      <w:bookmarkEnd w:id="554"/>
      <w:bookmarkEnd w:id="555"/>
      <w:bookmarkEnd w:id="556"/>
    </w:p>
    <w:p w:rsidR="008D3479" w:rsidRPr="0049492A" w:rsidRDefault="008D3479">
      <w:r w:rsidRPr="0049492A">
        <w:t>Fastighetsverket ansvarar för drift och underhåll av fastigheterna.</w:t>
      </w:r>
      <w:r w:rsidRPr="0049492A">
        <w:rPr>
          <w:rStyle w:val="Fotnotsreferens"/>
        </w:rPr>
        <w:footnoteReference w:id="42"/>
      </w:r>
      <w:r w:rsidRPr="0049492A">
        <w:t xml:space="preserve"> Den dagliga driften sköts till största delen av Fastighetsverkets anställda som är specialutbildade för att vårda kulturfastigheter. I de fastighetsdistrikt där verket har få fastigheter köper Fastighetsverket driften på entreprenad. Dri</w:t>
      </w:r>
      <w:r w:rsidRPr="0049492A">
        <w:t>f</w:t>
      </w:r>
      <w:r w:rsidRPr="0049492A">
        <w:t>ten är i stor utsträckning utlagd på entreprenad utanför Stockholmsregionen. Av Fastighetsverkets totala lokalyta bedrivs driften i egen regi på ca 58 pr</w:t>
      </w:r>
      <w:r w:rsidRPr="0049492A">
        <w:t>o</w:t>
      </w:r>
      <w:r w:rsidRPr="0049492A">
        <w:t>cent. Ungefär en fjärdedel av kostnaderna för driften av kontor, museer, teatrar, m.m. inom Stockholmsregionen är utlag</w:t>
      </w:r>
      <w:r w:rsidRPr="0049492A">
        <w:t>d på entre</w:t>
      </w:r>
      <w:r w:rsidRPr="0049492A">
        <w:t>p</w:t>
      </w:r>
      <w:r w:rsidRPr="0049492A">
        <w:t xml:space="preserve">renad. </w:t>
      </w:r>
    </w:p>
    <w:p w:rsidR="008D3479" w:rsidRPr="0049492A" w:rsidRDefault="008D3479">
      <w:pPr>
        <w:pStyle w:val="Normaltindrag"/>
      </w:pPr>
      <w:r w:rsidRPr="0049492A">
        <w:t>Alla underhållsåtgärder köps upp på entreprenad. Underhåll av fastigheter baseras på treåriga underhållsplaner. Enligt Fastighetsverket har hyresgäste</w:t>
      </w:r>
      <w:r w:rsidRPr="0049492A">
        <w:t>r</w:t>
      </w:r>
      <w:r w:rsidRPr="0049492A">
        <w:t>na ett betydande inflytande över vilka åtgärder som bör prioriteras. Att överlämna ansvaret för drift och underhåll åt hyresgästerna anses dock som olämpligt  med tanke på tidigare erfarenheter av eftersatt u</w:t>
      </w:r>
      <w:r w:rsidRPr="0049492A">
        <w:t>n</w:t>
      </w:r>
      <w:r w:rsidRPr="0049492A">
        <w:t xml:space="preserve">derhåll. </w:t>
      </w:r>
    </w:p>
    <w:p w:rsidR="008D3479" w:rsidRPr="0049492A" w:rsidRDefault="008D3479">
      <w:pPr>
        <w:pStyle w:val="Normaltindrag"/>
      </w:pPr>
      <w:r w:rsidRPr="0049492A">
        <w:t>Fastighetsverket följer upp kostnadsutvecklingen för drift och underhåll, bl.a. genom  kostnadsjämförelser mellan entreprenörer och eget arbete. Fa</w:t>
      </w:r>
      <w:r w:rsidRPr="0049492A">
        <w:t>s</w:t>
      </w:r>
      <w:r w:rsidRPr="0049492A">
        <w:t>tighetsverkets underhållskostnader är höga, vilket verket förklarar med att ett omfattande renoveringsarbete har varit nödvändigt för att kompensera för eftersatt underhåll i tidigare förvaltning. I en jämförelse som Fastighetsverket själv gjort av sina driftskostnader för kontorslokaler med extern statistik (REPAB) framkommer att verket generellt sett har lägre driftskostnader än normalvärden för kontor, oavsett om fastighetsdriften sköts i egen regi eller på entreprenad. För museer och teatrar saknas ext</w:t>
      </w:r>
      <w:r w:rsidRPr="0049492A">
        <w:t>ern statistik att jämföra driftskostn</w:t>
      </w:r>
      <w:r w:rsidRPr="0049492A">
        <w:t>a</w:t>
      </w:r>
      <w:r w:rsidRPr="0049492A">
        <w:t xml:space="preserve">derna med. </w:t>
      </w:r>
      <w:r w:rsidRPr="0049492A">
        <w:rPr>
          <w:rStyle w:val="Fotnotsreferens"/>
        </w:rPr>
        <w:footnoteReference w:id="43"/>
      </w:r>
      <w:r w:rsidRPr="0049492A">
        <w:t xml:space="preserve">  </w:t>
      </w:r>
    </w:p>
    <w:p w:rsidR="008D3479" w:rsidRPr="0049492A" w:rsidRDefault="008D3479">
      <w:pPr>
        <w:pStyle w:val="Rubrik4-Utannumrering"/>
      </w:pPr>
      <w:bookmarkStart w:id="557" w:name="_Toc514560712"/>
      <w:bookmarkStart w:id="558" w:name="_Toc524062418"/>
      <w:bookmarkStart w:id="559" w:name="_Toc524081047"/>
      <w:r w:rsidRPr="0049492A">
        <w:t>Avkastningskrav och fastighetsvärdering</w:t>
      </w:r>
      <w:bookmarkEnd w:id="557"/>
      <w:bookmarkEnd w:id="558"/>
      <w:bookmarkEnd w:id="559"/>
    </w:p>
    <w:p w:rsidR="008D3479" w:rsidRPr="0049492A" w:rsidRDefault="008D3479">
      <w:r w:rsidRPr="0049492A">
        <w:t>Fastighetsbeståndet värderades på regeringens uppdrag vid ombildningen av Byggnadsstyrelsen år 1993. Ett oberoende marknadsinstitut gjorde en mar</w:t>
      </w:r>
      <w:r w:rsidRPr="0049492A">
        <w:t>k</w:t>
      </w:r>
      <w:r w:rsidRPr="0049492A">
        <w:t>nadsvärdering av fastigheterna.</w:t>
      </w:r>
      <w:r w:rsidRPr="0049492A">
        <w:rPr>
          <w:rStyle w:val="Fotnotsreferens"/>
        </w:rPr>
        <w:footnoteReference w:id="44"/>
      </w:r>
      <w:r w:rsidRPr="0049492A">
        <w:t xml:space="preserve"> I Fastighetsverkets fall innebar denna vä</w:t>
      </w:r>
      <w:r w:rsidRPr="0049492A">
        <w:t>r</w:t>
      </w:r>
      <w:r w:rsidRPr="0049492A">
        <w:t>dering att de av Byggnadsstyrelsen bokförda värdena ungefär fördubblades. Nya lokaler tas upp till anskaffningsvärdet. Avskrivningarna</w:t>
      </w:r>
      <w:r w:rsidRPr="0049492A">
        <w:rPr>
          <w:rStyle w:val="Fotnotsreferens"/>
        </w:rPr>
        <w:footnoteReference w:id="45"/>
      </w:r>
      <w:r w:rsidRPr="0049492A">
        <w:t xml:space="preserve"> är raka över normalt 40 år. </w:t>
      </w:r>
    </w:p>
    <w:p w:rsidR="008D3479" w:rsidRPr="0049492A" w:rsidRDefault="008D3479">
      <w:pPr>
        <w:pStyle w:val="Normaltindrag"/>
      </w:pPr>
      <w:r w:rsidRPr="0049492A">
        <w:t>Fastighetsverket tog nya lån motsvarande Byggnadsstyrelsens lån på fa</w:t>
      </w:r>
      <w:r w:rsidRPr="0049492A">
        <w:t>s</w:t>
      </w:r>
      <w:r w:rsidRPr="0049492A">
        <w:t>tigheterna, vilket motsvarade det bokförda värdet innan uppvärderingen. Avkastningskravet var inledningsvis differentierat mot olika verksamhet</w:t>
      </w:r>
      <w:r w:rsidRPr="0049492A">
        <w:t>s</w:t>
      </w:r>
      <w:r w:rsidRPr="0049492A">
        <w:t>grenar inom Fastighetsverket. De differentierade  avkastningskraven slogs år 1997 samman till ett avkastningskrav för hela verksamheten som beräknades genom en sammanvägning av avkastningskraven för de olika fastighetsb</w:t>
      </w:r>
      <w:r w:rsidRPr="0049492A">
        <w:t>e</w:t>
      </w:r>
      <w:r w:rsidRPr="0049492A">
        <w:t>stånden, med hänsyn tagen till bidragsfastigheterna. Denna sammanvägning resulterade i ett avkastningskrav på 2,8 procent av myndighetsk</w:t>
      </w:r>
      <w:r w:rsidRPr="0049492A">
        <w:t>a</w:t>
      </w:r>
      <w:r w:rsidRPr="0049492A">
        <w:t>pitalet.</w:t>
      </w:r>
    </w:p>
    <w:p w:rsidR="008D3479" w:rsidRPr="0049492A" w:rsidRDefault="008D3479">
      <w:pPr>
        <w:pStyle w:val="Normaltindrag"/>
      </w:pPr>
      <w:bookmarkStart w:id="560" w:name="_Toc514560713"/>
      <w:bookmarkStart w:id="561" w:name="_Toc515247956"/>
      <w:bookmarkStart w:id="562" w:name="_Toc515780794"/>
      <w:r w:rsidRPr="0049492A">
        <w:t>F</w:t>
      </w:r>
      <w:r w:rsidRPr="0049492A">
        <w:t>astighetsverket levererar det totala överskottet till Finansdepartementet, under föru</w:t>
      </w:r>
      <w:r w:rsidRPr="0049492A">
        <w:t>t</w:t>
      </w:r>
      <w:r w:rsidRPr="0049492A">
        <w:t xml:space="preserve">sättning att soliditeten inte sjunker under 50 procent. </w:t>
      </w:r>
    </w:p>
    <w:p w:rsidR="008D3479" w:rsidRPr="0049492A" w:rsidRDefault="008D3479">
      <w:pPr>
        <w:pStyle w:val="Rubrik2-Utannumrering"/>
      </w:pPr>
      <w:bookmarkStart w:id="563" w:name="_Toc515855855"/>
      <w:bookmarkStart w:id="564" w:name="_Toc515855957"/>
      <w:bookmarkStart w:id="565" w:name="_Toc516536417"/>
      <w:bookmarkStart w:id="566" w:name="_Toc516544569"/>
      <w:bookmarkStart w:id="567" w:name="_Toc516545304"/>
      <w:bookmarkStart w:id="568" w:name="_Toc516545437"/>
      <w:bookmarkStart w:id="569" w:name="_Toc523215844"/>
      <w:bookmarkStart w:id="570" w:name="_Toc524062419"/>
      <w:bookmarkStart w:id="571" w:name="_Toc524081048"/>
      <w:bookmarkStart w:id="572" w:name="_Toc524166765"/>
      <w:bookmarkStart w:id="573" w:name="_Toc524168642"/>
      <w:bookmarkStart w:id="574" w:name="_Toc524856367"/>
      <w:bookmarkStart w:id="575" w:name="_Toc524926720"/>
      <w:bookmarkStart w:id="576" w:name="_Toc526147811"/>
      <w:bookmarkStart w:id="577" w:name="_Toc526234289"/>
      <w:bookmarkStart w:id="578" w:name="_Toc532725188"/>
      <w:r w:rsidRPr="0049492A">
        <w:t>Fortifikationsverket</w:t>
      </w:r>
      <w:bookmarkEnd w:id="560"/>
      <w:r w:rsidRPr="0049492A">
        <w:t xml:space="preserve"> </w:t>
      </w:r>
      <w:r w:rsidRPr="0049492A">
        <w:rPr>
          <w:rStyle w:val="Fotnotsreferens"/>
          <w:sz w:val="18"/>
        </w:rPr>
        <w:footnoteReference w:id="46"/>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8D3479" w:rsidRPr="0049492A" w:rsidRDefault="008D3479">
      <w:r w:rsidRPr="0049492A">
        <w:t>Fortifikationsverket (FORTV) inrättades 1994. De tidigare försvarsfastigh</w:t>
      </w:r>
      <w:r w:rsidRPr="0049492A">
        <w:t>e</w:t>
      </w:r>
      <w:r w:rsidRPr="0049492A">
        <w:t>terna hade då delats upp och hamnat i olika förvaltningsorganisationer ber</w:t>
      </w:r>
      <w:r w:rsidRPr="0049492A">
        <w:t>o</w:t>
      </w:r>
      <w:r w:rsidRPr="0049492A">
        <w:t>ende på hur försvarsspecifika de var. De fastigheter som klassificerades som ändamålsfastigheter fick Fortifikationsverket förvaltar- och ägaransvaret för. I ändamålsfastigheterna ingår mark, anläggningar (befästningar, flygbaser m.m.) och lokaler. Försvarsmakten är verkets största hyresgäst, men Försv</w:t>
      </w:r>
      <w:r w:rsidRPr="0049492A">
        <w:t>a</w:t>
      </w:r>
      <w:r w:rsidRPr="0049492A">
        <w:t>rets materielverk, Totalförsvarets forskningsinstitut, Kustbevakningen och Försvarets radioa</w:t>
      </w:r>
      <w:r w:rsidRPr="0049492A">
        <w:t>n</w:t>
      </w:r>
      <w:r w:rsidRPr="0049492A">
        <w:t>stalt hyr också av verket.</w:t>
      </w:r>
      <w:r w:rsidRPr="0049492A">
        <w:rPr>
          <w:rStyle w:val="Fotnotsreferens"/>
        </w:rPr>
        <w:footnoteReference w:id="47"/>
      </w:r>
    </w:p>
    <w:p w:rsidR="008D3479" w:rsidRPr="0049492A" w:rsidRDefault="008D3479">
      <w:pPr>
        <w:pStyle w:val="Rubrik3-Utannumrering"/>
      </w:pPr>
      <w:bookmarkStart w:id="579" w:name="_Toc514560714"/>
      <w:bookmarkStart w:id="580" w:name="_Toc515247957"/>
      <w:bookmarkStart w:id="581" w:name="_Toc515780795"/>
      <w:bookmarkStart w:id="582" w:name="_Toc515855856"/>
      <w:bookmarkStart w:id="583" w:name="_Toc515855958"/>
      <w:bookmarkStart w:id="584" w:name="_Toc516536418"/>
      <w:bookmarkStart w:id="585" w:name="_Toc516544570"/>
      <w:bookmarkStart w:id="586" w:name="_Toc516545305"/>
      <w:bookmarkStart w:id="587" w:name="_Toc516545438"/>
      <w:bookmarkStart w:id="588" w:name="_Toc523215845"/>
      <w:bookmarkStart w:id="589" w:name="_Toc524062420"/>
      <w:bookmarkStart w:id="590" w:name="_Toc524081049"/>
      <w:bookmarkStart w:id="591" w:name="_Toc524166766"/>
      <w:bookmarkStart w:id="592" w:name="_Toc524168643"/>
      <w:bookmarkStart w:id="593" w:name="_Toc524856368"/>
      <w:bookmarkStart w:id="594" w:name="_Toc524926721"/>
      <w:bookmarkStart w:id="595" w:name="_Toc526147812"/>
      <w:bookmarkStart w:id="596" w:name="_Toc526234290"/>
      <w:r w:rsidRPr="0049492A">
        <w:t>Mål för verksamhet och ekonomi</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8D3479" w:rsidRPr="0049492A" w:rsidRDefault="008D3479">
      <w:r w:rsidRPr="0049492A">
        <w:t>Fortifikationsverket ska enligt instruktionen från regeringen</w:t>
      </w:r>
      <w:r w:rsidRPr="0049492A">
        <w:rPr>
          <w:rStyle w:val="Fotnotsreferens"/>
        </w:rPr>
        <w:footnoteReference w:id="48"/>
      </w:r>
      <w:r w:rsidRPr="0049492A">
        <w:t xml:space="preserve"> förvalta änd</w:t>
      </w:r>
      <w:r w:rsidRPr="0049492A">
        <w:t>a</w:t>
      </w:r>
      <w:r w:rsidRPr="0049492A">
        <w:t xml:space="preserve">målsfastigheter på ett sätt som innebär god hushållning och hög ekonomisk effektivitet. Verket ska tillhandahålla ändamålsenliga mark-, anläggnings- och lokalresurser på konkurrenskraftiga villkor och långsiktigt ta till vara ändamålsfastigheternas värden. Instruktionen kompletteras på sedvanligt sätt i årliga regleringsbrev från regeringen. </w:t>
      </w:r>
    </w:p>
    <w:p w:rsidR="008D3479" w:rsidRPr="0049492A" w:rsidRDefault="008D3479">
      <w:pPr>
        <w:pStyle w:val="Normaltindrag"/>
      </w:pPr>
      <w:r w:rsidRPr="0049492A">
        <w:t>Verksamheten ska finansieras av avgifter som Fortifikationsverket b</w:t>
      </w:r>
      <w:r w:rsidRPr="0049492A">
        <w:t>e</w:t>
      </w:r>
      <w:r w:rsidRPr="0049492A">
        <w:t>stämmer storleken på, enligt regleringsbrevet. Verksamheten ska generera en avkastning motsvarande statslåneräntan plus en riskpremie på 2,5 procent av myndighetskapitalet. Medel motsvarande av- och nedskrivningar på invärd</w:t>
      </w:r>
      <w:r w:rsidRPr="0049492A">
        <w:t>e</w:t>
      </w:r>
      <w:r w:rsidRPr="0049492A">
        <w:t>rat fastighetsbestånd ska betalas till statsverket som amorteringar på statsk</w:t>
      </w:r>
      <w:r w:rsidRPr="0049492A">
        <w:t>a</w:t>
      </w:r>
      <w:r w:rsidRPr="0049492A">
        <w:t xml:space="preserve">pital. </w:t>
      </w:r>
    </w:p>
    <w:p w:rsidR="008D3479" w:rsidRPr="0049492A" w:rsidRDefault="008D3479">
      <w:pPr>
        <w:pStyle w:val="Normaltindrag"/>
      </w:pPr>
      <w:r w:rsidRPr="0049492A">
        <w:t>I regleringsbrevet avseende år 2001 ges Fortifikationsverket i uppdrag att minska sina löpande kostnader för drift och underhåll med 5 procent. Verket ska också i samarbete med Försvarsmakten m.fl. hyr</w:t>
      </w:r>
      <w:r w:rsidRPr="0049492A">
        <w:t xml:space="preserve">esgäster upprätta en överenskommelse som klargör roll- och ansvarsfördelning i syfte att utveckla effektiva samverkansformer i lokalförsörjningsprocessen. </w:t>
      </w:r>
    </w:p>
    <w:p w:rsidR="008D3479" w:rsidRPr="0049492A" w:rsidRDefault="008D3479">
      <w:pPr>
        <w:pStyle w:val="Normaltindrag"/>
      </w:pPr>
      <w:r w:rsidRPr="0049492A">
        <w:t>Det finns inget krav på vilken soliditet verket ska ha. Inga direktiv kring hyreskontraktens utformning anges eller att förhandlingar kring dessa ska ske. Styrdokumenten säger heller inget om god insyn eller att en öppen di</w:t>
      </w:r>
      <w:r w:rsidRPr="0049492A">
        <w:t>a</w:t>
      </w:r>
      <w:r w:rsidRPr="0049492A">
        <w:t>log bör föras mellan parterna. I uppdragen för år 2001 anges att risk- och ansvarsfördelning ska tydliggöras i ett dokument men inget sägs om åte</w:t>
      </w:r>
      <w:r w:rsidRPr="0049492A">
        <w:t>r</w:t>
      </w:r>
      <w:r w:rsidRPr="0049492A">
        <w:t>kommande, gemensamt upprättade förvaltningsplaner. Begreppet kundnytta nämns inte i reglering</w:t>
      </w:r>
      <w:r w:rsidRPr="0049492A">
        <w:t>s</w:t>
      </w:r>
      <w:r w:rsidRPr="0049492A">
        <w:t xml:space="preserve">brevet eller instruktionen. </w:t>
      </w:r>
    </w:p>
    <w:p w:rsidR="008D3479" w:rsidRPr="0049492A" w:rsidRDefault="008D3479">
      <w:pPr>
        <w:pStyle w:val="Rubrik3-Utannumrering"/>
      </w:pPr>
      <w:bookmarkStart w:id="597" w:name="_Toc514560715"/>
      <w:bookmarkStart w:id="598" w:name="_Toc515247958"/>
      <w:bookmarkStart w:id="599" w:name="_Toc515780796"/>
      <w:bookmarkStart w:id="600" w:name="_Toc515855857"/>
      <w:bookmarkStart w:id="601" w:name="_Toc515855959"/>
      <w:bookmarkStart w:id="602" w:name="_Toc516536419"/>
      <w:bookmarkStart w:id="603" w:name="_Toc516544571"/>
      <w:bookmarkStart w:id="604" w:name="_Toc516545306"/>
      <w:bookmarkStart w:id="605" w:name="_Toc516545439"/>
      <w:bookmarkStart w:id="606" w:name="_Toc523215846"/>
      <w:bookmarkStart w:id="607" w:name="_Toc524062421"/>
      <w:bookmarkStart w:id="608" w:name="_Toc524081050"/>
      <w:bookmarkStart w:id="609" w:name="_Toc524166767"/>
      <w:bookmarkStart w:id="610" w:name="_Toc524168644"/>
      <w:bookmarkStart w:id="611" w:name="_Toc524856369"/>
      <w:bookmarkStart w:id="612" w:name="_Toc524926722"/>
      <w:bookmarkStart w:id="613" w:name="_Toc526147813"/>
      <w:bookmarkStart w:id="614" w:name="_Toc526234291"/>
      <w:r w:rsidRPr="0049492A">
        <w:t>Tillämpning av principer</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49492A">
        <w:t xml:space="preserve"> </w:t>
      </w:r>
    </w:p>
    <w:p w:rsidR="008D3479" w:rsidRPr="0049492A" w:rsidRDefault="008D3479">
      <w:pPr>
        <w:pStyle w:val="Rubrik4-Utannumrering"/>
      </w:pPr>
      <w:bookmarkStart w:id="615" w:name="_Toc514560716"/>
      <w:bookmarkStart w:id="616" w:name="_Toc524062422"/>
      <w:bookmarkStart w:id="617" w:name="_Toc524081051"/>
      <w:r w:rsidRPr="0049492A">
        <w:t>Hyressättning</w:t>
      </w:r>
      <w:bookmarkEnd w:id="615"/>
      <w:bookmarkEnd w:id="616"/>
      <w:bookmarkEnd w:id="617"/>
    </w:p>
    <w:p w:rsidR="008D3479" w:rsidRPr="0049492A" w:rsidRDefault="008D3479">
      <w:r w:rsidRPr="0049492A">
        <w:t xml:space="preserve">Fortifikationsverket tillämpar </w:t>
      </w:r>
      <w:r w:rsidRPr="0049492A">
        <w:rPr>
          <w:i/>
        </w:rPr>
        <w:t>kostnadsbaserad hyra</w:t>
      </w:r>
      <w:r w:rsidRPr="0049492A">
        <w:t>. Möjligheterna att hyra ut lokaler till externa hyresgäster begränsas eftersom de ligger på militärt område och sällan är avskiljningsbara. Enligt den nuvarande totalhyresm</w:t>
      </w:r>
      <w:r w:rsidRPr="0049492A">
        <w:t>o</w:t>
      </w:r>
      <w:r w:rsidRPr="0049492A">
        <w:t>dellen</w:t>
      </w:r>
      <w:r w:rsidRPr="0049492A">
        <w:rPr>
          <w:rStyle w:val="Fotnotsreferens"/>
        </w:rPr>
        <w:footnoteReference w:id="49"/>
      </w:r>
      <w:r w:rsidRPr="0049492A">
        <w:t xml:space="preserve"> beräknas en totalhyra för varje objekt. Det sker genom en summ</w:t>
      </w:r>
      <w:r w:rsidRPr="0049492A">
        <w:t>e</w:t>
      </w:r>
      <w:r w:rsidRPr="0049492A">
        <w:t>ring av fem delkomponenter, kapital, administration, underhåll, drift och en komponent för värme, kyla, vatten, avlopp och elektricitet. Dessa utgörs av schabloniserade värden som baserar sig på erfarenhetsvärden och budgeter</w:t>
      </w:r>
      <w:r w:rsidRPr="0049492A">
        <w:t>a</w:t>
      </w:r>
      <w:r w:rsidRPr="0049492A">
        <w:t xml:space="preserve">de värden. </w:t>
      </w:r>
    </w:p>
    <w:p w:rsidR="008D3479" w:rsidRPr="0049492A" w:rsidRDefault="008D3479">
      <w:pPr>
        <w:pStyle w:val="Rubrik4-Utannumrering"/>
      </w:pPr>
      <w:bookmarkStart w:id="618" w:name="_Toc524062423"/>
      <w:bookmarkStart w:id="619" w:name="_Toc524081052"/>
      <w:r w:rsidRPr="0049492A">
        <w:t>Hyrans beståndsdelar</w:t>
      </w:r>
      <w:bookmarkEnd w:id="618"/>
      <w:bookmarkEnd w:id="619"/>
    </w:p>
    <w:p w:rsidR="008D3479" w:rsidRPr="0049492A" w:rsidRDefault="008D3479">
      <w:r w:rsidRPr="0049492A">
        <w:rPr>
          <w:i/>
        </w:rPr>
        <w:t>Kapitaldelen</w:t>
      </w:r>
      <w:r w:rsidRPr="0049492A">
        <w:t xml:space="preserve"> i hyran omfattar budgeterade avskrivningar per hyresobjekt, statens avkastningskrav på det bokförda värdet samt Riksgäldskontorets utlåningsräntor. Hyresobjektens ålder och bokförda värden varierar kraftigt vilket medför stora spridningar på kapit</w:t>
      </w:r>
      <w:r w:rsidRPr="0049492A">
        <w:t>a</w:t>
      </w:r>
      <w:r w:rsidRPr="0049492A">
        <w:t xml:space="preserve">lersättningarna. </w:t>
      </w:r>
    </w:p>
    <w:p w:rsidR="008D3479" w:rsidRPr="0049492A" w:rsidRDefault="008D3479">
      <w:pPr>
        <w:pStyle w:val="Normaltindrag"/>
      </w:pPr>
      <w:r w:rsidRPr="0049492A">
        <w:t xml:space="preserve">Den </w:t>
      </w:r>
      <w:r w:rsidRPr="0049492A">
        <w:rPr>
          <w:i/>
        </w:rPr>
        <w:t>administrativa delen</w:t>
      </w:r>
      <w:r w:rsidRPr="0049492A">
        <w:t xml:space="preserve"> i hyran ska täcka vissa personalkostnader och andra administrativa kostnader. Den baseras på beräknade kostnader för administration och fördelas schablonmässigt ut på hyresobjekten.</w:t>
      </w:r>
    </w:p>
    <w:p w:rsidR="008D3479" w:rsidRPr="0049492A" w:rsidRDefault="008D3479">
      <w:pPr>
        <w:pStyle w:val="Normaltindrag"/>
      </w:pPr>
      <w:r w:rsidRPr="0049492A">
        <w:rPr>
          <w:i/>
        </w:rPr>
        <w:t>Underhållsdelen</w:t>
      </w:r>
      <w:r w:rsidRPr="0049492A">
        <w:t xml:space="preserve"> i hyran omfattar underhåll som syftar till att bevara byg</w:t>
      </w:r>
      <w:r w:rsidRPr="0049492A">
        <w:t>g</w:t>
      </w:r>
      <w:r w:rsidRPr="0049492A">
        <w:t>nadens värde och funktion. Hyran är schabloniserad och fördelas ut på o</w:t>
      </w:r>
      <w:r w:rsidRPr="0049492A">
        <w:t>b</w:t>
      </w:r>
      <w:r w:rsidRPr="0049492A">
        <w:t>jekten. Drift omfattar förebyggande och avhjälpande underhåll, kapitalkos</w:t>
      </w:r>
      <w:r w:rsidRPr="0049492A">
        <w:t>t</w:t>
      </w:r>
      <w:r w:rsidRPr="0049492A">
        <w:t>nader för driftens anläggningar/byggnader samt en overhead för täckning av del av administrationen. Den del av hyran som ska täcka driftskostnader  baserar sig på en offert från Fortifikationsverkets driftsenheter. Kostnaden beräknas genom erfarenhetsvärden från föregående år, arbetsmängdsberä</w:t>
      </w:r>
      <w:r w:rsidRPr="0049492A">
        <w:t>k</w:t>
      </w:r>
      <w:r w:rsidRPr="0049492A">
        <w:t>ningar och p</w:t>
      </w:r>
      <w:r w:rsidRPr="0049492A">
        <w:t xml:space="preserve">rognoser. Driftsdelen i hyran fördelas ut mellan objekten. </w:t>
      </w:r>
    </w:p>
    <w:p w:rsidR="008D3479" w:rsidRPr="0049492A" w:rsidRDefault="008D3479">
      <w:pPr>
        <w:pStyle w:val="Normaltindrag"/>
      </w:pPr>
      <w:r w:rsidRPr="0049492A">
        <w:t xml:space="preserve">Hyran omfattar också kostnader för </w:t>
      </w:r>
      <w:r w:rsidRPr="0049492A">
        <w:rPr>
          <w:i/>
        </w:rPr>
        <w:t>energi, vatten, m.m</w:t>
      </w:r>
      <w:r w:rsidRPr="0049492A">
        <w:t xml:space="preserve">., </w:t>
      </w:r>
      <w:r w:rsidRPr="0049492A">
        <w:rPr>
          <w:i/>
        </w:rPr>
        <w:t xml:space="preserve">investerings- och underhållskostnader </w:t>
      </w:r>
      <w:r w:rsidRPr="0049492A">
        <w:t>av tekniska försörjningssystem, samt overhead för täckning av del av administrationen. Den del av hyran som täcker detta b</w:t>
      </w:r>
      <w:r w:rsidRPr="0049492A">
        <w:t>e</w:t>
      </w:r>
      <w:r w:rsidRPr="0049492A">
        <w:t>räknas genom totalförbrukningar från föregående år och prognoser och fö</w:t>
      </w:r>
      <w:r w:rsidRPr="0049492A">
        <w:t>r</w:t>
      </w:r>
      <w:r w:rsidRPr="0049492A">
        <w:t xml:space="preserve">delas sedan mellan hyresobjekten. </w:t>
      </w:r>
    </w:p>
    <w:p w:rsidR="008D3479" w:rsidRPr="0049492A" w:rsidRDefault="008D3479">
      <w:pPr>
        <w:pStyle w:val="Rubrik4-Utannumrering"/>
      </w:pPr>
      <w:bookmarkStart w:id="620" w:name="_Toc524062424"/>
      <w:bookmarkStart w:id="621" w:name="_Toc524081053"/>
      <w:r w:rsidRPr="0049492A">
        <w:t>Kontraktstider</w:t>
      </w:r>
      <w:bookmarkEnd w:id="620"/>
      <w:bookmarkEnd w:id="621"/>
    </w:p>
    <w:p w:rsidR="008D3479" w:rsidRPr="0049492A" w:rsidRDefault="008D3479">
      <w:r w:rsidRPr="0049492A">
        <w:t>Upplåtelseavtal kallas överenskommelsen om att hyresgästen disponerar ett antal markområden, byggnader och anläggningar för en viss tid till en öve</w:t>
      </w:r>
      <w:r w:rsidRPr="0049492A">
        <w:t>r</w:t>
      </w:r>
      <w:r w:rsidRPr="0049492A">
        <w:t xml:space="preserve">enskommen hyresersättning. Ett upplåtelseavtal är ett samlat avtal för en samling objekt. Avtalen är för närvarande i princip </w:t>
      </w:r>
      <w:r w:rsidRPr="0049492A">
        <w:rPr>
          <w:i/>
        </w:rPr>
        <w:t>ettåriga</w:t>
      </w:r>
      <w:r w:rsidRPr="0049492A">
        <w:t>. Eftersom stora delar av beståndet finns kvar intakt över åren blir upplåtelserna indirekt tillsvidareavtal, där hyran regleras årligen. Genom att avtalen är årliga har hyresgästen ett relativt stort inflytande i förhandlingssituationen, menar Fortifik</w:t>
      </w:r>
      <w:r w:rsidRPr="0049492A">
        <w:t>a</w:t>
      </w:r>
      <w:r w:rsidRPr="0049492A">
        <w:t xml:space="preserve">tionsverket. </w:t>
      </w:r>
    </w:p>
    <w:p w:rsidR="008D3479" w:rsidRPr="0049492A" w:rsidRDefault="008D3479">
      <w:pPr>
        <w:pStyle w:val="Rubrik4-Utannumrering"/>
      </w:pPr>
      <w:bookmarkStart w:id="622" w:name="_Toc514560717"/>
      <w:bookmarkStart w:id="623" w:name="_Toc524062425"/>
      <w:bookmarkStart w:id="624" w:name="_Toc524081054"/>
      <w:r w:rsidRPr="0049492A">
        <w:t>Fastighetsförvaltning</w:t>
      </w:r>
      <w:bookmarkEnd w:id="622"/>
      <w:bookmarkEnd w:id="623"/>
      <w:bookmarkEnd w:id="624"/>
    </w:p>
    <w:p w:rsidR="008D3479" w:rsidRPr="0049492A" w:rsidRDefault="008D3479">
      <w:r w:rsidRPr="0049492A">
        <w:t>När Fortifikationsverket bildades 1994 hade Försvarsmakten egna resurser för drift och löpande underhåll av de fastigheter som Fortifikationsverket hyr ut. År 1996 bestämde dock regeringen att dessa resurser skulle överföras till Fortifikationsverket. En stor del av driften har därefter utförts med verkets egen personal. All projektering och alla entreprenader som avser investering eller underhåll upphandlas på marknaden. Omfattningen av entreprenaderna styrs i hög grad av hyresgästens behov och beställnin</w:t>
      </w:r>
      <w:r w:rsidRPr="0049492A">
        <w:t>g av ny- och tillbyg</w:t>
      </w:r>
      <w:r w:rsidRPr="0049492A">
        <w:t>g</w:t>
      </w:r>
      <w:r w:rsidRPr="0049492A">
        <w:t xml:space="preserve">nader. </w:t>
      </w:r>
    </w:p>
    <w:p w:rsidR="008D3479" w:rsidRPr="0049492A" w:rsidRDefault="008D3479">
      <w:pPr>
        <w:pStyle w:val="Normaltindrag"/>
      </w:pPr>
      <w:r w:rsidRPr="0049492A">
        <w:t>En underhållsplan för normalt ett till två år upprättas i samråd mellan pa</w:t>
      </w:r>
      <w:r w:rsidRPr="0049492A">
        <w:t>r</w:t>
      </w:r>
      <w:r w:rsidRPr="0049492A">
        <w:t>terna, e</w:t>
      </w:r>
      <w:r w:rsidRPr="0049492A">
        <w:t>n</w:t>
      </w:r>
      <w:r w:rsidRPr="0049492A">
        <w:t xml:space="preserve">ligt verket. </w:t>
      </w:r>
    </w:p>
    <w:p w:rsidR="008D3479" w:rsidRPr="0049492A" w:rsidRDefault="008D3479">
      <w:pPr>
        <w:pStyle w:val="Rubrik4-Utannumrering"/>
      </w:pPr>
      <w:bookmarkStart w:id="625" w:name="_Toc514560718"/>
      <w:bookmarkStart w:id="626" w:name="_Toc524062426"/>
      <w:bookmarkStart w:id="627" w:name="_Toc524081055"/>
      <w:r w:rsidRPr="0049492A">
        <w:t>Avkastningskrav och fastighetsvärdering</w:t>
      </w:r>
      <w:bookmarkEnd w:id="625"/>
      <w:bookmarkEnd w:id="626"/>
      <w:bookmarkEnd w:id="627"/>
    </w:p>
    <w:p w:rsidR="008D3479" w:rsidRPr="0049492A" w:rsidRDefault="008D3479">
      <w:r w:rsidRPr="0049492A">
        <w:t>Fortifikationsverkets fastigheter (lokaler och lånefinansierade anläggningar) är invärderade till historiskt anskaffningsvärde, kompletterat med investe</w:t>
      </w:r>
      <w:r w:rsidRPr="0049492A">
        <w:t>r</w:t>
      </w:r>
      <w:r w:rsidRPr="0049492A">
        <w:t>ingar minus avskrivningar. Marken invärderades till marknadspris vid bi</w:t>
      </w:r>
      <w:r w:rsidRPr="0049492A">
        <w:t>l</w:t>
      </w:r>
      <w:r w:rsidRPr="0049492A">
        <w:t>dandet av Fortifikationsverket och har inte justerats därefter. Nya lokaler och lånefinansierade anläggningar tas upp till anskaffningsvärdet. Avskrivnin</w:t>
      </w:r>
      <w:r w:rsidRPr="0049492A">
        <w:t>g</w:t>
      </w:r>
      <w:r w:rsidRPr="0049492A">
        <w:t xml:space="preserve">arna är raka över normalt en 30-årsperiod för lokaler och en 20-årsperiod för lånefinansierade anläggningar. </w:t>
      </w:r>
    </w:p>
    <w:p w:rsidR="008D3479" w:rsidRPr="0049492A" w:rsidRDefault="008D3479">
      <w:pPr>
        <w:pStyle w:val="Normaltindrag"/>
      </w:pPr>
      <w:r w:rsidRPr="0049492A">
        <w:t>Avkastningskravet på Fortifikationsverkets kapital är statens utlåning</w:t>
      </w:r>
      <w:r w:rsidRPr="0049492A">
        <w:t>s</w:t>
      </w:r>
      <w:r w:rsidRPr="0049492A">
        <w:t>ränta och en riskpremie på 2,5 procent, vilket sammanlagt motsvarar 7,7 procent år 2001. Det kapitalavkastningskrav som Fortifikationsverket tillä</w:t>
      </w:r>
      <w:r w:rsidRPr="0049492A">
        <w:t>m</w:t>
      </w:r>
      <w:r w:rsidRPr="0049492A">
        <w:t>par ska dessutom täcka Riksgäldskontorets utlåning</w:t>
      </w:r>
      <w:r w:rsidRPr="0049492A">
        <w:t>s</w:t>
      </w:r>
      <w:r w:rsidRPr="0049492A">
        <w:t xml:space="preserve">räntor. </w:t>
      </w:r>
    </w:p>
    <w:p w:rsidR="008D3479" w:rsidRPr="0049492A" w:rsidRDefault="008D3479">
      <w:pPr>
        <w:pStyle w:val="Normaltindrag"/>
      </w:pPr>
      <w:r w:rsidRPr="0049492A">
        <w:t>Det prognostiserade avkastningskravet och medel motsvarande av- och nedskrivningar på invärderat fastighetsbestånd ska inlevereras till statsverket. Verksamheten ska inte generera ett större överskott än att det täcker avkas</w:t>
      </w:r>
      <w:r w:rsidRPr="0049492A">
        <w:t>t</w:t>
      </w:r>
      <w:r w:rsidRPr="0049492A">
        <w:t>ningskrav och ger visst utrymme för oförutsedda utgifter. Verket får behålla balanserade överskott upp till en nivå motsvarande 10 procent av omsät</w:t>
      </w:r>
      <w:r w:rsidRPr="0049492A">
        <w:t>t</w:t>
      </w:r>
      <w:r w:rsidRPr="0049492A">
        <w:t>ningen, enligt kapitalförsörjningsförordningen</w:t>
      </w:r>
      <w:r w:rsidRPr="0049492A">
        <w:rPr>
          <w:rStyle w:val="Fotnotsreferens"/>
        </w:rPr>
        <w:footnoteReference w:id="50"/>
      </w:r>
      <w:r w:rsidRPr="0049492A">
        <w:t>. Uppgår överskottet till mer än 10 procent så ska verket redovisa för regeringen hur överskottet utnyttjas. Överskott från avyttring med anledning av försvarsbesluten 1996 och 2000 får enligt regeringsbeslut utnyttjas för avvecklingskostnader. Ett likviditet</w:t>
      </w:r>
      <w:r w:rsidRPr="0049492A">
        <w:t>s</w:t>
      </w:r>
      <w:r w:rsidRPr="0049492A">
        <w:t>överskott får inte användas till investeringar. Dessa ska finansieras med lån i Riksgäldskont</w:t>
      </w:r>
      <w:r w:rsidRPr="0049492A">
        <w:t>o</w:t>
      </w:r>
      <w:r w:rsidRPr="0049492A">
        <w:t xml:space="preserve">ret. </w:t>
      </w:r>
    </w:p>
    <w:p w:rsidR="008D3479" w:rsidRPr="0049492A" w:rsidRDefault="008D3479">
      <w:pPr>
        <w:pStyle w:val="Normaltindrag"/>
      </w:pPr>
      <w:r w:rsidRPr="0049492A">
        <w:t>Besparingskrav från regeringen har medfört att verket minskat sina kos</w:t>
      </w:r>
      <w:r w:rsidRPr="0049492A">
        <w:t>t</w:t>
      </w:r>
      <w:r w:rsidRPr="0049492A">
        <w:t>nader. Kraven som regeringen ställt på Fortifikationsverket har varit inrikt</w:t>
      </w:r>
      <w:r w:rsidRPr="0049492A">
        <w:t>a</w:t>
      </w:r>
      <w:r w:rsidRPr="0049492A">
        <w:t>de på kostnadssidan, inte på intäktssidan. Följaktligen har hyrorna inte sänkts trots lägre kostnader vilket resulterat i växande årliga överskott.</w:t>
      </w:r>
      <w:r w:rsidRPr="0049492A">
        <w:rPr>
          <w:rStyle w:val="Fotnotsreferens"/>
        </w:rPr>
        <w:footnoteReference w:id="51"/>
      </w:r>
      <w:r w:rsidRPr="0049492A">
        <w:t xml:space="preserve"> Fortifik</w:t>
      </w:r>
      <w:r w:rsidRPr="0049492A">
        <w:t>a</w:t>
      </w:r>
      <w:r w:rsidRPr="0049492A">
        <w:t>tionsverkets styrelse har dock fattat beslut om att hyran ska sänkas med 2 procent under 2001</w:t>
      </w:r>
      <w:r w:rsidRPr="0049492A">
        <w:rPr>
          <w:rStyle w:val="Fotnotsreferens"/>
        </w:rPr>
        <w:footnoteReference w:id="52"/>
      </w:r>
      <w:r w:rsidRPr="0049492A">
        <w:t>.</w:t>
      </w:r>
    </w:p>
    <w:p w:rsidR="008D3479" w:rsidRPr="0049492A" w:rsidRDefault="008D3479">
      <w:pPr>
        <w:pStyle w:val="Rubrik3-Utannumrering"/>
      </w:pPr>
      <w:bookmarkStart w:id="628" w:name="_Toc514560719"/>
      <w:bookmarkStart w:id="629" w:name="_Toc515247959"/>
      <w:bookmarkStart w:id="630" w:name="_Toc515780797"/>
      <w:bookmarkStart w:id="631" w:name="_Toc515855858"/>
      <w:bookmarkStart w:id="632" w:name="_Toc515855960"/>
      <w:bookmarkStart w:id="633" w:name="_Toc516536420"/>
      <w:bookmarkStart w:id="634" w:name="_Toc516544572"/>
      <w:bookmarkStart w:id="635" w:name="_Toc516545307"/>
      <w:bookmarkStart w:id="636" w:name="_Toc516545440"/>
      <w:bookmarkStart w:id="637" w:name="_Toc523215847"/>
      <w:bookmarkStart w:id="638" w:name="_Toc524062427"/>
      <w:bookmarkStart w:id="639" w:name="_Toc524081056"/>
      <w:bookmarkStart w:id="640" w:name="_Toc524166768"/>
      <w:bookmarkStart w:id="641" w:name="_Toc524168645"/>
      <w:bookmarkStart w:id="642" w:name="_Toc524856370"/>
      <w:bookmarkStart w:id="643" w:name="_Toc524926723"/>
      <w:bookmarkStart w:id="644" w:name="_Toc526147814"/>
      <w:bookmarkStart w:id="645" w:name="_Toc526234292"/>
      <w:r w:rsidRPr="0049492A">
        <w:t xml:space="preserve">Problem med </w:t>
      </w:r>
      <w:bookmarkEnd w:id="628"/>
      <w:r w:rsidRPr="0049492A">
        <w:t>hyresmodellen och förslag på en ny</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8D3479" w:rsidRPr="0049492A" w:rsidRDefault="008D3479">
      <w:r w:rsidRPr="0049492A">
        <w:t>Enligt Fortifikationsverket är den nuvarande totalhyresmodellen tung att administrera på grund av korta avtalstider och omfattande diskussioner kring systemet med schabloner. Hyran beaktar inte fastighetens nyttjandevärde utan är rent kostnadsbaserad, vilket skapar incitament för hyresgästerna att avveckla nyare lokaler med relativt höga kapitalkostnader i stället för äldre med lägre kapitalkostnader. Enligt Fortifikationsverket är detta olämpligt ur ett långsiktigt  persp</w:t>
      </w:r>
      <w:r w:rsidRPr="0049492A">
        <w:t>ektiv. Verket anser sig också i alltför hög grad stå för den finansiella risken vid avyt</w:t>
      </w:r>
      <w:r w:rsidRPr="0049492A">
        <w:t>t</w:t>
      </w:r>
      <w:r w:rsidRPr="0049492A">
        <w:t xml:space="preserve">ringar. </w:t>
      </w:r>
    </w:p>
    <w:p w:rsidR="008D3479" w:rsidRPr="0049492A" w:rsidRDefault="008D3479">
      <w:pPr>
        <w:pStyle w:val="Normaltindrag"/>
      </w:pPr>
      <w:r w:rsidRPr="0049492A">
        <w:t>Ett förslag på en ny hyresmodell utarbetas för närvarande inom Fortifik</w:t>
      </w:r>
      <w:r w:rsidRPr="0049492A">
        <w:t>a</w:t>
      </w:r>
      <w:r w:rsidRPr="0049492A">
        <w:t>tionsverket. Hyran ska enligt förslaget vara en kostnadsbaserad totalhyra men med något mer marknadsanpassade hyresförhållanden än i nuvarande hyresmodell.</w:t>
      </w:r>
      <w:r w:rsidRPr="0049492A">
        <w:rPr>
          <w:rStyle w:val="Fotnotsreferens"/>
        </w:rPr>
        <w:footnoteReference w:id="53"/>
      </w:r>
      <w:r w:rsidRPr="0049492A">
        <w:t xml:space="preserve"> </w:t>
      </w:r>
    </w:p>
    <w:p w:rsidR="008D3479" w:rsidRPr="0049492A" w:rsidRDefault="008D3479">
      <w:pPr>
        <w:pStyle w:val="Rubrik2-Utannumrering"/>
      </w:pPr>
      <w:bookmarkStart w:id="646" w:name="_Toc514560721"/>
      <w:bookmarkStart w:id="647" w:name="_Toc515247960"/>
      <w:bookmarkStart w:id="648" w:name="_Toc515780798"/>
      <w:bookmarkStart w:id="649" w:name="_Toc515855859"/>
      <w:bookmarkStart w:id="650" w:name="_Toc515855961"/>
      <w:bookmarkStart w:id="651" w:name="_Toc516536421"/>
      <w:bookmarkStart w:id="652" w:name="_Toc516544573"/>
      <w:bookmarkStart w:id="653" w:name="_Toc516545308"/>
      <w:bookmarkStart w:id="654" w:name="_Toc516545441"/>
      <w:bookmarkStart w:id="655" w:name="_Toc523215848"/>
      <w:bookmarkStart w:id="656" w:name="_Toc524062428"/>
      <w:bookmarkStart w:id="657" w:name="_Toc524081057"/>
      <w:bookmarkStart w:id="658" w:name="_Toc524166769"/>
      <w:bookmarkStart w:id="659" w:name="_Toc524168646"/>
      <w:bookmarkStart w:id="660" w:name="_Toc524856371"/>
      <w:bookmarkStart w:id="661" w:name="_Toc524926724"/>
      <w:bookmarkStart w:id="662" w:name="_Toc526147815"/>
      <w:bookmarkStart w:id="663" w:name="_Toc526234293"/>
      <w:bookmarkStart w:id="664" w:name="_Toc532725189"/>
      <w:r w:rsidRPr="0049492A">
        <w:t>Akademiska Hus</w:t>
      </w:r>
      <w:bookmarkEnd w:id="646"/>
      <w:r w:rsidRPr="0049492A">
        <w:t xml:space="preserve"> </w:t>
      </w:r>
      <w:r w:rsidRPr="0049492A">
        <w:rPr>
          <w:rStyle w:val="Fotnotsreferens"/>
          <w:sz w:val="18"/>
        </w:rPr>
        <w:footnoteReference w:id="54"/>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49492A">
        <w:t xml:space="preserve"> </w:t>
      </w:r>
    </w:p>
    <w:p w:rsidR="008D3479" w:rsidRPr="0049492A" w:rsidRDefault="008D3479">
      <w:r w:rsidRPr="0049492A">
        <w:t>Akademiska Hus AB är ett helstatligt företag som bildades 1992. Bolaget äger och förvaltar 75 -80 procent av de lokaler där universiteten bedriver verksamhet samt 40 procent av motsvarande lokaler för högskolorna. På vissa högskoleorter är Akademiska Hus den enda hyresvärden för hyresgä</w:t>
      </w:r>
      <w:r w:rsidRPr="0049492A">
        <w:t>s</w:t>
      </w:r>
      <w:r w:rsidRPr="0049492A">
        <w:t>terna. Koncernen består av moderbolaget och sju helägda dotterbolag som äger och förvaltar koncernens fastigheter. Dessa bolag är lokaliserade i orte</w:t>
      </w:r>
      <w:r w:rsidRPr="0049492A">
        <w:t>r</w:t>
      </w:r>
      <w:r w:rsidRPr="0049492A">
        <w:t>na för de största universiteten i Sverige. Ett åttonde helägt dotterbolag svarar för gemensam service och utvecklingsarbete inom koncernen.</w:t>
      </w:r>
    </w:p>
    <w:p w:rsidR="008D3479" w:rsidRPr="0049492A" w:rsidRDefault="008D3479">
      <w:pPr>
        <w:pStyle w:val="Normaltindrag"/>
      </w:pPr>
      <w:r w:rsidRPr="0049492A">
        <w:t>Akademiska Hus har en stark ställning på marknaden, vilket bl.a. bekräftas av kreditvärderingsbolaget Standard&amp;Poor’s bedömning. Akademiska Hus bedöms vara en dominerande marknadsaktör genom att staten finansierar och kon</w:t>
      </w:r>
      <w:r w:rsidRPr="0049492A">
        <w:t>trollerar majoriteten av svenska universitet och högskolor, samt genom att bolaget har en strategisk  koncentration på campusområden. Långa hyre</w:t>
      </w:r>
      <w:r w:rsidRPr="0049492A">
        <w:t>s</w:t>
      </w:r>
      <w:r w:rsidRPr="0049492A">
        <w:t>kontrakt och väl underhållna fastigheter bidrar också till att Akademiska Hus anses vara ett företag med låg verksamhetsrisk.</w:t>
      </w:r>
      <w:r w:rsidRPr="0049492A">
        <w:rPr>
          <w:rStyle w:val="Fotnotsreferens"/>
        </w:rPr>
        <w:footnoteReference w:id="55"/>
      </w:r>
      <w:r w:rsidRPr="0049492A">
        <w:t xml:space="preserve"> </w:t>
      </w:r>
    </w:p>
    <w:p w:rsidR="008D3479" w:rsidRPr="0049492A" w:rsidRDefault="008D3479">
      <w:pPr>
        <w:pStyle w:val="Rubrik3-Utannumrering"/>
      </w:pPr>
      <w:bookmarkStart w:id="666" w:name="_Toc514560722"/>
      <w:bookmarkStart w:id="667" w:name="_Toc515247961"/>
      <w:bookmarkStart w:id="668" w:name="_Toc515780799"/>
      <w:bookmarkStart w:id="669" w:name="_Toc515855860"/>
      <w:bookmarkStart w:id="670" w:name="_Toc515855962"/>
      <w:bookmarkStart w:id="671" w:name="_Toc516536422"/>
      <w:bookmarkStart w:id="672" w:name="_Toc516544574"/>
      <w:bookmarkStart w:id="673" w:name="_Toc516545309"/>
      <w:bookmarkStart w:id="674" w:name="_Toc516545442"/>
      <w:bookmarkStart w:id="675" w:name="_Toc523215849"/>
      <w:bookmarkStart w:id="676" w:name="_Toc524062429"/>
      <w:bookmarkStart w:id="677" w:name="_Toc524081058"/>
      <w:bookmarkStart w:id="678" w:name="_Toc524166770"/>
      <w:bookmarkStart w:id="679" w:name="_Toc524168647"/>
      <w:bookmarkStart w:id="680" w:name="_Toc524856372"/>
      <w:bookmarkStart w:id="681" w:name="_Toc524926725"/>
      <w:bookmarkStart w:id="682" w:name="_Toc526147816"/>
      <w:bookmarkStart w:id="683" w:name="_Toc526234294"/>
      <w:r w:rsidRPr="0049492A">
        <w:t>Mål för verksamhet och ekonomi</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8D3479" w:rsidRPr="0049492A" w:rsidRDefault="008D3479">
      <w:r w:rsidRPr="0049492A">
        <w:t>Enligt ägarens uppdrag ska bolaget erbjuda universitet och högskolor änd</w:t>
      </w:r>
      <w:r w:rsidRPr="0049492A">
        <w:t>a</w:t>
      </w:r>
      <w:r w:rsidRPr="0049492A">
        <w:t xml:space="preserve">målsenliga och sunda lokaler för utbildning och forskning. Bolaget har också som förvaltare ett ansvar att tillvarata de ekonomiska och kulturella värden som finns i fastigheterna. </w:t>
      </w:r>
    </w:p>
    <w:p w:rsidR="008D3479" w:rsidRPr="0049492A" w:rsidRDefault="008D3479">
      <w:pPr>
        <w:pStyle w:val="Normaltindrag"/>
      </w:pPr>
      <w:r w:rsidRPr="0049492A">
        <w:t>I ägardirektivet till Akademiska Hus återges delvis riksdagens riktlinjer kring förvaltning av ändamålsfastigheter. Där står att fastighetsrörelsen ska stödja den myndighet som brukar ändamålslokalerna i sin verksamhet. Äga</w:t>
      </w:r>
      <w:r w:rsidRPr="0049492A">
        <w:t>r</w:t>
      </w:r>
      <w:r w:rsidRPr="0049492A">
        <w:t>direktivet innehåller dock inga krav på att förvaltningsplaner ska upprättas gemensamt och att drifts- och underhållskostnader ska kunna särskiljas i hyressättningen. Verksamheten ska bedrivas kostnadseffektivt så att den genererar avkastning på statskapitalet. Det framgår att hyresvärd och hyre</w:t>
      </w:r>
      <w:r w:rsidRPr="0049492A">
        <w:t>s</w:t>
      </w:r>
      <w:r w:rsidRPr="0049492A">
        <w:t>gäst fritt bör förhandla fram villkor kring hur investeringar ska finansieras, men det sägs inget om att parterna ska förhandla om hyreskontraktets u</w:t>
      </w:r>
      <w:r w:rsidRPr="0049492A">
        <w:t>t</w:t>
      </w:r>
      <w:r w:rsidRPr="0049492A">
        <w:t xml:space="preserve">formning i övrigt. Ägardirektiven anger vidare att en öppen och </w:t>
      </w:r>
      <w:r w:rsidRPr="0049492A">
        <w:t>aktiv dialog mellan parterna är ang</w:t>
      </w:r>
      <w:r w:rsidRPr="0049492A">
        <w:t>e</w:t>
      </w:r>
      <w:r w:rsidRPr="0049492A">
        <w:t xml:space="preserve">lägen. </w:t>
      </w:r>
    </w:p>
    <w:p w:rsidR="008D3479" w:rsidRPr="0049492A" w:rsidRDefault="008D3479">
      <w:pPr>
        <w:pStyle w:val="Normaltindrag"/>
      </w:pPr>
      <w:r w:rsidRPr="0049492A">
        <w:t>Ägarens ekonomiska krav på Akademiska Hus är att koncernens soliditet bör uppgå till 25 procent. Avkastningen på genomsnittligt eget kapital ska motsvara den femåriga statsobligationsräntan plus 2,5 procentenheter över en konjunkturcykel, vilket för 2001 innebär 7,5 procent. Koncernens utde</w:t>
      </w:r>
      <w:r w:rsidRPr="0049492A">
        <w:t>l</w:t>
      </w:r>
      <w:r w:rsidRPr="0049492A">
        <w:t>ningsmål ska vara 50 procent av årets resultat efter skatt. Vid beslut om utdelning ska hänsyn tas till bolagets ekonomiska stäl</w:t>
      </w:r>
      <w:r w:rsidRPr="0049492A">
        <w:t>l</w:t>
      </w:r>
      <w:r w:rsidRPr="0049492A">
        <w:t xml:space="preserve">ning. </w:t>
      </w:r>
    </w:p>
    <w:p w:rsidR="008D3479" w:rsidRPr="0049492A" w:rsidRDefault="008D3479">
      <w:pPr>
        <w:pStyle w:val="Rubrik3-Utannumrering"/>
      </w:pPr>
      <w:bookmarkStart w:id="684" w:name="_Toc514560723"/>
      <w:bookmarkStart w:id="685" w:name="_Toc515247962"/>
      <w:bookmarkStart w:id="686" w:name="_Toc515780800"/>
      <w:bookmarkStart w:id="687" w:name="_Toc515855861"/>
      <w:bookmarkStart w:id="688" w:name="_Toc515855963"/>
      <w:bookmarkStart w:id="689" w:name="_Toc516536423"/>
      <w:bookmarkStart w:id="690" w:name="_Toc516544575"/>
      <w:bookmarkStart w:id="691" w:name="_Toc516545310"/>
      <w:bookmarkStart w:id="692" w:name="_Toc516545443"/>
      <w:bookmarkStart w:id="693" w:name="_Toc523215850"/>
      <w:bookmarkStart w:id="694" w:name="_Toc524062430"/>
      <w:bookmarkStart w:id="695" w:name="_Toc524081059"/>
      <w:bookmarkStart w:id="696" w:name="_Toc524166771"/>
      <w:bookmarkStart w:id="697" w:name="_Toc524168648"/>
      <w:bookmarkStart w:id="698" w:name="_Toc524856373"/>
      <w:bookmarkStart w:id="699" w:name="_Toc524926726"/>
      <w:bookmarkStart w:id="700" w:name="_Toc526147817"/>
      <w:bookmarkStart w:id="701" w:name="_Toc526234295"/>
      <w:r w:rsidRPr="0049492A">
        <w:t>Tillämpning av principer</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49492A">
        <w:t xml:space="preserve"> </w:t>
      </w:r>
    </w:p>
    <w:p w:rsidR="008D3479" w:rsidRPr="0049492A" w:rsidRDefault="008D3479">
      <w:pPr>
        <w:pStyle w:val="Rubrik4-Utannumrering"/>
      </w:pPr>
      <w:bookmarkStart w:id="702" w:name="_Toc514560724"/>
      <w:bookmarkStart w:id="703" w:name="_Toc524062431"/>
      <w:bookmarkStart w:id="704" w:name="_Toc524081060"/>
      <w:r w:rsidRPr="0049492A">
        <w:t>Hyressättning</w:t>
      </w:r>
      <w:bookmarkEnd w:id="702"/>
      <w:bookmarkEnd w:id="703"/>
      <w:bookmarkEnd w:id="704"/>
    </w:p>
    <w:p w:rsidR="008D3479" w:rsidRPr="0049492A" w:rsidRDefault="008D3479">
      <w:r w:rsidRPr="0049492A">
        <w:t xml:space="preserve">Akademiska Hus kan självständigt förhandla om hyror med hyresgästerna, inom de ramar som riksdag och regering lagt fast. Olika principer tillämpas i hyresavtalen, beroende på den specifika situationen. Normalt tillämpas </w:t>
      </w:r>
      <w:r w:rsidRPr="0049492A">
        <w:rPr>
          <w:i/>
        </w:rPr>
        <w:t>marknadsanpassade hyror</w:t>
      </w:r>
      <w:r w:rsidRPr="0049492A">
        <w:t xml:space="preserve">. Det innebär att hyran sätts i relation till hyror för likartade lokaler på orten. Vid nybyggnad eller genomgripande ombyggnad innebär det att hyran bestäms som en </w:t>
      </w:r>
      <w:r w:rsidRPr="0049492A">
        <w:rPr>
          <w:i/>
        </w:rPr>
        <w:t>kostnadshyra</w:t>
      </w:r>
      <w:r w:rsidRPr="0049492A">
        <w:t xml:space="preserve"> utifrån ett ingångsvärde på fastigheten, fastighetsägarens risk och förväntad avkastning samt kalkyl</w:t>
      </w:r>
      <w:r w:rsidRPr="0049492A">
        <w:t>e</w:t>
      </w:r>
      <w:r w:rsidRPr="0049492A">
        <w:t>rade drifts- och underhållskostnader. Kostnaderna för underhåll beräknas genom schabloner. Kostnader för energi, vatten, etc. påverkas starkt av h</w:t>
      </w:r>
      <w:r w:rsidRPr="0049492A">
        <w:t>y</w:t>
      </w:r>
      <w:r w:rsidRPr="0049492A">
        <w:t>resgästens särskilda verksamhet och debiteras normalt som hyres</w:t>
      </w:r>
      <w:r w:rsidRPr="0049492A">
        <w:t>tillägg efter faktisk förbrukning och enligt självkostnadsnivå. Normalt tillämpas s.k. balanshyra. I undantagsfall, för ytterst specialanpassade fastigheter, tillämpas en långsiktigt kostnadsbaserad hyra. Särskilda hyreslösningar för donationer till lokaler förekommer också. Kapitalkostnadernas storlek påverkas av den interna kalkylräntenivån som är fastställd av styrelsen, beroende på räntel</w:t>
      </w:r>
      <w:r w:rsidRPr="0049492A">
        <w:t>ä</w:t>
      </w:r>
      <w:r w:rsidRPr="0049492A">
        <w:t xml:space="preserve">ge. Kalkylräntan är lika för alla fastigheter. </w:t>
      </w:r>
    </w:p>
    <w:p w:rsidR="008D3479" w:rsidRPr="0049492A" w:rsidRDefault="008D3479">
      <w:pPr>
        <w:pStyle w:val="Normaltindrag"/>
      </w:pPr>
      <w:r w:rsidRPr="0049492A">
        <w:t>Hyresavtalet innehåller uppgifter om hyrans storlek och principer fö</w:t>
      </w:r>
      <w:r w:rsidRPr="0049492A">
        <w:t>r dess omräkning samt avtalets giltighetstid och villkor för uppsägning. Vanligen räknas en del av hyran upp varje år enligt utvecklingen av konsumentprisi</w:t>
      </w:r>
      <w:r w:rsidRPr="0049492A">
        <w:t>n</w:t>
      </w:r>
      <w:r w:rsidRPr="0049492A">
        <w:t xml:space="preserve">dex. </w:t>
      </w:r>
    </w:p>
    <w:p w:rsidR="008D3479" w:rsidRPr="0049492A" w:rsidRDefault="008D3479">
      <w:pPr>
        <w:pStyle w:val="Normaltindrag"/>
      </w:pPr>
      <w:r w:rsidRPr="0049492A">
        <w:t xml:space="preserve">Det förekommer att lärosätena själva svarar för investeringskostnader för viss verksamhetsanpassning av lokalerna. </w:t>
      </w:r>
    </w:p>
    <w:p w:rsidR="008D3479" w:rsidRPr="0049492A" w:rsidRDefault="008D3479">
      <w:pPr>
        <w:pStyle w:val="Rubrik4-Utannumrering"/>
      </w:pPr>
      <w:bookmarkStart w:id="705" w:name="_Toc514560725"/>
      <w:bookmarkStart w:id="706" w:name="_Toc524062432"/>
      <w:bookmarkStart w:id="707" w:name="_Toc524081061"/>
      <w:r w:rsidRPr="0049492A">
        <w:t>Öppen dialog</w:t>
      </w:r>
      <w:bookmarkEnd w:id="705"/>
      <w:bookmarkEnd w:id="706"/>
      <w:bookmarkEnd w:id="707"/>
    </w:p>
    <w:p w:rsidR="008D3479" w:rsidRPr="0049492A" w:rsidRDefault="008D3479">
      <w:r w:rsidRPr="0049492A">
        <w:t>Förhandlingar gäller hyresnivån, inte vilken modell för hyresberäkning som ska användas. Det är upp till hyresvärden om kostnaderna som belastar ett visst hyresobjekt redovisas för hyresgästen eller inte. Vissa hyresvärdar redovisar dessa kostnader i samband med investeringar, men inte alla. Hyran för många lokaler för universitet och högskolor diskuteras enbart utifrån marknadsvä</w:t>
      </w:r>
      <w:r w:rsidRPr="0049492A">
        <w:t>r</w:t>
      </w:r>
      <w:r w:rsidRPr="0049492A">
        <w:t xml:space="preserve">det. </w:t>
      </w:r>
    </w:p>
    <w:p w:rsidR="008D3479" w:rsidRPr="0049492A" w:rsidRDefault="008D3479">
      <w:pPr>
        <w:pStyle w:val="Normaltindrag"/>
      </w:pPr>
      <w:r w:rsidRPr="0049492A">
        <w:t xml:space="preserve">Akademiska Hus särredovisar endast kostnader för energi, vatten, m.m. Hyresmarknadsundersökningar görs både av bolaget och av hyresgästen, och är underlag för hyresförhandlingarna. Förhandlingen kan utgå från ganska olika exempel från marknaden och kan gälla vilken standard, planlösning, etc. som är jämförbar med ett visst objekt. </w:t>
      </w:r>
    </w:p>
    <w:p w:rsidR="008D3479" w:rsidRPr="0049492A" w:rsidRDefault="008D3479">
      <w:pPr>
        <w:pStyle w:val="Rubrik4-Utannumrering"/>
      </w:pPr>
      <w:bookmarkStart w:id="708" w:name="_Toc514560726"/>
      <w:bookmarkStart w:id="709" w:name="_Toc524062433"/>
      <w:bookmarkStart w:id="710" w:name="_Toc524081062"/>
      <w:r w:rsidRPr="0049492A">
        <w:t>Fastighetsförvaltning</w:t>
      </w:r>
      <w:bookmarkEnd w:id="708"/>
      <w:bookmarkEnd w:id="709"/>
      <w:bookmarkEnd w:id="710"/>
    </w:p>
    <w:p w:rsidR="008D3479" w:rsidRPr="0049492A" w:rsidRDefault="008D3479">
      <w:r w:rsidRPr="0049492A">
        <w:t>Akademiska Hus har ett fullständigt ansvar för drift och underhåll. För varje fastighetsområde under ett dotterbolag görs underhållsplaner. Det sker i kommunikation med hyresgästen för att underhållet ska passa med verksa</w:t>
      </w:r>
      <w:r w:rsidRPr="0049492A">
        <w:t>m</w:t>
      </w:r>
      <w:r w:rsidRPr="0049492A">
        <w:t xml:space="preserve">heten. Eftersom löpande underhållskostnader för det enskilda objektet inte direkt påverkar hyran för detta, har hyresgästen inte något intresse av att hålla nere underhållskraven, enligt Akademiska Hus. Akademiska Hus tog över ett fastighetsbestånd där underhållet var eftersatt och fick i uppdrag att rusta upp byggnaderna och att underhålla dem väl. Enligt Akademiska Hus blir underhållet eftersatt om det sköts av hyresgästen själv. </w:t>
      </w:r>
    </w:p>
    <w:p w:rsidR="008D3479" w:rsidRPr="0049492A" w:rsidRDefault="008D3479">
      <w:pPr>
        <w:pStyle w:val="Normaltindrag"/>
      </w:pPr>
      <w:r w:rsidRPr="0049492A">
        <w:t xml:space="preserve">Bolaget upphandlar en stor del av tjänsterna; vid byggnationer upphandlas </w:t>
      </w:r>
      <w:r w:rsidRPr="0049492A">
        <w:t xml:space="preserve">alla entreprenader och en stor del av projekteringsarbetet. Driftsarbeten som tar mer än fem timmar köps upp på entreprenad liksom underhållsarbeten. För att göra kostnadsjämförelser mellan dotterbolagen och med andra företag använder man sig av nyckeltal och </w:t>
      </w:r>
      <w:r w:rsidRPr="0049492A">
        <w:rPr>
          <w:i/>
        </w:rPr>
        <w:t>benchmarking</w:t>
      </w:r>
      <w:r w:rsidRPr="0049492A">
        <w:t>. Bolaget har en incit</w:t>
      </w:r>
      <w:r w:rsidRPr="0049492A">
        <w:t>a</w:t>
      </w:r>
      <w:r w:rsidRPr="0049492A">
        <w:t xml:space="preserve">mentslönemodell och nöjd-kund-index för att hålla nere kostnaderna för drift och underhåll. </w:t>
      </w:r>
    </w:p>
    <w:p w:rsidR="008D3479" w:rsidRPr="0049492A" w:rsidRDefault="008D3479">
      <w:pPr>
        <w:pStyle w:val="Rubrik4-Utannumrering"/>
      </w:pPr>
      <w:bookmarkStart w:id="711" w:name="_Toc514560727"/>
      <w:bookmarkStart w:id="712" w:name="_Toc524062434"/>
      <w:bookmarkStart w:id="713" w:name="_Toc524081063"/>
      <w:r w:rsidRPr="0049492A">
        <w:t>Avkastningskrav och fastighetsvärdering</w:t>
      </w:r>
      <w:bookmarkEnd w:id="711"/>
      <w:bookmarkEnd w:id="712"/>
      <w:bookmarkEnd w:id="713"/>
    </w:p>
    <w:p w:rsidR="008D3479" w:rsidRPr="0049492A" w:rsidRDefault="008D3479">
      <w:r w:rsidRPr="0049492A">
        <w:t>Fastigheterna värderades till marknadspriser vid övertagandet av beståndet. Enligt en representant för bolaget är de bokförda värdena på äldre fastigheter inte rättvisande. De är ofta påverkade av bokföringsmässiga och skattemä</w:t>
      </w:r>
      <w:r w:rsidRPr="0049492A">
        <w:t>s</w:t>
      </w:r>
      <w:r w:rsidRPr="0049492A">
        <w:t>siga överväganden.</w:t>
      </w:r>
      <w:r w:rsidRPr="0049492A">
        <w:rPr>
          <w:rStyle w:val="Fotnotsreferens"/>
        </w:rPr>
        <w:footnoteReference w:id="56"/>
      </w:r>
      <w:r w:rsidRPr="0049492A">
        <w:t xml:space="preserve"> </w:t>
      </w:r>
    </w:p>
    <w:p w:rsidR="008D3479" w:rsidRPr="0049492A" w:rsidRDefault="008D3479">
      <w:pPr>
        <w:pStyle w:val="Normaltindrag"/>
      </w:pPr>
      <w:r w:rsidRPr="0049492A">
        <w:t>Avskrivningstiden för byggnaderna är ca 40 år. Vid mer specialanpassade byggnader är avskrivningstiden kortare eftersom det då är extra svårt att bedöma avkastningen i framtiden. Hyreskalkylens längd justeras efter ris</w:t>
      </w:r>
      <w:r w:rsidRPr="0049492A">
        <w:t>k</w:t>
      </w:r>
      <w:r w:rsidRPr="0049492A">
        <w:t xml:space="preserve">faktor. Avtalstiden är normalt 10 -20 år. Akademiska Hus bedömer i de flesta fall att byggnaderna går att hyra ut efter avtalstidens slut och sätter därför inte avtalstiden lika med avskrivningstiden. </w:t>
      </w:r>
    </w:p>
    <w:p w:rsidR="008D3479" w:rsidRPr="0049492A" w:rsidRDefault="008D3479">
      <w:pPr>
        <w:pStyle w:val="Normaltindrag"/>
      </w:pPr>
      <w:r w:rsidRPr="0049492A">
        <w:t>Statsmakternas avkastningskrav på statslåneräntan plus en riskpremie på 2,5 procent, är det mest styrande målet för Akademiska Hus. Avkastning</w:t>
      </w:r>
      <w:r w:rsidRPr="0049492A">
        <w:t>s</w:t>
      </w:r>
      <w:r w:rsidRPr="0049492A">
        <w:t>kravet är ett långsiktigt mått på bolaget. Utdelningsmålet är på hälften av resultatet. Soliditetsmålet på 25 procent av bokfört kapital, är överordnat utdelningsmålet och uppnås alltid. Det påverkar lånekostnaderna och är därför angeläget att uppfylla. Utdelningsmålet up</w:t>
      </w:r>
      <w:r w:rsidRPr="0049492A">
        <w:t>p</w:t>
      </w:r>
      <w:r w:rsidRPr="0049492A">
        <w:t>fylls nästan alltid.</w:t>
      </w:r>
    </w:p>
    <w:p w:rsidR="008D3479" w:rsidRPr="0049492A" w:rsidRDefault="008D3479">
      <w:pPr>
        <w:pStyle w:val="Rubrik4-Utannumrering"/>
      </w:pPr>
      <w:bookmarkStart w:id="714" w:name="_Toc524062435"/>
      <w:bookmarkStart w:id="715" w:name="_Toc524081064"/>
      <w:r w:rsidRPr="0049492A">
        <w:t>Oklara direktiv</w:t>
      </w:r>
      <w:bookmarkEnd w:id="714"/>
      <w:bookmarkEnd w:id="715"/>
    </w:p>
    <w:p w:rsidR="008D3479" w:rsidRPr="0049492A" w:rsidRDefault="008D3479">
      <w:r w:rsidRPr="0049492A">
        <w:t xml:space="preserve">Intentionerna med fastighetsreformen upplevs som tydliga av Akademiska Hus, liksom bolagets uppdrag. De tillägg som gjordes 1997/98 anses dock ha förvirrat begreppen. Det finns olika tolkningsmöjligheter av det som står i utskottsbetänkandet. </w:t>
      </w:r>
    </w:p>
    <w:p w:rsidR="008D3479" w:rsidRPr="0049492A" w:rsidRDefault="008D3479">
      <w:pPr>
        <w:pStyle w:val="Normaltindrag"/>
      </w:pPr>
      <w:r w:rsidRPr="0049492A">
        <w:t>Utbildningsutskottets yttrande gav stöd för att hyressättning av högskolans lokaler skulle ske på likvärdigt sätt som på övriga marknaden. Detta motiv</w:t>
      </w:r>
      <w:r w:rsidRPr="0049492A">
        <w:t>e</w:t>
      </w:r>
      <w:r w:rsidRPr="0049492A">
        <w:t>rades av att särskilda regler och eventuellt lägre prissättning skulle ge Ak</w:t>
      </w:r>
      <w:r w:rsidRPr="0049492A">
        <w:t>a</w:t>
      </w:r>
      <w:r w:rsidRPr="0049492A">
        <w:t>demiska Hus en monopolsituation och riskera att begränsa lärosätenas frihet att välja mellan olika hyresvärdar. I samma betänkande betonar Finansu</w:t>
      </w:r>
      <w:r w:rsidRPr="0049492A">
        <w:t>t</w:t>
      </w:r>
      <w:r w:rsidRPr="0049492A">
        <w:t>skottet att kundnyttan ska optimeras, att hyrans olika kostnadskomponenter ska redovisas öppet och att självkostnadshyra ska vara utgångspunkt när hyresgästen har begränsade alternativ. Enligt Akademiska Hus har dessa skrivningar bidragit till oenighet om vilken hyresmodell som ska gäll</w:t>
      </w:r>
      <w:r w:rsidRPr="0049492A">
        <w:t xml:space="preserve">a. </w:t>
      </w:r>
    </w:p>
    <w:p w:rsidR="008D3479" w:rsidRPr="0049492A" w:rsidRDefault="008D3479">
      <w:pPr>
        <w:pStyle w:val="Rubrik4-Utannumrering"/>
      </w:pPr>
      <w:bookmarkStart w:id="716" w:name="_Toc524062436"/>
      <w:bookmarkStart w:id="717" w:name="_Toc524081065"/>
      <w:r w:rsidRPr="0049492A">
        <w:t>Egen målsättning</w:t>
      </w:r>
      <w:bookmarkEnd w:id="716"/>
      <w:bookmarkEnd w:id="717"/>
    </w:p>
    <w:p w:rsidR="008D3479" w:rsidRPr="0049492A" w:rsidRDefault="008D3479">
      <w:r w:rsidRPr="0049492A">
        <w:t>Relationerna med hyresgästerna är nära och relativt goda, enligt Akademiska Hus. Konkurrensen är begränsad, men företaget är ett nischföretag med i första hand en kategori av hyresgäster, och det strävar därför efter att vara ett stöd för verksamheten. Akademiska Hus uppfattar att hyresgästerna up</w:t>
      </w:r>
      <w:r w:rsidRPr="0049492A">
        <w:t>p</w:t>
      </w:r>
      <w:r w:rsidRPr="0049492A">
        <w:t xml:space="preserve">skattar den långsiktighet och stabilitet som bolaget kan erbjuda. </w:t>
      </w:r>
    </w:p>
    <w:p w:rsidR="008D3479" w:rsidRPr="0049492A" w:rsidRDefault="008D3479">
      <w:pPr>
        <w:pStyle w:val="Rubrik2-Utannumrering"/>
      </w:pPr>
      <w:bookmarkStart w:id="718" w:name="_Toc514560728"/>
      <w:bookmarkStart w:id="719" w:name="_Toc515247963"/>
      <w:bookmarkStart w:id="720" w:name="_Toc515780801"/>
      <w:bookmarkStart w:id="721" w:name="_Toc515855862"/>
      <w:bookmarkStart w:id="722" w:name="_Toc515855964"/>
      <w:bookmarkStart w:id="723" w:name="_Toc516536424"/>
      <w:bookmarkStart w:id="724" w:name="_Toc516544576"/>
      <w:bookmarkStart w:id="725" w:name="_Toc516545311"/>
      <w:bookmarkStart w:id="726" w:name="_Toc516545444"/>
      <w:bookmarkStart w:id="727" w:name="_Toc523215851"/>
      <w:bookmarkStart w:id="728" w:name="_Toc524062437"/>
      <w:bookmarkStart w:id="729" w:name="_Toc524081066"/>
      <w:bookmarkStart w:id="730" w:name="_Toc524166772"/>
      <w:bookmarkStart w:id="731" w:name="_Toc524168649"/>
      <w:bookmarkStart w:id="732" w:name="_Toc524856374"/>
      <w:bookmarkStart w:id="733" w:name="_Toc524926727"/>
      <w:bookmarkStart w:id="734" w:name="_Toc526147818"/>
      <w:bookmarkStart w:id="735" w:name="_Toc526234296"/>
      <w:bookmarkStart w:id="736" w:name="_Toc532725190"/>
      <w:r w:rsidRPr="0049492A">
        <w:t>Specialfastigheter</w:t>
      </w:r>
      <w:bookmarkEnd w:id="718"/>
      <w:r w:rsidRPr="0049492A">
        <w:t xml:space="preserve"> </w:t>
      </w:r>
      <w:r w:rsidRPr="0049492A">
        <w:rPr>
          <w:rStyle w:val="Fotnotsreferens"/>
          <w:sz w:val="18"/>
        </w:rPr>
        <w:footnoteReference w:id="57"/>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49492A">
        <w:rPr>
          <w:sz w:val="18"/>
        </w:rPr>
        <w:t xml:space="preserve"> </w:t>
      </w:r>
    </w:p>
    <w:p w:rsidR="008D3479" w:rsidRPr="0049492A" w:rsidRDefault="008D3479">
      <w:r w:rsidRPr="0049492A">
        <w:t>Specialfastigheter Sverige AB är ett helstatligt bolag som startade sin ver</w:t>
      </w:r>
      <w:r w:rsidRPr="0049492A">
        <w:t>k</w:t>
      </w:r>
      <w:r w:rsidRPr="0049492A">
        <w:t>samhet 1997.</w:t>
      </w:r>
      <w:r w:rsidRPr="0049492A">
        <w:rPr>
          <w:rStyle w:val="Fotnotsreferens"/>
        </w:rPr>
        <w:footnoteReference w:id="58"/>
      </w:r>
      <w:r w:rsidRPr="0049492A">
        <w:t xml:space="preserve"> Ett år senare renodlades verksamheten genom att ägandet övergick från Civitaskoncernen (f.d. Vasakronan Holding AB) till Finansd</w:t>
      </w:r>
      <w:r w:rsidRPr="0049492A">
        <w:t>e</w:t>
      </w:r>
      <w:r w:rsidRPr="0049492A">
        <w:t>partementet. Polisfastigheter Sverige AB bildades 1998. Specialfastigheter har fem dotterbolag. Verksamheten bedrivs över hela Sverige. Det bokförda värdet är ca 5,2 miljarder kronor och lokalarean är på ca 1 miljon kvadra</w:t>
      </w:r>
      <w:r w:rsidRPr="0049492A">
        <w:t>t</w:t>
      </w:r>
      <w:r w:rsidRPr="0049492A">
        <w:t xml:space="preserve">meter. </w:t>
      </w:r>
    </w:p>
    <w:p w:rsidR="008D3479" w:rsidRPr="0049492A" w:rsidRDefault="008D3479">
      <w:pPr>
        <w:pStyle w:val="Normaltindrag"/>
      </w:pPr>
      <w:r w:rsidRPr="0049492A">
        <w:t>De största hyresgästerna är Kriminalvårdsstyrelsen, Rikspolisstyrelsen, Statens institutionsstyrelse, Specialskolor, Försvarsmakten och Räddning</w:t>
      </w:r>
      <w:r w:rsidRPr="0049492A">
        <w:t>s</w:t>
      </w:r>
      <w:r w:rsidRPr="0049492A">
        <w:t>verket. De är statliga myndigheter med ändamålsanpassade lokaler, både med hänsyn till läge och utformning.</w:t>
      </w:r>
      <w:r w:rsidRPr="0049492A">
        <w:rPr>
          <w:rStyle w:val="Fotnotsreferens"/>
        </w:rPr>
        <w:footnoteReference w:id="59"/>
      </w:r>
    </w:p>
    <w:p w:rsidR="008D3479" w:rsidRPr="0049492A" w:rsidRDefault="008D3479">
      <w:pPr>
        <w:pStyle w:val="Rubrik3-Utannumrering"/>
      </w:pPr>
      <w:bookmarkStart w:id="737" w:name="_Toc514560729"/>
      <w:bookmarkStart w:id="738" w:name="_Toc515247964"/>
      <w:bookmarkStart w:id="739" w:name="_Toc515780802"/>
      <w:bookmarkStart w:id="740" w:name="_Toc515855863"/>
      <w:bookmarkStart w:id="741" w:name="_Toc515855965"/>
      <w:bookmarkStart w:id="742" w:name="_Toc516536425"/>
      <w:bookmarkStart w:id="743" w:name="_Toc516544577"/>
      <w:bookmarkStart w:id="744" w:name="_Toc516545312"/>
      <w:bookmarkStart w:id="745" w:name="_Toc516545445"/>
      <w:bookmarkStart w:id="746" w:name="_Toc523215852"/>
      <w:bookmarkStart w:id="747" w:name="_Toc524062438"/>
      <w:bookmarkStart w:id="748" w:name="_Toc524081067"/>
      <w:bookmarkStart w:id="749" w:name="_Toc524166773"/>
      <w:bookmarkStart w:id="750" w:name="_Toc524168650"/>
      <w:bookmarkStart w:id="751" w:name="_Toc524856375"/>
      <w:bookmarkStart w:id="752" w:name="_Toc524926728"/>
      <w:bookmarkStart w:id="753" w:name="_Toc526147819"/>
      <w:bookmarkStart w:id="754" w:name="_Toc526234297"/>
      <w:r w:rsidRPr="0049492A">
        <w:t>Mål för verksamhet och ekonomi</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8D3479" w:rsidRPr="0049492A" w:rsidRDefault="008D3479">
      <w:r w:rsidRPr="0049492A">
        <w:t>Specialfastigheter Sverige AB ska drivas på ett sådant sätt att de myndigheter som hyr och brukar ändamålslokaler i sin verksamhet får sitt behov tillgod</w:t>
      </w:r>
      <w:r w:rsidRPr="0049492A">
        <w:t>o</w:t>
      </w:r>
      <w:r w:rsidRPr="0049492A">
        <w:t xml:space="preserve">sett, enligt statens ägardirektiv till bolaget. </w:t>
      </w:r>
    </w:p>
    <w:p w:rsidR="008D3479" w:rsidRPr="0049492A" w:rsidRDefault="008D3479">
      <w:pPr>
        <w:pStyle w:val="Normaltindrag"/>
      </w:pPr>
      <w:r w:rsidRPr="0049492A">
        <w:t>Specialfastigheter ska sträva efter att hålla en öppen och aktiv dialog med hyresgästerna i lokalfrågor. Bolaget ska erbjuda maximal nytta i form av t.ex. funktionella lokaler, hög standard och god service. Riksdagens uppfat</w:t>
      </w:r>
      <w:r w:rsidRPr="0049492A">
        <w:t>t</w:t>
      </w:r>
      <w:r w:rsidRPr="0049492A">
        <w:t>ning att begreppet kundnytta inrymmer gemensamt upprättade förvaltning</w:t>
      </w:r>
      <w:r w:rsidRPr="0049492A">
        <w:t>s</w:t>
      </w:r>
      <w:r w:rsidRPr="0049492A">
        <w:t>planer och möjlighet att särskilja drifts- och underhållskostnader i hyressät</w:t>
      </w:r>
      <w:r w:rsidRPr="0049492A">
        <w:t>t</w:t>
      </w:r>
      <w:r w:rsidRPr="0049492A">
        <w:t xml:space="preserve">ningen framförs inte i ägardirektiven. </w:t>
      </w:r>
    </w:p>
    <w:p w:rsidR="008D3479" w:rsidRPr="0049492A" w:rsidRDefault="008D3479">
      <w:pPr>
        <w:pStyle w:val="Normaltindrag"/>
      </w:pPr>
      <w:r w:rsidRPr="0049492A">
        <w:t>Ägardirektiven anger att verksamheten ska bedrivas kostnadseffektivt och att kostnaderna för drift och underhåll inte ska överstiga en marknadsmässig nivå. Bolaget ska sträva efter att överföra verksamhetsrisken på hyresgästen i förhållande till i vilken grad lokalen saknar alternativ användning. Riksd</w:t>
      </w:r>
      <w:r w:rsidRPr="0049492A">
        <w:t>a</w:t>
      </w:r>
      <w:r w:rsidRPr="0049492A">
        <w:t>gens riktlinjer angående hyressättning i ändamålslokaler återges delvis i ägardirektiven. Det står att inriktningen på fastighetsrörelsen bör vara att stödja den myndighet som brukar ändamålslokalerna i sin verksamhet, att verksamheten ska generera avkastning utifrån affärsmässiga principer. Pa</w:t>
      </w:r>
      <w:r w:rsidRPr="0049492A">
        <w:t>r</w:t>
      </w:r>
      <w:r w:rsidRPr="0049492A">
        <w:t>terna ska förhandla fritt om villkor som t.ex. hur verksamhetsrisken ska fördelas, enligt ägard</w:t>
      </w:r>
      <w:r w:rsidRPr="0049492A">
        <w:t>i</w:t>
      </w:r>
      <w:r w:rsidRPr="0049492A">
        <w:t>rektiven.</w:t>
      </w:r>
    </w:p>
    <w:p w:rsidR="008D3479" w:rsidRPr="0049492A" w:rsidRDefault="008D3479">
      <w:pPr>
        <w:pStyle w:val="Normaltindrag"/>
      </w:pPr>
      <w:r w:rsidRPr="0049492A">
        <w:t>De ekonomiska kraven som ställs på verksamheten är att soliditeten bör uppgå till 20 procent. Avkastningen sk</w:t>
      </w:r>
      <w:r w:rsidRPr="0049492A">
        <w:t>a motsvara den femåriga statsoblig</w:t>
      </w:r>
      <w:r w:rsidRPr="0049492A">
        <w:t>a</w:t>
      </w:r>
      <w:r w:rsidRPr="0049492A">
        <w:t xml:space="preserve">tionsräntan plus 2,5 procentenheter. Koncernens utdelningsmål bör vara 50 procent av årets resultat efter skatt enligt ägardirektiven för 2001. </w:t>
      </w:r>
    </w:p>
    <w:p w:rsidR="008D3479" w:rsidRPr="0049492A" w:rsidRDefault="008D3479">
      <w:pPr>
        <w:pStyle w:val="Rubrik3-Utannumrering"/>
      </w:pPr>
      <w:bookmarkStart w:id="755" w:name="_Toc514560730"/>
      <w:bookmarkStart w:id="756" w:name="_Toc515247965"/>
      <w:bookmarkStart w:id="757" w:name="_Toc515780803"/>
      <w:bookmarkStart w:id="758" w:name="_Toc515855864"/>
      <w:bookmarkStart w:id="759" w:name="_Toc515855966"/>
      <w:bookmarkStart w:id="760" w:name="_Toc516536426"/>
      <w:bookmarkStart w:id="761" w:name="_Toc516544578"/>
      <w:bookmarkStart w:id="762" w:name="_Toc516545313"/>
      <w:bookmarkStart w:id="763" w:name="_Toc516545446"/>
      <w:bookmarkStart w:id="764" w:name="_Toc523215853"/>
      <w:bookmarkStart w:id="765" w:name="_Toc524062439"/>
      <w:bookmarkStart w:id="766" w:name="_Toc524081068"/>
      <w:bookmarkStart w:id="767" w:name="_Toc524166774"/>
      <w:bookmarkStart w:id="768" w:name="_Toc524168651"/>
      <w:bookmarkStart w:id="769" w:name="_Toc524856376"/>
      <w:bookmarkStart w:id="770" w:name="_Toc524926729"/>
      <w:bookmarkStart w:id="771" w:name="_Toc526147820"/>
      <w:bookmarkStart w:id="772" w:name="_Toc526234298"/>
      <w:r w:rsidRPr="0049492A">
        <w:t>Tillämpning av principer</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49492A">
        <w:t xml:space="preserve"> </w:t>
      </w:r>
    </w:p>
    <w:p w:rsidR="008D3479" w:rsidRPr="0049492A" w:rsidRDefault="008D3479">
      <w:pPr>
        <w:pStyle w:val="Rubrik4-Utannumrering"/>
      </w:pPr>
      <w:bookmarkStart w:id="773" w:name="_Toc514560731"/>
      <w:bookmarkStart w:id="774" w:name="_Toc524062440"/>
      <w:bookmarkStart w:id="775" w:name="_Toc524081069"/>
      <w:r w:rsidRPr="0049492A">
        <w:t>Hyressättning</w:t>
      </w:r>
      <w:bookmarkEnd w:id="773"/>
      <w:bookmarkEnd w:id="774"/>
      <w:bookmarkEnd w:id="775"/>
    </w:p>
    <w:p w:rsidR="008D3479" w:rsidRPr="0049492A" w:rsidRDefault="008D3479">
      <w:r w:rsidRPr="0049492A">
        <w:t xml:space="preserve">Specialfastigheter har </w:t>
      </w:r>
      <w:r w:rsidRPr="0049492A">
        <w:rPr>
          <w:i/>
        </w:rPr>
        <w:t>full kostnadstäckning</w:t>
      </w:r>
      <w:r w:rsidRPr="0049492A">
        <w:t xml:space="preserve"> som utgångspunkt för all hyre</w:t>
      </w:r>
      <w:r w:rsidRPr="0049492A">
        <w:t>s</w:t>
      </w:r>
      <w:r w:rsidRPr="0049492A">
        <w:t>sättning. Hyreskalkyler över investeringskostnader görs för varje enskilt hyresobjekt, tillsammans med hyresgästen. Viss marknadsanpassning sker dock genom att bolaget tar hänsyn till alternativkostnad och alternativa</w:t>
      </w:r>
      <w:r w:rsidRPr="0049492A">
        <w:t>n</w:t>
      </w:r>
      <w:r w:rsidRPr="0049492A">
        <w:t>vändning, vilket får effekt på restvärdet. Där det finns möjligheter att hitta en alternativ användning efter kontraktstidens slut behöver inte hela fastigheten skrivas av under kontraktets löptid, vilket sänker hyran. I de fall fastigheten h</w:t>
      </w:r>
      <w:r w:rsidRPr="0049492A">
        <w:t>ar lågt värde vid alternativ användning måste bolaget se till att få tillbaka det insatta kapitalet, vilket höjer hyran. Kostnadshyran måste också ge u</w:t>
      </w:r>
      <w:r w:rsidRPr="0049492A">
        <w:t>t</w:t>
      </w:r>
      <w:r w:rsidRPr="0049492A">
        <w:t>rymme för en buffert i långsiktiga avtal, så att bolaget kan ta sitt fastighet</w:t>
      </w:r>
      <w:r w:rsidRPr="0049492A">
        <w:t>s</w:t>
      </w:r>
      <w:r w:rsidRPr="0049492A">
        <w:t>ansvar även om förändrade krav ger fördyringar i ver</w:t>
      </w:r>
      <w:r w:rsidRPr="0049492A">
        <w:t>k</w:t>
      </w:r>
      <w:r w:rsidRPr="0049492A">
        <w:t xml:space="preserve">samheten. </w:t>
      </w:r>
    </w:p>
    <w:p w:rsidR="008D3479" w:rsidRPr="0049492A" w:rsidRDefault="008D3479">
      <w:pPr>
        <w:pStyle w:val="Normaltindrag"/>
      </w:pPr>
      <w:r w:rsidRPr="0049492A">
        <w:t>Bolaget använder sig av samma kalkylränta för alla fastigheter. Den p</w:t>
      </w:r>
      <w:r w:rsidRPr="0049492A">
        <w:t>å</w:t>
      </w:r>
      <w:r w:rsidRPr="0049492A">
        <w:t>verkas inte av en fastighets alternativanvändning och baseras på gemensam finansiering. Det bokförda värdet av fastigheter är högre i regioner där mar</w:t>
      </w:r>
      <w:r w:rsidRPr="0049492A">
        <w:t>k</w:t>
      </w:r>
      <w:r w:rsidRPr="0049492A">
        <w:t xml:space="preserve">nadshyrorna är högre, vilket påverkar avskrivningen. Det innebär antingen längre kontraktstider eller högre hyror. </w:t>
      </w:r>
    </w:p>
    <w:p w:rsidR="008D3479" w:rsidRPr="0049492A" w:rsidRDefault="008D3479">
      <w:pPr>
        <w:pStyle w:val="Rubrik4-Utannumrering"/>
      </w:pPr>
      <w:bookmarkStart w:id="776" w:name="_Toc514560732"/>
      <w:bookmarkStart w:id="777" w:name="_Toc524062441"/>
      <w:bookmarkStart w:id="778" w:name="_Toc524081070"/>
      <w:r w:rsidRPr="0049492A">
        <w:t>Öppen dialog</w:t>
      </w:r>
      <w:bookmarkEnd w:id="776"/>
      <w:bookmarkEnd w:id="777"/>
      <w:bookmarkEnd w:id="778"/>
    </w:p>
    <w:p w:rsidR="008D3479" w:rsidRPr="0049492A" w:rsidRDefault="008D3479">
      <w:r w:rsidRPr="0049492A">
        <w:t>Relationen med hyresgästen är öppen. Regelbundna måldialoger om ver</w:t>
      </w:r>
      <w:r w:rsidRPr="0049492A">
        <w:t>k</w:t>
      </w:r>
      <w:r w:rsidRPr="0049492A">
        <w:t xml:space="preserve">samhetsplaner hålls och kostnaderna redovisas för hyresgästen. </w:t>
      </w:r>
    </w:p>
    <w:p w:rsidR="008D3479" w:rsidRPr="0049492A" w:rsidRDefault="008D3479">
      <w:pPr>
        <w:pStyle w:val="Normaltindrag"/>
      </w:pPr>
      <w:r w:rsidRPr="0049492A">
        <w:t>Bolaget anser sig vara utsatt för konkurrens, utom i de allra längsta ko</w:t>
      </w:r>
      <w:r w:rsidRPr="0049492A">
        <w:t>n</w:t>
      </w:r>
      <w:r w:rsidRPr="0049492A">
        <w:t>trakten med kriminalvårdsanstalter. De flesta hyresgäster har andra hyresvä</w:t>
      </w:r>
      <w:r w:rsidRPr="0049492A">
        <w:t>r</w:t>
      </w:r>
      <w:r w:rsidRPr="0049492A">
        <w:t>dar också. Statens institutionsstyrelse (SiS) har valt Specialfastigheter i en konkurrenssituation, vilket man från bolagets sida ser positivt på. I nybyg</w:t>
      </w:r>
      <w:r w:rsidRPr="0049492A">
        <w:t>g</w:t>
      </w:r>
      <w:r w:rsidRPr="0049492A">
        <w:t>nad</w:t>
      </w:r>
      <w:r w:rsidRPr="0049492A">
        <w:t>s</w:t>
      </w:r>
      <w:r w:rsidRPr="0049492A">
        <w:t xml:space="preserve">situationer finns alltid konkurrens, enligt bolagets uppfattning. </w:t>
      </w:r>
    </w:p>
    <w:p w:rsidR="008D3479" w:rsidRPr="0049492A" w:rsidRDefault="008D3479">
      <w:pPr>
        <w:pStyle w:val="Normaltindrag"/>
      </w:pPr>
      <w:r w:rsidRPr="0049492A">
        <w:t>Specialfastigheter anser att ägarens uppdrag är tydligt och riktlinjerna kl</w:t>
      </w:r>
      <w:r w:rsidRPr="0049492A">
        <w:t>a</w:t>
      </w:r>
      <w:r w:rsidRPr="0049492A">
        <w:t xml:space="preserve">ra. Finansdepartementet har fyra årliga möten med bolaget, varav ett är ett strategimöte. Dessutom har man styrelsemöten, där Finansdepartementet är representerat. </w:t>
      </w:r>
    </w:p>
    <w:p w:rsidR="008D3479" w:rsidRPr="0049492A" w:rsidRDefault="008D3479">
      <w:pPr>
        <w:pStyle w:val="Rubrik4-Utannumrering"/>
      </w:pPr>
      <w:bookmarkStart w:id="779" w:name="_Toc514560733"/>
      <w:bookmarkStart w:id="780" w:name="_Toc524062442"/>
      <w:bookmarkStart w:id="781" w:name="_Toc524081071"/>
      <w:r w:rsidRPr="0049492A">
        <w:t>Fastighetsförvaltning</w:t>
      </w:r>
      <w:bookmarkEnd w:id="779"/>
      <w:bookmarkEnd w:id="780"/>
      <w:bookmarkEnd w:id="781"/>
    </w:p>
    <w:p w:rsidR="008D3479" w:rsidRPr="0049492A" w:rsidRDefault="008D3479">
      <w:r w:rsidRPr="0049492A">
        <w:t xml:space="preserve">Specialfastigheter har egen driftspersonal, men köper upp en dryg fjärdedel av driftarbetet. Underhållsarbete i form av byggprojekt köps upp till nästan hundra procent. </w:t>
      </w:r>
    </w:p>
    <w:p w:rsidR="008D3479" w:rsidRPr="0049492A" w:rsidRDefault="008D3479">
      <w:pPr>
        <w:pStyle w:val="Normaltindrag"/>
      </w:pPr>
      <w:r w:rsidRPr="0049492A">
        <w:t>Eftersom kontrakten ofta är mellan 15 och 25 år långa och innehåller en fastlagd hyra, har bolaget incitament att hålla nere drifts- och underhålls-kostnader. Eftersom servicenivån också är definierad i hyresavtalet måste bolaget hålla kostnaderna för detta inom hyresramen. Man använder sig också av nyckeltal över kostnader och hyresnivåer för att jämföra sig med övriga marknaden i Sverige. Specialfastigheter redovisar även dessa nycke</w:t>
      </w:r>
      <w:r w:rsidRPr="0049492A">
        <w:t>l</w:t>
      </w:r>
      <w:r w:rsidRPr="0049492A">
        <w:t>tal för hyre</w:t>
      </w:r>
      <w:r w:rsidRPr="0049492A">
        <w:t>s</w:t>
      </w:r>
      <w:r w:rsidRPr="0049492A">
        <w:t xml:space="preserve">gästerna. </w:t>
      </w:r>
    </w:p>
    <w:p w:rsidR="008D3479" w:rsidRPr="0049492A" w:rsidRDefault="008D3479">
      <w:pPr>
        <w:pStyle w:val="Normaltindrag"/>
      </w:pPr>
      <w:r w:rsidRPr="0049492A">
        <w:t>Enligt bolaget är ansvaret för förvaltningen definierat i alla hyresavtal. A</w:t>
      </w:r>
      <w:r w:rsidRPr="0049492A">
        <w:t>n</w:t>
      </w:r>
      <w:r w:rsidRPr="0049492A">
        <w:t>svarsfördelningen slås fast genom förhandlingar och varierar efter hyresgä</w:t>
      </w:r>
      <w:r w:rsidRPr="0049492A">
        <w:t>s</w:t>
      </w:r>
      <w:r w:rsidRPr="0049492A">
        <w:t>ternas speciella behov och önskemål. Den tekniska driften sköts dock av Specia</w:t>
      </w:r>
      <w:r w:rsidRPr="0049492A">
        <w:t>l</w:t>
      </w:r>
      <w:r w:rsidRPr="0049492A">
        <w:t xml:space="preserve">fastigheter själva. </w:t>
      </w:r>
    </w:p>
    <w:p w:rsidR="008D3479" w:rsidRPr="0049492A" w:rsidRDefault="008D3479">
      <w:pPr>
        <w:pStyle w:val="Normaltindrag"/>
      </w:pPr>
      <w:r w:rsidRPr="0049492A">
        <w:t>Stöd för hyresgästen märks mest i fastighetsfrågor, anser Specialfastigh</w:t>
      </w:r>
      <w:r w:rsidRPr="0049492A">
        <w:t>e</w:t>
      </w:r>
      <w:r w:rsidRPr="0049492A">
        <w:t>ter. Bolagets kunskap om hyresgästens verksamhet och tekniska kunskap bidrar till att man kan förutse hyresgästens behov och presentera alternativa lö</w:t>
      </w:r>
      <w:r w:rsidRPr="0049492A">
        <w:t>s</w:t>
      </w:r>
      <w:r w:rsidRPr="0049492A">
        <w:t xml:space="preserve">ningar. </w:t>
      </w:r>
    </w:p>
    <w:p w:rsidR="008D3479" w:rsidRPr="0049492A" w:rsidRDefault="008D3479">
      <w:pPr>
        <w:pStyle w:val="Rubrik4-Utannumrering"/>
      </w:pPr>
      <w:bookmarkStart w:id="782" w:name="_Toc514560734"/>
      <w:bookmarkStart w:id="783" w:name="_Toc524062443"/>
      <w:bookmarkStart w:id="784" w:name="_Toc524081072"/>
      <w:r w:rsidRPr="0049492A">
        <w:t>Avkastningskrav och fastighetsvärdering</w:t>
      </w:r>
      <w:bookmarkEnd w:id="782"/>
      <w:bookmarkEnd w:id="783"/>
      <w:bookmarkEnd w:id="784"/>
    </w:p>
    <w:p w:rsidR="008D3479" w:rsidRPr="0049492A" w:rsidRDefault="008D3479">
      <w:r w:rsidRPr="0049492A">
        <w:t>Fastigheterna är marknadsmässigt värderade, vilket innebär att resultatet för varje år enligt gällande hyresavtal och fastighetens restvärde har nuvärdesb</w:t>
      </w:r>
      <w:r w:rsidRPr="0049492A">
        <w:t>e</w:t>
      </w:r>
      <w:r w:rsidRPr="0049492A">
        <w:t xml:space="preserve">räknats. Hänsyn till alternativvärdet tas vid en marknadsmässig värdering av en fastighet. </w:t>
      </w:r>
    </w:p>
    <w:p w:rsidR="008D3479" w:rsidRPr="0049492A" w:rsidRDefault="008D3479">
      <w:pPr>
        <w:pStyle w:val="Normaltindrag"/>
      </w:pPr>
      <w:r w:rsidRPr="0049492A">
        <w:t>Statens avkastningskrav på statslåneräntan plus en riskpremie på 2,5 pr</w:t>
      </w:r>
      <w:r w:rsidRPr="0049492A">
        <w:t>o</w:t>
      </w:r>
      <w:r w:rsidRPr="0049492A">
        <w:t xml:space="preserve">cent uppnås, liksom utdelningsmålet på 50 procent av årets resultat. I år delades hela resultatet ut för att soliditetsmålet på 20 procent av bokfört kapital på sikt ska uppnås. </w:t>
      </w:r>
    </w:p>
    <w:p w:rsidR="008D3479" w:rsidRPr="0049492A" w:rsidRDefault="008D3479">
      <w:pPr>
        <w:pStyle w:val="Normaltindrag"/>
      </w:pPr>
      <w:r w:rsidRPr="0049492A">
        <w:t xml:space="preserve"> </w:t>
      </w:r>
    </w:p>
    <w:p w:rsidR="008D3479" w:rsidRPr="0049492A" w:rsidRDefault="008D3479">
      <w:pPr>
        <w:pStyle w:val="Rubrik1"/>
      </w:pPr>
      <w:bookmarkStart w:id="785" w:name="_Toc514560735"/>
      <w:bookmarkStart w:id="786" w:name="_Toc515247966"/>
      <w:bookmarkStart w:id="787" w:name="_Toc515780816"/>
      <w:bookmarkStart w:id="788" w:name="_Toc515855877"/>
      <w:bookmarkStart w:id="789" w:name="_Toc515855979"/>
      <w:bookmarkStart w:id="790" w:name="_Toc516536427"/>
      <w:bookmarkStart w:id="791" w:name="_Toc516544579"/>
      <w:bookmarkStart w:id="792" w:name="_Toc516545314"/>
      <w:bookmarkStart w:id="793" w:name="_Toc516545447"/>
      <w:bookmarkStart w:id="794" w:name="_Toc523215854"/>
      <w:bookmarkStart w:id="795" w:name="_Toc524062444"/>
      <w:bookmarkStart w:id="796" w:name="_Toc524081073"/>
      <w:bookmarkStart w:id="797" w:name="_Toc524166775"/>
      <w:bookmarkStart w:id="798" w:name="_Toc524168652"/>
      <w:bookmarkStart w:id="799" w:name="_Toc524856377"/>
      <w:bookmarkStart w:id="800" w:name="_Toc524926730"/>
      <w:bookmarkStart w:id="801" w:name="_Toc526147821"/>
      <w:bookmarkStart w:id="802" w:name="_Toc526234299"/>
      <w:bookmarkStart w:id="803" w:name="_Toc532725191"/>
      <w:r w:rsidRPr="0049492A">
        <w:t>Hyresgäster i ändamålsfastigheter</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Sammanfattning:</w:t>
      </w:r>
      <w:r w:rsidRPr="0049492A">
        <w:t xml:space="preserve"> Bristande insyn i förvaltningen och oklara förutsättningar för hyressättningen är förhållanden som många av hyresgästerna kritiserar. Oenighet kring om marknads- eller kostnadsbaserad hyra ska gälla har up</w:t>
      </w:r>
      <w:r w:rsidRPr="0049492A">
        <w:t>p</w:t>
      </w:r>
      <w:r w:rsidRPr="0049492A">
        <w:t>stått i vissa fall. Hyresgästerna kan inte påverka vilken modell för hyressät</w:t>
      </w:r>
      <w:r w:rsidRPr="0049492A">
        <w:t>t</w:t>
      </w:r>
      <w:r w:rsidRPr="0049492A">
        <w:t xml:space="preserve">ning som ska gälla.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De flesta hyresgäster är relativt nöjda med sin statliga hyresvärd som fa</w:t>
      </w:r>
      <w:r w:rsidRPr="0049492A">
        <w:t>s</w:t>
      </w:r>
      <w:r w:rsidRPr="0049492A">
        <w:t>tighetsförvaltare. Hur väl definierat ansvaret för olika åtgärder är varierar mellan olika förvaltare. Underhållsplaner upprättas, men inte alltid geme</w:t>
      </w:r>
      <w:r w:rsidRPr="0049492A">
        <w:t>n</w:t>
      </w:r>
      <w:r w:rsidRPr="0049492A">
        <w:t xml:space="preserve">samt och de upplevs inte alltid fylla sin funktion. </w:t>
      </w:r>
    </w:p>
    <w:p w:rsidR="008D3479" w:rsidRPr="0049492A" w:rsidRDefault="008D3479">
      <w:pPr>
        <w:pStyle w:val="Rubrik2-Utannumrering"/>
      </w:pPr>
      <w:bookmarkStart w:id="804" w:name="_Toc514560736"/>
      <w:bookmarkStart w:id="805" w:name="_Toc515247967"/>
      <w:bookmarkStart w:id="806" w:name="_Toc515780817"/>
      <w:bookmarkStart w:id="807" w:name="_Toc515855878"/>
      <w:bookmarkStart w:id="808" w:name="_Toc515855980"/>
      <w:bookmarkStart w:id="809" w:name="_Toc516536428"/>
      <w:bookmarkStart w:id="810" w:name="_Toc516544580"/>
      <w:bookmarkStart w:id="811" w:name="_Toc516545315"/>
      <w:bookmarkStart w:id="812" w:name="_Toc516545448"/>
      <w:bookmarkStart w:id="813" w:name="_Toc523215855"/>
      <w:bookmarkStart w:id="814" w:name="_Toc524062445"/>
      <w:bookmarkStart w:id="815" w:name="_Toc524081074"/>
      <w:bookmarkStart w:id="816" w:name="_Toc524166776"/>
      <w:bookmarkStart w:id="817" w:name="_Toc524168653"/>
      <w:bookmarkStart w:id="818" w:name="_Toc524856378"/>
      <w:bookmarkStart w:id="819" w:name="_Toc524926731"/>
      <w:bookmarkStart w:id="820" w:name="_Toc526147822"/>
      <w:bookmarkStart w:id="821" w:name="_Toc526234300"/>
      <w:bookmarkStart w:id="822" w:name="_Toc532725192"/>
      <w:r w:rsidRPr="0049492A">
        <w:t>Förordningen om myndigheters lokalförsörjning</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D3479" w:rsidRPr="0049492A" w:rsidRDefault="008D3479">
      <w:r w:rsidRPr="0049492A">
        <w:t>Förordningen om statliga myndigheters lokalförsörjning</w:t>
      </w:r>
      <w:r w:rsidRPr="0049492A">
        <w:rPr>
          <w:rStyle w:val="Fotnotsreferens"/>
        </w:rPr>
        <w:footnoteReference w:id="60"/>
      </w:r>
      <w:r w:rsidRPr="0049492A">
        <w:t xml:space="preserve"> anger att en my</w:t>
      </w:r>
      <w:r w:rsidRPr="0049492A">
        <w:t>n</w:t>
      </w:r>
      <w:r w:rsidRPr="0049492A">
        <w:t>dighet får besluta om sin egen lokalförsörjning. Myndigheten ansvarar för hur de lokaler som den disponerar används. Inom sina resursramar får my</w:t>
      </w:r>
      <w:r w:rsidRPr="0049492A">
        <w:t>n</w:t>
      </w:r>
      <w:r w:rsidRPr="0049492A">
        <w:t>digheten ingå de hyres- och arrendeavtal som myndigheten  behöver för sin verksamhet. Friheten begränsas dock genom att hyresavtal som anses vara av ekonomisk betydelse och som har en löptid på längre än sex år måste go</w:t>
      </w:r>
      <w:r w:rsidRPr="0049492A">
        <w:t>d</w:t>
      </w:r>
      <w:r w:rsidRPr="0049492A">
        <w:t>kännas av regeringen. Universitet och högskolor har något större frihet och behöver endast regeringens medgivande för avtal som l</w:t>
      </w:r>
      <w:r w:rsidRPr="0049492A">
        <w:t>öper längre än tio år. Regeringens medgivande krävs också inför en lokalförändring som förutsä</w:t>
      </w:r>
      <w:r w:rsidRPr="0049492A">
        <w:t>t</w:t>
      </w:r>
      <w:r w:rsidRPr="0049492A">
        <w:t>ter ökade resurser till myndigheten.</w:t>
      </w:r>
    </w:p>
    <w:p w:rsidR="008D3479" w:rsidRPr="0049492A" w:rsidRDefault="008D3479">
      <w:r w:rsidRPr="0049492A">
        <w:t xml:space="preserve">Beskrivningen av hyresgästerna i ändamålsfastigheter bygger på intervjuer med lokalansvariga inom respektive organisation samt på de skriftliga källor som anges. </w:t>
      </w:r>
    </w:p>
    <w:p w:rsidR="008D3479" w:rsidRPr="0049492A" w:rsidRDefault="008D3479">
      <w:pPr>
        <w:pStyle w:val="Rubrik2-Utannumrering"/>
      </w:pPr>
      <w:bookmarkStart w:id="823" w:name="_Toc514560737"/>
      <w:bookmarkStart w:id="824" w:name="_Toc515247968"/>
      <w:bookmarkStart w:id="825" w:name="_Toc515780818"/>
      <w:bookmarkStart w:id="826" w:name="_Toc515855879"/>
      <w:bookmarkStart w:id="827" w:name="_Toc515855981"/>
      <w:bookmarkStart w:id="828" w:name="_Toc516536429"/>
      <w:bookmarkStart w:id="829" w:name="_Toc516544581"/>
      <w:bookmarkStart w:id="830" w:name="_Toc516545316"/>
      <w:bookmarkStart w:id="831" w:name="_Toc516545449"/>
      <w:bookmarkStart w:id="832" w:name="_Toc523215856"/>
      <w:bookmarkStart w:id="833" w:name="_Toc524062446"/>
      <w:bookmarkStart w:id="834" w:name="_Toc524081075"/>
      <w:bookmarkStart w:id="835" w:name="_Toc524166777"/>
      <w:bookmarkStart w:id="836" w:name="_Toc524168654"/>
      <w:bookmarkStart w:id="837" w:name="_Toc524856379"/>
      <w:bookmarkStart w:id="838" w:name="_Toc524926732"/>
      <w:bookmarkStart w:id="839" w:name="_Toc526147823"/>
      <w:bookmarkStart w:id="840" w:name="_Toc526234301"/>
      <w:bookmarkStart w:id="841" w:name="_Toc532725193"/>
      <w:r w:rsidRPr="0049492A">
        <w:t>Kulturinstitutioner och centrala museer</w:t>
      </w:r>
      <w:bookmarkEnd w:id="823"/>
      <w:bookmarkEnd w:id="824"/>
      <w:bookmarkEnd w:id="825"/>
      <w:bookmarkEnd w:id="826"/>
      <w:bookmarkEnd w:id="827"/>
      <w:bookmarkEnd w:id="828"/>
      <w:bookmarkEnd w:id="829"/>
      <w:bookmarkEnd w:id="830"/>
      <w:bookmarkEnd w:id="831"/>
      <w:bookmarkEnd w:id="833"/>
      <w:bookmarkEnd w:id="834"/>
      <w:bookmarkEnd w:id="835"/>
      <w:bookmarkEnd w:id="836"/>
      <w:bookmarkEnd w:id="837"/>
      <w:bookmarkEnd w:id="838"/>
      <w:bookmarkEnd w:id="839"/>
      <w:bookmarkEnd w:id="840"/>
      <w:bookmarkEnd w:id="841"/>
      <w:r w:rsidRPr="0049492A">
        <w:t xml:space="preserve"> </w:t>
      </w:r>
      <w:bookmarkEnd w:id="832"/>
    </w:p>
    <w:p w:rsidR="008D3479" w:rsidRPr="0049492A" w:rsidRDefault="008D3479">
      <w:r w:rsidRPr="0049492A">
        <w:t>Regeringskansliet har gjort en översyn av hyressättningen av kulturinstit</w:t>
      </w:r>
      <w:r w:rsidRPr="0049492A">
        <w:t>u</w:t>
      </w:r>
      <w:r w:rsidRPr="0049492A">
        <w:t>tionerna. Slutsatserna som drogs ledde till ett förslag på kostnadsbaserad hyressättning för huvudbyggnaderna som används av Operan, Dramaten, Nationalmuseum, Naturhistoriska riksmuseet samt av Historiska museet.</w:t>
      </w:r>
      <w:r w:rsidRPr="0049492A">
        <w:rPr>
          <w:rStyle w:val="Fotnotsreferens"/>
        </w:rPr>
        <w:footnoteReference w:id="61"/>
      </w:r>
      <w:r w:rsidRPr="0049492A">
        <w:t xml:space="preserve"> Nedanstående uppgifter gäller situationen innan den eventuella hyresförän</w:t>
      </w:r>
      <w:r w:rsidRPr="0049492A">
        <w:t>d</w:t>
      </w:r>
      <w:r w:rsidRPr="0049492A">
        <w:t xml:space="preserve">ringen. </w:t>
      </w:r>
    </w:p>
    <w:p w:rsidR="008D3479" w:rsidRPr="0049492A" w:rsidRDefault="008D3479">
      <w:pPr>
        <w:pStyle w:val="Rubrik3-Utannumrering"/>
      </w:pPr>
      <w:bookmarkStart w:id="842" w:name="_Toc514560738"/>
      <w:bookmarkStart w:id="843" w:name="_Toc515247969"/>
      <w:bookmarkStart w:id="844" w:name="_Toc515780819"/>
      <w:bookmarkStart w:id="845" w:name="_Toc515855880"/>
      <w:bookmarkStart w:id="846" w:name="_Toc515855982"/>
      <w:bookmarkStart w:id="847" w:name="_Toc516536430"/>
      <w:bookmarkStart w:id="848" w:name="_Toc516544582"/>
      <w:bookmarkStart w:id="849" w:name="_Toc516545317"/>
      <w:bookmarkStart w:id="850" w:name="_Toc516545450"/>
      <w:bookmarkStart w:id="851" w:name="_Toc523215857"/>
      <w:bookmarkStart w:id="852" w:name="_Toc524062447"/>
      <w:bookmarkStart w:id="853" w:name="_Toc524081076"/>
      <w:bookmarkStart w:id="854" w:name="_Toc524166778"/>
      <w:bookmarkStart w:id="855" w:name="_Toc524168655"/>
      <w:bookmarkStart w:id="856" w:name="_Toc524856380"/>
      <w:bookmarkStart w:id="857" w:name="_Toc524926733"/>
      <w:bookmarkStart w:id="858" w:name="_Toc526147824"/>
      <w:bookmarkStart w:id="859" w:name="_Toc526234302"/>
      <w:r w:rsidRPr="0049492A">
        <w:t>Dramaten</w:t>
      </w:r>
      <w:bookmarkEnd w:id="842"/>
      <w:r w:rsidRPr="0049492A">
        <w:t xml:space="preserve"> </w:t>
      </w:r>
      <w:r w:rsidRPr="0049492A">
        <w:rPr>
          <w:rStyle w:val="Fotnotsreferens"/>
          <w:b w:val="0"/>
        </w:rPr>
        <w:footnoteReference w:id="62"/>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rsidR="008D3479" w:rsidRPr="0049492A" w:rsidRDefault="008D3479">
      <w:pPr>
        <w:pStyle w:val="Rubrik4-Utannumrering"/>
      </w:pPr>
      <w:bookmarkStart w:id="860" w:name="_Toc514560739"/>
      <w:bookmarkStart w:id="861" w:name="_Toc524062448"/>
      <w:bookmarkStart w:id="862" w:name="_Toc524081077"/>
      <w:r w:rsidRPr="0049492A">
        <w:t>Hyror</w:t>
      </w:r>
      <w:bookmarkEnd w:id="860"/>
      <w:bookmarkEnd w:id="861"/>
      <w:bookmarkEnd w:id="862"/>
    </w:p>
    <w:p w:rsidR="008D3479" w:rsidRPr="0049492A" w:rsidRDefault="008D3479">
      <w:r w:rsidRPr="0049492A">
        <w:t>Dramaten har inga synpunkter på om hyror ska sättas på marknadens villkor eller ej, det anser man vara en politisk fråga. Dramaten anser dock inte att marknadsprissättningen fungerar tillfredsställande eftersom deras hyror inte gick ned vid den allmänna hyresnedgången i början av 1990-talet. Dramaten menar att det beror på att Fastighetsverket vet att teatern ändå inte kan flytta. Man anser att en viss öppenhet och insyn finns i hyresrelationen mellan Fastighetsverket och Dramaten och att det är möjligt at</w:t>
      </w:r>
      <w:r w:rsidRPr="0049492A">
        <w:t>t förhandla om hyre</w:t>
      </w:r>
      <w:r w:rsidRPr="0049492A">
        <w:t>s</w:t>
      </w:r>
      <w:r w:rsidRPr="0049492A">
        <w:t>nivån. Det är oklart vad hyran baseras på, menar Dramaten. Öppen redovi</w:t>
      </w:r>
      <w:r w:rsidRPr="0049492A">
        <w:t>s</w:t>
      </w:r>
      <w:r w:rsidRPr="0049492A">
        <w:t>ning av fastigheternas ingångsvärden önskas. Vid övergången till det nya hyressystemet lyckades teatern få ner hyresnivån genom jämförelser med hyror för andra lokaler i omgivningen. Några jämförelser med hyror för andra liknande fastigheter har Dramaten inte gjort och man anser att jämf</w:t>
      </w:r>
      <w:r w:rsidRPr="0049492A">
        <w:t>ö</w:t>
      </w:r>
      <w:r w:rsidRPr="0049492A">
        <w:t xml:space="preserve">relser är vanskliga. </w:t>
      </w:r>
    </w:p>
    <w:p w:rsidR="008D3479" w:rsidRPr="0049492A" w:rsidRDefault="008D3479">
      <w:pPr>
        <w:pStyle w:val="Normaltindrag"/>
      </w:pPr>
      <w:r w:rsidRPr="0049492A">
        <w:t>För huvudbyggnaden vid Nybroplan betalade Dramaten en kvadratmete</w:t>
      </w:r>
      <w:r w:rsidRPr="0049492A">
        <w:t>r</w:t>
      </w:r>
      <w:r w:rsidRPr="0049492A">
        <w:t>hyra på ca 1 126 kr år 1999. Det var ca 20 procent mer än 1993/94.</w:t>
      </w:r>
      <w:r w:rsidRPr="0049492A">
        <w:rPr>
          <w:rStyle w:val="Fotnotsreferens"/>
        </w:rPr>
        <w:footnoteReference w:id="63"/>
      </w:r>
    </w:p>
    <w:p w:rsidR="008D3479" w:rsidRPr="0049492A" w:rsidRDefault="008D3479">
      <w:pPr>
        <w:pStyle w:val="Rubrik4-Utannumrering"/>
      </w:pPr>
      <w:bookmarkStart w:id="863" w:name="_Toc514560740"/>
      <w:bookmarkStart w:id="864" w:name="_Toc524062449"/>
      <w:bookmarkStart w:id="865" w:name="_Toc524081078"/>
      <w:r w:rsidRPr="0049492A">
        <w:t>Fastighetsförvaltning</w:t>
      </w:r>
      <w:bookmarkEnd w:id="863"/>
      <w:bookmarkEnd w:id="864"/>
      <w:bookmarkEnd w:id="865"/>
    </w:p>
    <w:p w:rsidR="008D3479" w:rsidRPr="0049492A" w:rsidRDefault="008D3479">
      <w:r w:rsidRPr="0049492A">
        <w:t>Underhållsplaner görs men Dramaten tycker att de är alltför kortsiktiga. Teatern tror att Fastighetsverket gör omprioriteringar i sina långsiktiga u</w:t>
      </w:r>
      <w:r w:rsidRPr="0049492A">
        <w:t>n</w:t>
      </w:r>
      <w:r w:rsidRPr="0049492A">
        <w:t>derhållsplaner så att de kan välja att ge mer pengar till t.ex. Operans unde</w:t>
      </w:r>
      <w:r w:rsidRPr="0049492A">
        <w:t>r</w:t>
      </w:r>
      <w:r w:rsidRPr="0049492A">
        <w:t>håll under vissa år på bekostnad av andra institutioners underhåll. Större tillgång till Fastighetsverkets långsiktiga underhållsplaner skulle förbättra dialogen och förstärka institutionernas förhandlingsposition, menar Dram</w:t>
      </w:r>
      <w:r w:rsidRPr="0049492A">
        <w:t>a</w:t>
      </w:r>
      <w:r w:rsidRPr="0049492A">
        <w:t xml:space="preserve">ten. </w:t>
      </w:r>
    </w:p>
    <w:p w:rsidR="008D3479" w:rsidRPr="0049492A" w:rsidRDefault="008D3479">
      <w:pPr>
        <w:pStyle w:val="Normaltindrag"/>
      </w:pPr>
      <w:r w:rsidRPr="0049492A">
        <w:t>I stort sett fungerar fastighetsskötseln bra. Ett problem är dock att hyre</w:t>
      </w:r>
      <w:r w:rsidRPr="0049492A">
        <w:t>s</w:t>
      </w:r>
      <w:r w:rsidRPr="0049492A">
        <w:t xml:space="preserve">kontraktet är standardiserat och inte innehåller några särbestämmelser för den enskilda institutionen. Kontraktet lämnar utrymme för olika tolkningar av vad som ingår i hyran och inte. Ansvar för underhåll, drift, etc. behöver bli tydligare. Dramaten anser att det är oklart om fastighetsskötseln går att få billigare hos annan fastighetsskötare och om institutionen har rätt att anlita någon annan. </w:t>
      </w:r>
    </w:p>
    <w:p w:rsidR="008D3479" w:rsidRPr="0049492A" w:rsidRDefault="008D3479">
      <w:pPr>
        <w:pStyle w:val="Rubrik3-Utannumrering"/>
      </w:pPr>
      <w:bookmarkStart w:id="866" w:name="_Toc514560741"/>
      <w:bookmarkStart w:id="867" w:name="_Toc515247970"/>
      <w:bookmarkStart w:id="868" w:name="_Toc515780820"/>
      <w:bookmarkStart w:id="869" w:name="_Toc515855881"/>
      <w:bookmarkStart w:id="870" w:name="_Toc515855983"/>
      <w:bookmarkStart w:id="871" w:name="_Toc516536431"/>
      <w:bookmarkStart w:id="872" w:name="_Toc516544583"/>
      <w:bookmarkStart w:id="873" w:name="_Toc516545318"/>
      <w:bookmarkStart w:id="874" w:name="_Toc516545451"/>
      <w:bookmarkStart w:id="875" w:name="_Toc523215858"/>
      <w:bookmarkStart w:id="876" w:name="_Toc524062450"/>
      <w:bookmarkStart w:id="877" w:name="_Toc524081079"/>
      <w:bookmarkStart w:id="878" w:name="_Toc524166779"/>
      <w:bookmarkStart w:id="879" w:name="_Toc524168656"/>
      <w:bookmarkStart w:id="880" w:name="_Toc524856381"/>
      <w:bookmarkStart w:id="881" w:name="_Toc524926734"/>
      <w:bookmarkStart w:id="882" w:name="_Toc526147825"/>
      <w:bookmarkStart w:id="883" w:name="_Toc526234303"/>
      <w:r w:rsidRPr="0049492A">
        <w:t>Operan</w:t>
      </w:r>
      <w:bookmarkEnd w:id="866"/>
      <w:r w:rsidRPr="0049492A">
        <w:t xml:space="preserve"> </w:t>
      </w:r>
      <w:r w:rsidRPr="0049492A">
        <w:rPr>
          <w:rStyle w:val="Fotnotsreferens"/>
          <w:b w:val="0"/>
        </w:rPr>
        <w:footnoteReference w:id="64"/>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rsidR="008D3479" w:rsidRPr="0049492A" w:rsidRDefault="008D3479">
      <w:pPr>
        <w:pStyle w:val="Rubrik4-Utannumrering"/>
      </w:pPr>
      <w:bookmarkStart w:id="884" w:name="_Toc514560742"/>
      <w:bookmarkStart w:id="885" w:name="_Toc524062451"/>
      <w:bookmarkStart w:id="886" w:name="_Toc524081080"/>
      <w:r w:rsidRPr="0049492A">
        <w:t>Hyror</w:t>
      </w:r>
      <w:bookmarkEnd w:id="884"/>
      <w:bookmarkEnd w:id="885"/>
      <w:bookmarkEnd w:id="886"/>
    </w:p>
    <w:p w:rsidR="008D3479" w:rsidRPr="0049492A" w:rsidRDefault="008D3479">
      <w:r w:rsidRPr="0049492A">
        <w:t>Operan anser att hyran är för hög i förhållande till det man får. Som underlag för den bedömningen hänvisar man till hyran för Vasateatern som Operan hyr av en privat hyresvärd – Skandia. Sämre kvalitet och mindre scen på Vasateatern motiverar inte den stora hyresskillnaden menar Operan. Möjli</w:t>
      </w:r>
      <w:r w:rsidRPr="0049492A">
        <w:t>g</w:t>
      </w:r>
      <w:r w:rsidRPr="0049492A">
        <w:t xml:space="preserve">het att förhandla ner hyran för Operan finns när kontrakten går ut 2002. </w:t>
      </w:r>
    </w:p>
    <w:p w:rsidR="008D3479" w:rsidRPr="0049492A" w:rsidRDefault="008D3479">
      <w:pPr>
        <w:pStyle w:val="Normaltindrag"/>
      </w:pPr>
      <w:r w:rsidRPr="0049492A">
        <w:t>Operan betalade ca 1 345 kr i hyra per kvadratmeter för huvudbyggnaden vid Gustav Adolfs torg år 1999. Kvadratmeterhyran för huvudbyggnaden ökade med ca 11 procent mellan år 1993/94 och 1999.</w:t>
      </w:r>
      <w:r w:rsidRPr="0049492A">
        <w:rPr>
          <w:rStyle w:val="Fotnotsreferens"/>
        </w:rPr>
        <w:footnoteReference w:id="65"/>
      </w:r>
    </w:p>
    <w:p w:rsidR="008D3479" w:rsidRPr="0049492A" w:rsidRDefault="008D3479">
      <w:pPr>
        <w:pStyle w:val="Rubrik4-Utannumrering"/>
      </w:pPr>
      <w:bookmarkStart w:id="887" w:name="_Toc514560743"/>
      <w:bookmarkStart w:id="888" w:name="_Toc524062452"/>
      <w:bookmarkStart w:id="889" w:name="_Toc524081081"/>
      <w:r w:rsidRPr="0049492A">
        <w:t>Öppen dialog</w:t>
      </w:r>
      <w:bookmarkEnd w:id="887"/>
      <w:bookmarkEnd w:id="888"/>
      <w:bookmarkEnd w:id="889"/>
    </w:p>
    <w:p w:rsidR="008D3479" w:rsidRPr="0049492A" w:rsidRDefault="008D3479">
      <w:r w:rsidRPr="0049492A">
        <w:t>Öppenheten är bristfällig när det gäller hyressättning, och förhandlingarna är mer som ett föreläggande av hyran. Operan tror att det beror på att Fasti</w:t>
      </w:r>
      <w:r w:rsidRPr="0049492A">
        <w:t>g</w:t>
      </w:r>
      <w:r w:rsidRPr="0049492A">
        <w:t xml:space="preserve">hetsverket vill ha en frihet att fördela sina intäkter från och kostnader för olika fastigheter. </w:t>
      </w:r>
    </w:p>
    <w:p w:rsidR="008D3479" w:rsidRPr="0049492A" w:rsidRDefault="008D3479">
      <w:pPr>
        <w:pStyle w:val="Normaltindrag"/>
      </w:pPr>
      <w:r w:rsidRPr="0049492A">
        <w:t>Operan har anlitat en konsult som visade att Fastighetsverket var tre gån</w:t>
      </w:r>
      <w:r w:rsidRPr="0049492A">
        <w:t>g</w:t>
      </w:r>
      <w:r w:rsidRPr="0049492A">
        <w:t>er dyrare när det gäller drift och underhåll än vad en jämförbar privat fasti</w:t>
      </w:r>
      <w:r w:rsidRPr="0049492A">
        <w:t>g</w:t>
      </w:r>
      <w:r w:rsidRPr="0049492A">
        <w:t>hetsförvaltare skulle vara. Det finns oklarheter kring ansvar för renoveringar, menar Operan. Fastighetsverket åtar sig att göra vissa upprustningar men det skulle få genomslag i hyran. Operan skulle vilja upphandla drift och unde</w:t>
      </w:r>
      <w:r w:rsidRPr="0049492A">
        <w:t>r</w:t>
      </w:r>
      <w:r w:rsidRPr="0049492A">
        <w:t>håll själv, vilket man anser sig kunna göra till ett betydligt lägre pris.</w:t>
      </w:r>
    </w:p>
    <w:p w:rsidR="008D3479" w:rsidRPr="0049492A" w:rsidRDefault="008D3479">
      <w:pPr>
        <w:pStyle w:val="Rubrik3-Utannumrering"/>
      </w:pPr>
      <w:bookmarkStart w:id="890" w:name="_Toc514560744"/>
      <w:bookmarkStart w:id="891" w:name="_Toc515247971"/>
      <w:bookmarkStart w:id="892" w:name="_Toc515780821"/>
      <w:bookmarkStart w:id="893" w:name="_Toc515855882"/>
      <w:bookmarkStart w:id="894" w:name="_Toc515855984"/>
      <w:bookmarkStart w:id="895" w:name="_Toc516536432"/>
      <w:bookmarkStart w:id="896" w:name="_Toc516544584"/>
      <w:bookmarkStart w:id="897" w:name="_Toc516545319"/>
      <w:bookmarkStart w:id="898" w:name="_Toc516545452"/>
      <w:bookmarkStart w:id="899" w:name="_Toc523215859"/>
      <w:bookmarkStart w:id="900" w:name="_Toc524062453"/>
      <w:bookmarkStart w:id="901" w:name="_Toc524081082"/>
      <w:bookmarkStart w:id="902" w:name="_Toc524166780"/>
      <w:bookmarkStart w:id="903" w:name="_Toc524168657"/>
      <w:bookmarkStart w:id="904" w:name="_Toc524856382"/>
      <w:bookmarkStart w:id="905" w:name="_Toc524926735"/>
      <w:bookmarkStart w:id="906" w:name="_Toc526147826"/>
      <w:bookmarkStart w:id="907" w:name="_Toc526234304"/>
      <w:r w:rsidRPr="0049492A">
        <w:t>Naturhistoriska riksmuseet</w:t>
      </w:r>
      <w:bookmarkEnd w:id="890"/>
      <w:r w:rsidRPr="0049492A">
        <w:t xml:space="preserve"> </w:t>
      </w:r>
      <w:r w:rsidRPr="0049492A">
        <w:rPr>
          <w:rStyle w:val="Fotnotsreferens"/>
          <w:b w:val="0"/>
        </w:rPr>
        <w:footnoteReference w:id="66"/>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rsidR="008D3479" w:rsidRPr="0049492A" w:rsidRDefault="008D3479">
      <w:pPr>
        <w:pStyle w:val="Rubrik4-Utannumrering"/>
      </w:pPr>
      <w:bookmarkStart w:id="908" w:name="_Toc514560745"/>
      <w:bookmarkStart w:id="909" w:name="_Toc524062454"/>
      <w:bookmarkStart w:id="910" w:name="_Toc524081083"/>
      <w:r w:rsidRPr="0049492A">
        <w:t>Hyror</w:t>
      </w:r>
      <w:bookmarkEnd w:id="908"/>
      <w:bookmarkEnd w:id="909"/>
      <w:bookmarkEnd w:id="910"/>
    </w:p>
    <w:p w:rsidR="008D3479" w:rsidRPr="0049492A" w:rsidRDefault="008D3479">
      <w:r w:rsidRPr="0049492A">
        <w:t>Naturhistoriska riksmuseet (NRM) anser att Fastighetsverkets hyressystem är felaktigt. Samarbetsformerna är goda enligt NRM, men förhandlingarna fungerar dåligt. NRM har förhandlat om hyran en gång, då utan att veta hur fastigheten var värderad eller vad drift och underhåll kostar. NRM ville veta vilka komponenter hyran bestod av, men det ville inte Fastighetsverket a</w:t>
      </w:r>
      <w:r w:rsidRPr="0049492A">
        <w:t>v</w:t>
      </w:r>
      <w:r w:rsidRPr="0049492A">
        <w:t>slöja. Någon underhållsplan diskuterades inte heller. I samband med fö</w:t>
      </w:r>
      <w:r w:rsidRPr="0049492A">
        <w:t>r</w:t>
      </w:r>
      <w:r w:rsidRPr="0049492A">
        <w:t>handlingarna anlitade NRM tre oberoende värderingsmän som med mar</w:t>
      </w:r>
      <w:r w:rsidRPr="0049492A">
        <w:t>k</w:t>
      </w:r>
      <w:r w:rsidRPr="0049492A">
        <w:t xml:space="preserve">nadsvärde och jämförbara hyror som utgångspunkt kom fram till lägre hyror än vad Fastighetsverket gjort. Resultatet blev att museet lyckades förhandla ner hyrorna med ca 20 procent. </w:t>
      </w:r>
    </w:p>
    <w:p w:rsidR="008D3479" w:rsidRPr="0049492A" w:rsidRDefault="008D3479">
      <w:pPr>
        <w:pStyle w:val="Normaltindrag"/>
      </w:pPr>
      <w:r w:rsidRPr="0049492A">
        <w:t>Museet vänder sig mot att investeringar leder till höjda hyror för all fra</w:t>
      </w:r>
      <w:r w:rsidRPr="0049492A">
        <w:t>m</w:t>
      </w:r>
      <w:r w:rsidRPr="0049492A">
        <w:t xml:space="preserve">tid. En investering ska finansieras via hyran, men när den är avbetald borde den inte motivera högre hyra än före investeringen. Museet förespråkar en kostnadsbaserad hyra. </w:t>
      </w:r>
    </w:p>
    <w:p w:rsidR="008D3479" w:rsidRPr="0049492A" w:rsidRDefault="008D3479">
      <w:pPr>
        <w:pStyle w:val="Normaltindrag"/>
      </w:pPr>
      <w:r w:rsidRPr="0049492A">
        <w:t>NRM anser att de höga hyresnivåerna och de därigenom uppräknade a</w:t>
      </w:r>
      <w:r w:rsidRPr="0049492A">
        <w:t>n</w:t>
      </w:r>
      <w:r w:rsidRPr="0049492A">
        <w:t xml:space="preserve">slagsnivåerna ger en felaktig bild av kulturbudgeten. Museet anser vidare att dyra förhandlingar är en konsekvens av dagens hyressystem. </w:t>
      </w:r>
    </w:p>
    <w:p w:rsidR="008D3479" w:rsidRPr="0049492A" w:rsidRDefault="008D3479">
      <w:pPr>
        <w:pStyle w:val="Normaltindrag"/>
      </w:pPr>
      <w:r w:rsidRPr="0049492A">
        <w:t>Museet hade år 1999 en hyra på 983 kronor per kvadratmeter. Mellan 1993/94 och 1999 minskade hyran per kvadratmeter med knappt 10 pr</w:t>
      </w:r>
      <w:r w:rsidRPr="0049492A">
        <w:t>o</w:t>
      </w:r>
      <w:r w:rsidRPr="0049492A">
        <w:t>cent.</w:t>
      </w:r>
      <w:r w:rsidRPr="0049492A">
        <w:rPr>
          <w:rStyle w:val="Fotnotsreferens"/>
        </w:rPr>
        <w:footnoteReference w:id="67"/>
      </w:r>
    </w:p>
    <w:p w:rsidR="008D3479" w:rsidRPr="0049492A" w:rsidRDefault="008D3479">
      <w:pPr>
        <w:pStyle w:val="Rubrik4-Utannumrering"/>
      </w:pPr>
      <w:bookmarkStart w:id="911" w:name="_Toc514560746"/>
      <w:bookmarkStart w:id="912" w:name="_Toc524062455"/>
      <w:bookmarkStart w:id="913" w:name="_Toc524081084"/>
      <w:r w:rsidRPr="0049492A">
        <w:t>Fastighetsförvaltning</w:t>
      </w:r>
      <w:bookmarkEnd w:id="911"/>
      <w:bookmarkEnd w:id="912"/>
      <w:bookmarkEnd w:id="913"/>
    </w:p>
    <w:p w:rsidR="008D3479" w:rsidRPr="0049492A" w:rsidRDefault="008D3479">
      <w:r w:rsidRPr="0049492A">
        <w:t>NRM är relativt nöjd med servicenivån och anser att Fastighetsverket är en bättre hyresvärd än Byggnadsstyrelsen och Akademiska Hus. Museet önskar dock att större hänsyn tas till antalet besökande, eftersom det påverkar u</w:t>
      </w:r>
      <w:r w:rsidRPr="0049492A">
        <w:t>n</w:t>
      </w:r>
      <w:r w:rsidRPr="0049492A">
        <w:t>derhållsbehovet. Hyreskontraktet är relativt detaljerat och innehåller en bil</w:t>
      </w:r>
      <w:r w:rsidRPr="0049492A">
        <w:t>a</w:t>
      </w:r>
      <w:r w:rsidRPr="0049492A">
        <w:t>ga med en gränsdragningslista som enbart gäller för Fastighetsverkets och museets förehavanden. I samarbete har parterna gjort en utvecklingsplan om hur byggnaden kan utvecklas. NRM önskar större insyn i hur Fastighetsve</w:t>
      </w:r>
      <w:r w:rsidRPr="0049492A">
        <w:t>r</w:t>
      </w:r>
      <w:r w:rsidRPr="0049492A">
        <w:t>ket gör upphandlingar av drift och underhåll, men vill inte göra någon up</w:t>
      </w:r>
      <w:r w:rsidRPr="0049492A">
        <w:t>p</w:t>
      </w:r>
      <w:r w:rsidRPr="0049492A">
        <w:t>handling själv. Museet skulle också gärna se en redovisning av kostnader för förbrukning av el, värme, vatten, m.m., eftersom det skulle f</w:t>
      </w:r>
      <w:r w:rsidRPr="0049492A">
        <w:t>örstärka museets incitament att minska förbrukningen. Det är svårt att avgöra hur man som hyresgäst kan sänka kostnade</w:t>
      </w:r>
      <w:r w:rsidRPr="0049492A">
        <w:t>r</w:t>
      </w:r>
      <w:r w:rsidRPr="0049492A">
        <w:t xml:space="preserve">na. </w:t>
      </w:r>
    </w:p>
    <w:p w:rsidR="008D3479" w:rsidRPr="0049492A" w:rsidRDefault="008D3479">
      <w:pPr>
        <w:pStyle w:val="Rubrik3-Utannumrering"/>
      </w:pPr>
      <w:bookmarkStart w:id="914" w:name="_Toc514560747"/>
      <w:bookmarkStart w:id="915" w:name="_Toc515247972"/>
      <w:bookmarkStart w:id="916" w:name="_Toc515780822"/>
      <w:bookmarkStart w:id="917" w:name="_Toc515855883"/>
      <w:bookmarkStart w:id="918" w:name="_Toc515855985"/>
      <w:bookmarkStart w:id="919" w:name="_Toc516536433"/>
      <w:bookmarkStart w:id="920" w:name="_Toc516544585"/>
      <w:bookmarkStart w:id="921" w:name="_Toc516545320"/>
      <w:bookmarkStart w:id="922" w:name="_Toc516545453"/>
      <w:bookmarkStart w:id="923" w:name="_Toc523215860"/>
      <w:bookmarkStart w:id="924" w:name="_Toc524062456"/>
      <w:bookmarkStart w:id="925" w:name="_Toc524081085"/>
      <w:bookmarkStart w:id="926" w:name="_Toc524166781"/>
      <w:bookmarkStart w:id="927" w:name="_Toc524168658"/>
      <w:bookmarkStart w:id="928" w:name="_Toc524856383"/>
      <w:bookmarkStart w:id="929" w:name="_Toc524926736"/>
      <w:bookmarkStart w:id="930" w:name="_Toc526147827"/>
      <w:bookmarkStart w:id="931" w:name="_Toc526234305"/>
      <w:r w:rsidRPr="0049492A">
        <w:t>S</w:t>
      </w:r>
      <w:bookmarkEnd w:id="914"/>
      <w:r w:rsidRPr="0049492A">
        <w:t xml:space="preserve">jöhistoriska riksmuseet </w:t>
      </w:r>
      <w:r w:rsidRPr="0049492A">
        <w:rPr>
          <w:rStyle w:val="Fotnotsreferens"/>
          <w:b w:val="0"/>
        </w:rPr>
        <w:footnoteReference w:id="68"/>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rsidR="008D3479" w:rsidRPr="0049492A" w:rsidRDefault="008D3479">
      <w:r w:rsidRPr="0049492A">
        <w:t>Sjöhistoriska riksmuseet har till största delen Statens fastighetsverk till h</w:t>
      </w:r>
      <w:r w:rsidRPr="0049492A">
        <w:t>y</w:t>
      </w:r>
      <w:r w:rsidRPr="0049492A">
        <w:t xml:space="preserve">resvärd. Museibyggnaden på Djurgården är inte en ändamålsfastighet, enligt Sjöhistoriska museets egen uppfattning. Museet övervägde under mitten av 1990-talet att flytta till något nytt och diskuterade detta med Fastighetsverket och Kulturdepartementet. Nyproduktion eller anpassning av annan fastighet skulle medföra en väsentligt högre hyreskostnad än dagens. Det gick därmed inte att få något politiskt stöd för en flyttning. </w:t>
      </w:r>
    </w:p>
    <w:p w:rsidR="008D3479" w:rsidRPr="0049492A" w:rsidRDefault="008D3479">
      <w:pPr>
        <w:pStyle w:val="Normaltindrag"/>
      </w:pPr>
      <w:r w:rsidRPr="0049492A">
        <w:t xml:space="preserve">Kvadratmeterhyran för Sjöhistoriska museet på Djurgården var 587 kr år 1999. Det </w:t>
      </w:r>
      <w:r w:rsidRPr="0049492A">
        <w:t xml:space="preserve">var ca 5 procent mer än 1993/94. </w:t>
      </w:r>
    </w:p>
    <w:p w:rsidR="008D3479" w:rsidRPr="0049492A" w:rsidRDefault="008D3479">
      <w:pPr>
        <w:pStyle w:val="Rubrik4-Utannumrering"/>
      </w:pPr>
      <w:bookmarkStart w:id="932" w:name="_Toc514560748"/>
      <w:bookmarkStart w:id="933" w:name="_Toc524062457"/>
      <w:bookmarkStart w:id="934" w:name="_Toc524081086"/>
      <w:r w:rsidRPr="0049492A">
        <w:t>Hyror</w:t>
      </w:r>
      <w:bookmarkEnd w:id="932"/>
      <w:bookmarkEnd w:id="933"/>
      <w:bookmarkEnd w:id="934"/>
    </w:p>
    <w:p w:rsidR="008D3479" w:rsidRPr="0049492A" w:rsidRDefault="008D3479">
      <w:r w:rsidRPr="0049492A">
        <w:t>Byggnaden är uppförd för verksamheten genom donationspengar, vilket innebär att hyran bygger på kostnader för drift och underhåll och inte inn</w:t>
      </w:r>
      <w:r w:rsidRPr="0049492A">
        <w:t>e</w:t>
      </w:r>
      <w:r w:rsidRPr="0049492A">
        <w:t>håller några kapitalkostnader. Eftersom anslaget är anpassat för den låga hyresnivån är museet bundet till den nuvarande byggnaden och hyresvärden. Om Fastighetsverket skulle tillämpa marknadshyra och anslaget vore anpa</w:t>
      </w:r>
      <w:r w:rsidRPr="0049492A">
        <w:t>s</w:t>
      </w:r>
      <w:r w:rsidRPr="0049492A">
        <w:t xml:space="preserve">sat därefter skulle museet ha större möjlighet att välja en annan hyresvärd, menar Sjöhistoriska museet. I teorin kan Sjöhistoriska museet byta ut alla delar av lokalerna, men anslaget tillåter inte detta. </w:t>
      </w:r>
    </w:p>
    <w:p w:rsidR="008D3479" w:rsidRPr="0049492A" w:rsidRDefault="008D3479">
      <w:pPr>
        <w:pStyle w:val="Rubrik4-Utannumrering"/>
      </w:pPr>
      <w:bookmarkStart w:id="935" w:name="_Toc514560749"/>
      <w:bookmarkStart w:id="936" w:name="_Toc524062458"/>
      <w:bookmarkStart w:id="937" w:name="_Toc524081087"/>
      <w:r w:rsidRPr="0049492A">
        <w:t>Öppen dialog och stöd för verksamheten</w:t>
      </w:r>
      <w:bookmarkEnd w:id="935"/>
      <w:bookmarkEnd w:id="936"/>
      <w:bookmarkEnd w:id="937"/>
    </w:p>
    <w:p w:rsidR="008D3479" w:rsidRPr="0049492A" w:rsidRDefault="008D3479">
      <w:r w:rsidRPr="0049492A">
        <w:t>Sjöhistoriska museet har relativt goda erfarenheter av förhandlingar med Fastighetsverket. Förhandlingarna kan gälla drift och underhåll. Kostnaderna redovisas öppet i balanshyreskontrakt, men inte när marknadshyra ti</w:t>
      </w:r>
      <w:r w:rsidRPr="0049492A">
        <w:t>l</w:t>
      </w:r>
      <w:r w:rsidRPr="0049492A">
        <w:t xml:space="preserve">lämpas. </w:t>
      </w:r>
    </w:p>
    <w:p w:rsidR="008D3479" w:rsidRPr="0049492A" w:rsidRDefault="008D3479">
      <w:pPr>
        <w:pStyle w:val="Normaltindrag"/>
      </w:pPr>
      <w:r w:rsidRPr="0049492A">
        <w:t>Fastighetsverket upplevs delvis som ett stöd för verksamheten, men mus</w:t>
      </w:r>
      <w:r w:rsidRPr="0049492A">
        <w:t>e</w:t>
      </w:r>
      <w:r w:rsidRPr="0049492A">
        <w:t>et framhåller att även privata hyresvärdar agerar för att göra kunden nöjd.</w:t>
      </w:r>
    </w:p>
    <w:p w:rsidR="008D3479" w:rsidRPr="0049492A" w:rsidRDefault="008D3479">
      <w:pPr>
        <w:pStyle w:val="Rubrik4-Utannumrering"/>
      </w:pPr>
      <w:bookmarkStart w:id="938" w:name="_Toc514560750"/>
      <w:bookmarkStart w:id="939" w:name="_Toc524062459"/>
      <w:bookmarkStart w:id="940" w:name="_Toc524081088"/>
      <w:r w:rsidRPr="0049492A">
        <w:t>Fastighetsförvaltning</w:t>
      </w:r>
      <w:bookmarkEnd w:id="938"/>
      <w:bookmarkEnd w:id="939"/>
      <w:bookmarkEnd w:id="940"/>
    </w:p>
    <w:p w:rsidR="008D3479" w:rsidRPr="0049492A" w:rsidRDefault="008D3479">
      <w:r w:rsidRPr="0049492A">
        <w:t>Enligt Sjöhistoriska museet är det inte klart vad som ingår respektive inte ingår i hyrorna. Underhållsplanen är generell och inte specifik för myndi</w:t>
      </w:r>
      <w:r w:rsidRPr="0049492A">
        <w:t>g</w:t>
      </w:r>
      <w:r w:rsidRPr="0049492A">
        <w:t xml:space="preserve">heten. Fastighetsverket säger sig utgå från en standardnivå, men standard är olika för olika typer av myndigheter och fastigheter, menar Sjöhistoriska museet. Fastighetsunderhållet var tidigare presenterat med både åtgärder och kostnader, men det är numera bara åtgärder som presenteras. </w:t>
      </w:r>
    </w:p>
    <w:p w:rsidR="008D3479" w:rsidRPr="0049492A" w:rsidRDefault="008D3479">
      <w:pPr>
        <w:pStyle w:val="Rubrik2-Utannumrering"/>
      </w:pPr>
      <w:bookmarkStart w:id="941" w:name="_Toc514560751"/>
      <w:bookmarkStart w:id="942" w:name="_Toc515247973"/>
      <w:bookmarkStart w:id="943" w:name="_Toc515780823"/>
      <w:bookmarkStart w:id="944" w:name="_Toc515855884"/>
      <w:bookmarkStart w:id="945" w:name="_Toc515855986"/>
      <w:bookmarkStart w:id="946" w:name="_Toc516536434"/>
      <w:bookmarkStart w:id="947" w:name="_Toc516544586"/>
      <w:bookmarkStart w:id="948" w:name="_Toc516545321"/>
      <w:bookmarkStart w:id="949" w:name="_Toc516545454"/>
      <w:bookmarkStart w:id="950" w:name="_Toc523215861"/>
      <w:bookmarkStart w:id="951" w:name="_Toc524062460"/>
      <w:bookmarkStart w:id="952" w:name="_Toc524081089"/>
      <w:bookmarkStart w:id="953" w:name="_Toc524166782"/>
      <w:bookmarkStart w:id="954" w:name="_Toc524168659"/>
      <w:bookmarkStart w:id="955" w:name="_Toc524856384"/>
      <w:bookmarkStart w:id="956" w:name="_Toc524926737"/>
      <w:bookmarkStart w:id="957" w:name="_Toc526147828"/>
      <w:bookmarkStart w:id="958" w:name="_Toc526234306"/>
      <w:bookmarkStart w:id="959" w:name="_Toc532725194"/>
      <w:r w:rsidRPr="0049492A">
        <w:t>Försvarsmakten</w:t>
      </w:r>
      <w:bookmarkEnd w:id="941"/>
      <w:r w:rsidRPr="0049492A">
        <w:t xml:space="preserve"> </w:t>
      </w:r>
      <w:r w:rsidRPr="0049492A">
        <w:rPr>
          <w:rStyle w:val="Fotnotsreferens"/>
          <w:sz w:val="18"/>
        </w:rPr>
        <w:footnoteReference w:id="69"/>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sidRPr="0049492A">
        <w:t xml:space="preserve">  </w:t>
      </w:r>
    </w:p>
    <w:p w:rsidR="008D3479" w:rsidRPr="0049492A" w:rsidRDefault="008D3479">
      <w:pPr>
        <w:pStyle w:val="Rubrik3-Utannumrering"/>
      </w:pPr>
      <w:bookmarkStart w:id="960" w:name="_Toc515247974"/>
      <w:bookmarkStart w:id="961" w:name="_Toc515780824"/>
      <w:bookmarkStart w:id="962" w:name="_Toc515855885"/>
      <w:bookmarkStart w:id="963" w:name="_Toc515855987"/>
      <w:bookmarkStart w:id="964" w:name="_Toc516536435"/>
      <w:bookmarkStart w:id="965" w:name="_Toc516544587"/>
      <w:bookmarkStart w:id="966" w:name="_Toc516545322"/>
      <w:bookmarkStart w:id="967" w:name="_Toc516545455"/>
      <w:bookmarkStart w:id="968" w:name="_Toc523215862"/>
      <w:bookmarkStart w:id="969" w:name="_Toc524062461"/>
      <w:bookmarkStart w:id="970" w:name="_Toc524081090"/>
      <w:bookmarkStart w:id="971" w:name="_Toc524166783"/>
      <w:bookmarkStart w:id="972" w:name="_Toc524168660"/>
      <w:bookmarkStart w:id="973" w:name="_Toc524856385"/>
      <w:bookmarkStart w:id="974" w:name="_Toc524926738"/>
      <w:bookmarkStart w:id="975" w:name="_Toc526147829"/>
      <w:bookmarkStart w:id="976" w:name="_Toc526234307"/>
      <w:r w:rsidRPr="0049492A">
        <w:t>Försvarsmaktens syn på förvaltningen</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rsidR="008D3479" w:rsidRPr="0049492A" w:rsidRDefault="008D3479">
      <w:pPr>
        <w:pStyle w:val="Rubrik4-Utannumrering"/>
      </w:pPr>
      <w:bookmarkStart w:id="977" w:name="_Toc514560755"/>
      <w:bookmarkStart w:id="978" w:name="_Toc524062462"/>
      <w:bookmarkStart w:id="979" w:name="_Toc524081091"/>
      <w:r w:rsidRPr="0049492A">
        <w:t>Hyror</w:t>
      </w:r>
      <w:bookmarkEnd w:id="977"/>
      <w:bookmarkEnd w:id="978"/>
      <w:bookmarkEnd w:id="979"/>
    </w:p>
    <w:p w:rsidR="008D3479" w:rsidRPr="0049492A" w:rsidRDefault="008D3479">
      <w:r w:rsidRPr="0049492A">
        <w:t>Försvarsmakten är inte nöjd med det hyressystem som Fortifikationsverket tillämpar.</w:t>
      </w:r>
      <w:r w:rsidRPr="0049492A">
        <w:rPr>
          <w:rStyle w:val="Fotnotsreferens"/>
        </w:rPr>
        <w:footnoteReference w:id="70"/>
      </w:r>
      <w:r w:rsidRPr="0049492A">
        <w:t xml:space="preserve"> Hyrorna sätts utifrån centralt beräknade kostnader som sedan fördelas på olika objekt. Försvarsmakten vill att hyrorna ska grundas på kostnader för </w:t>
      </w:r>
      <w:r w:rsidRPr="0049492A">
        <w:rPr>
          <w:i/>
        </w:rPr>
        <w:t>enskilda fastigheter</w:t>
      </w:r>
      <w:r w:rsidRPr="0049492A">
        <w:t>. Korrekt satta hyror för varje fastighet skulle möjliggöra långa avtal i stället för dagens ettåriga avtal, anser Fö</w:t>
      </w:r>
      <w:r w:rsidRPr="0049492A">
        <w:t>r</w:t>
      </w:r>
      <w:r w:rsidRPr="0049492A">
        <w:t>svarsma</w:t>
      </w:r>
      <w:r w:rsidRPr="0049492A">
        <w:t>k</w:t>
      </w:r>
      <w:r w:rsidRPr="0049492A">
        <w:t xml:space="preserve">ten. </w:t>
      </w:r>
    </w:p>
    <w:p w:rsidR="008D3479" w:rsidRPr="0049492A" w:rsidRDefault="008D3479">
      <w:pPr>
        <w:pStyle w:val="Rubrik4-Utannumrering"/>
      </w:pPr>
      <w:bookmarkStart w:id="980" w:name="_Toc514560756"/>
      <w:bookmarkStart w:id="981" w:name="_Toc524062463"/>
      <w:bookmarkStart w:id="982" w:name="_Toc524081092"/>
      <w:r w:rsidRPr="0049492A">
        <w:t>Fastighetsförvaltning</w:t>
      </w:r>
      <w:bookmarkEnd w:id="980"/>
      <w:bookmarkEnd w:id="981"/>
      <w:bookmarkEnd w:id="982"/>
    </w:p>
    <w:p w:rsidR="008D3479" w:rsidRPr="0049492A" w:rsidRDefault="008D3479">
      <w:r w:rsidRPr="0049492A">
        <w:t>Försvarsmakten anser också att underhållsplanerna är otillräckliga. De är alltför övergripande och finns inte för enskilda objekt, vilket leder till disp</w:t>
      </w:r>
      <w:r w:rsidRPr="0049492A">
        <w:t>y</w:t>
      </w:r>
      <w:r w:rsidRPr="0049492A">
        <w:t>ter kring vilka åtgärder som ingår i hyran och inte. Gränsen mellan vad som är en investering och vad som är en underhållsåtgärd behöver förtydligas, eftersom den får konsekvenser för vem som är betalningsansvarig. Frånsett detta fungerar fastighetsskötseln bra, anser Försvarsmaktens fastighetsavde</w:t>
      </w:r>
      <w:r w:rsidRPr="0049492A">
        <w:t>l</w:t>
      </w:r>
      <w:r w:rsidRPr="0049492A">
        <w:t xml:space="preserve">ning. </w:t>
      </w:r>
    </w:p>
    <w:p w:rsidR="008D3479" w:rsidRPr="0049492A" w:rsidRDefault="008D3479">
      <w:pPr>
        <w:pStyle w:val="Rubrik4-Utannumrering"/>
      </w:pPr>
      <w:bookmarkStart w:id="983" w:name="_Toc514560757"/>
      <w:bookmarkStart w:id="984" w:name="_Toc524062464"/>
      <w:bookmarkStart w:id="985" w:name="_Toc524081093"/>
      <w:r w:rsidRPr="0049492A">
        <w:t>Öppen dialog</w:t>
      </w:r>
      <w:bookmarkEnd w:id="983"/>
      <w:bookmarkEnd w:id="984"/>
      <w:bookmarkEnd w:id="985"/>
      <w:r w:rsidRPr="0049492A">
        <w:t xml:space="preserve">               </w:t>
      </w:r>
    </w:p>
    <w:p w:rsidR="008D3479" w:rsidRPr="0049492A" w:rsidRDefault="008D3479">
      <w:r w:rsidRPr="0049492A">
        <w:t>Förhandlingarna mellan Försvarsmakten och Fortifikationsverket sker på olika nivåer. Den årliga procentförändringen av hyran förhandlas fram cen</w:t>
      </w:r>
      <w:r w:rsidRPr="0049492A">
        <w:t>t</w:t>
      </w:r>
      <w:r w:rsidRPr="0049492A">
        <w:t xml:space="preserve">ralt, medan regionala fastighets- och anläggningskontor förhandlar kring lokala avtal. Uppräkning av kostnader för drift och administration är en central fråga i förhandlingarna. Kapitalkostnader upptar däremot inte stor plats i förhandlingarna, eftersom dessa är politiskt beslutade och grundar sig på bokfört värde. </w:t>
      </w:r>
    </w:p>
    <w:p w:rsidR="008D3479" w:rsidRPr="0049492A" w:rsidRDefault="008D3479">
      <w:pPr>
        <w:pStyle w:val="Normaltindrag"/>
      </w:pPr>
      <w:r w:rsidRPr="0049492A">
        <w:t xml:space="preserve">Försvarsmakten upplever inte att lokalkostnaderna går att påverka genom förhandlingar. </w:t>
      </w:r>
    </w:p>
    <w:p w:rsidR="008D3479" w:rsidRPr="0049492A" w:rsidRDefault="008D3479">
      <w:pPr>
        <w:pStyle w:val="Normaltindrag"/>
      </w:pPr>
      <w:r w:rsidRPr="0049492A">
        <w:t xml:space="preserve">Försvarsmakten har också kritiska synpunkter på Fortifikationsverkets kundanpassning. Kundundersökningen som Fortifikationsverket är ålagt att göra för att mäta hur nöjda hyresgästerna är mäter bara fastighetsskötsel och inte åsikter kring det ekonomiska systemet. Från centralt håll i Försvars-makten anser man att enkäten inte är helt rättvisande genom att den enbart besvaras av folk som är långt ute i organisationen. </w:t>
      </w:r>
    </w:p>
    <w:p w:rsidR="008D3479" w:rsidRPr="0049492A" w:rsidRDefault="008D3479">
      <w:pPr>
        <w:pStyle w:val="Rubrik4-Utannumrering"/>
      </w:pPr>
      <w:bookmarkStart w:id="986" w:name="_Toc514560758"/>
      <w:bookmarkStart w:id="987" w:name="_Toc524062465"/>
      <w:bookmarkStart w:id="988" w:name="_Toc524081094"/>
      <w:r w:rsidRPr="0049492A">
        <w:t>Ny hyresmodell</w:t>
      </w:r>
      <w:bookmarkEnd w:id="986"/>
      <w:bookmarkEnd w:id="987"/>
      <w:bookmarkEnd w:id="988"/>
    </w:p>
    <w:p w:rsidR="008D3479" w:rsidRPr="0049492A" w:rsidRDefault="008D3479">
      <w:r w:rsidRPr="0049492A">
        <w:t>Fortifikationsverkets förslag på ny hyresmodell möts med blandade reakti</w:t>
      </w:r>
      <w:r w:rsidRPr="0049492A">
        <w:t>o</w:t>
      </w:r>
      <w:r w:rsidRPr="0049492A">
        <w:t>ner från Försvarsmakten. Längre hyreskontrakt som motsvarar hela avskri</w:t>
      </w:r>
      <w:r w:rsidRPr="0049492A">
        <w:t>v</w:t>
      </w:r>
      <w:r w:rsidRPr="0049492A">
        <w:t xml:space="preserve">ningstiden och att hyran anpassas efter nyttjandevärdet möter inget motstånd, men eftersom Försvarsmakten vill ha en hyra baserad på verkliga kostnader är man kritisk till att endast totalhyran ska redovisas. </w:t>
      </w:r>
      <w:bookmarkStart w:id="989" w:name="_Toc514560759"/>
    </w:p>
    <w:p w:rsidR="008D3479" w:rsidRPr="0049492A" w:rsidRDefault="008D3479">
      <w:pPr>
        <w:pStyle w:val="Rubrik2-Utannumrering"/>
      </w:pPr>
      <w:bookmarkStart w:id="990" w:name="_Toc515247975"/>
      <w:bookmarkStart w:id="991" w:name="_Toc515780825"/>
      <w:bookmarkStart w:id="992" w:name="_Toc515855886"/>
      <w:bookmarkStart w:id="993" w:name="_Toc515855988"/>
      <w:bookmarkStart w:id="994" w:name="_Toc516536436"/>
      <w:bookmarkStart w:id="995" w:name="_Toc516544588"/>
      <w:bookmarkStart w:id="996" w:name="_Toc516545323"/>
      <w:bookmarkStart w:id="997" w:name="_Toc516545456"/>
      <w:bookmarkStart w:id="998" w:name="_Toc523215863"/>
      <w:bookmarkStart w:id="999" w:name="_Toc524062466"/>
      <w:bookmarkStart w:id="1000" w:name="_Toc524081095"/>
      <w:bookmarkStart w:id="1001" w:name="_Toc524166784"/>
      <w:bookmarkStart w:id="1002" w:name="_Toc524168661"/>
      <w:bookmarkStart w:id="1003" w:name="_Toc524856386"/>
      <w:bookmarkStart w:id="1004" w:name="_Toc524926739"/>
      <w:bookmarkStart w:id="1005" w:name="_Toc526147830"/>
      <w:bookmarkStart w:id="1006" w:name="_Toc526234308"/>
      <w:bookmarkStart w:id="1007" w:name="_Toc532725195"/>
      <w:r w:rsidRPr="0049492A">
        <w:t>Universitet och högskolor</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rsidR="008D3479" w:rsidRPr="0049492A" w:rsidRDefault="008D3479">
      <w:r w:rsidRPr="0049492A">
        <w:t>Akademiska Hus har ofta en monopolliknande ställning och det begränsar lärosätenas möjligheter att pressa lokalhyrorna, konstaterar en utredning som gjorts om högskolans styrning.</w:t>
      </w:r>
      <w:r w:rsidRPr="0049492A">
        <w:rPr>
          <w:rStyle w:val="Fotnotsreferens"/>
        </w:rPr>
        <w:footnoteReference w:id="71"/>
      </w:r>
      <w:r w:rsidRPr="0049492A">
        <w:t xml:space="preserve"> Akademiska Hus förvaltade 70 procent av den totala lokalyta som universitet och högskolor hyrde år 1997. Lokaler ägda av Akademiska Hus genererade då 72 procent av universitetens och högskolornas hyreskostnader. Lokalkostnaderna stod år 1999 för 14 procent av deras totala kostnader. </w:t>
      </w:r>
    </w:p>
    <w:p w:rsidR="008D3479" w:rsidRPr="0049492A" w:rsidRDefault="008D3479">
      <w:pPr>
        <w:pStyle w:val="Normaltindrag"/>
      </w:pPr>
      <w:r w:rsidRPr="0049492A">
        <w:t xml:space="preserve">Universitetens och högskolornas lokalförsörjning är mycket varierande mellan lärosäten. Det genomsnittliga antalet hyresvärdar per lärosäte är ca 17 stycken, men konkurrenterna till Akademiska Hus är relativt små och delar på </w:t>
      </w:r>
      <w:r w:rsidRPr="0049492A">
        <w:t>30 procent av högskolo</w:t>
      </w:r>
      <w:r w:rsidRPr="0049492A">
        <w:t>r</w:t>
      </w:r>
      <w:r w:rsidRPr="0049492A">
        <w:t xml:space="preserve">nas lokaler. </w:t>
      </w:r>
    </w:p>
    <w:p w:rsidR="008D3479" w:rsidRPr="0049492A" w:rsidRDefault="008D3479">
      <w:pPr>
        <w:pStyle w:val="Normaltindrag"/>
      </w:pPr>
      <w:r w:rsidRPr="0049492A">
        <w:t>Systemet för lokalförsörjningen betraktas generellt som positivt bland un</w:t>
      </w:r>
      <w:r w:rsidRPr="0049492A">
        <w:t>i</w:t>
      </w:r>
      <w:r w:rsidRPr="0049492A">
        <w:t>versitet och högskolor, visar en enkätundersökning i utredningen om hö</w:t>
      </w:r>
      <w:r w:rsidRPr="0049492A">
        <w:t>g</w:t>
      </w:r>
      <w:r w:rsidRPr="0049492A">
        <w:t xml:space="preserve">skolans styrning. Lärosätena har hög uppfattning om Akademiska Hus som hyresvärd. </w:t>
      </w:r>
    </w:p>
    <w:p w:rsidR="008D3479" w:rsidRPr="0049492A" w:rsidRDefault="008D3479">
      <w:pPr>
        <w:pStyle w:val="Normaltindrag"/>
      </w:pPr>
      <w:r w:rsidRPr="0049492A">
        <w:t>Ett problem är dock att systemet inte är transparent och att förhandlingarna förs utifrån oklara förutsättningar, enligt utredningen. Det orsakar merarbete och försämrade relationer. Lärosätena ägnar mycket tid åt Akademiska Hus hyressättnings- och avtalsprinciper samt avkastning, eftersom alternativen till Akademiska Hus ofta är begränsade. Balanshyran s</w:t>
      </w:r>
      <w:r w:rsidRPr="0049492A">
        <w:t>om tillämpas innebär att hyran jämnas ut över tid för det enskilda objektet. Grunden för hyran sedd över en längre tidsperiod är otydlig för hyresgästen, eftersom Akademiska Hus inte redovisar de värden olika byggnader är invärderade till och vilka avskrivningar som gjorts. Den bristande transparensen leder till besvärliga diskussioner och förhandlingar, konstateras i utredningen.</w:t>
      </w:r>
      <w:r w:rsidRPr="0049492A">
        <w:rPr>
          <w:rStyle w:val="Fotnotsreferens"/>
        </w:rPr>
        <w:footnoteReference w:id="72"/>
      </w:r>
      <w:r w:rsidRPr="0049492A">
        <w:t xml:space="preserve"> </w:t>
      </w:r>
    </w:p>
    <w:p w:rsidR="008D3479" w:rsidRPr="0049492A" w:rsidRDefault="008D3479">
      <w:pPr>
        <w:pStyle w:val="Rubrik3-Utannumrering"/>
      </w:pPr>
      <w:bookmarkStart w:id="1008" w:name="_Toc514560760"/>
      <w:bookmarkStart w:id="1009" w:name="_Toc515247976"/>
      <w:bookmarkStart w:id="1010" w:name="_Toc515780826"/>
      <w:bookmarkStart w:id="1011" w:name="_Toc515855887"/>
      <w:bookmarkStart w:id="1012" w:name="_Toc515855989"/>
      <w:bookmarkStart w:id="1013" w:name="_Toc516536437"/>
      <w:bookmarkStart w:id="1014" w:name="_Toc516544589"/>
      <w:bookmarkStart w:id="1015" w:name="_Toc516545324"/>
      <w:bookmarkStart w:id="1016" w:name="_Toc516545457"/>
      <w:bookmarkStart w:id="1017" w:name="_Toc523215864"/>
      <w:bookmarkStart w:id="1018" w:name="_Toc524062467"/>
      <w:bookmarkStart w:id="1019" w:name="_Toc524081096"/>
      <w:bookmarkStart w:id="1020" w:name="_Toc524166785"/>
      <w:bookmarkStart w:id="1021" w:name="_Toc524168662"/>
      <w:bookmarkStart w:id="1022" w:name="_Toc524856387"/>
      <w:bookmarkStart w:id="1023" w:name="_Toc524926740"/>
      <w:bookmarkStart w:id="1024" w:name="_Toc526147831"/>
      <w:bookmarkStart w:id="1025" w:name="_Toc526234309"/>
      <w:r w:rsidRPr="0049492A">
        <w:t>Södertörns högskola</w:t>
      </w:r>
      <w:bookmarkEnd w:id="1008"/>
      <w:r w:rsidRPr="0049492A">
        <w:t xml:space="preserve"> </w:t>
      </w:r>
      <w:r w:rsidRPr="0049492A">
        <w:rPr>
          <w:rStyle w:val="Fotnotsreferens"/>
          <w:b w:val="0"/>
        </w:rPr>
        <w:footnoteReference w:id="73"/>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8D3479" w:rsidRPr="0049492A" w:rsidRDefault="008D3479">
      <w:r w:rsidRPr="0049492A">
        <w:t>Södertörn är en högskola under uppbyggnad och expansion. Första terminen var hösten 1996. År 2000 var ca 8 000 studenter registrerade, och man räknar med en expansion på minst 500 studenter per år. Högskolan bedriver sin verksamhet på tre orter i södra Stockholm: Flemingsberg där huvuddelen ligger, Haninge och Södertälje. Akademiska Hus är en av hyresvärdarna. Ungefär 45 procent av hyreskostnaderna går till Akademiska Hus. Högsk</w:t>
      </w:r>
      <w:r w:rsidRPr="0049492A">
        <w:t>o</w:t>
      </w:r>
      <w:r w:rsidRPr="0049492A">
        <w:t>lan hyr även lokaler av ett par privata fastighetsägare, av Botkyrka och S</w:t>
      </w:r>
      <w:r w:rsidRPr="0049492A">
        <w:t>ö</w:t>
      </w:r>
      <w:r w:rsidRPr="0049492A">
        <w:t xml:space="preserve">dertälje kommun samt av en stiftelse som bildats för Södertörns högskolas räkning.  </w:t>
      </w:r>
    </w:p>
    <w:p w:rsidR="008D3479" w:rsidRPr="0049492A" w:rsidRDefault="008D3479">
      <w:pPr>
        <w:pStyle w:val="Rubrik4-Utannumrering"/>
      </w:pPr>
      <w:bookmarkStart w:id="1026" w:name="_Toc514560761"/>
      <w:bookmarkStart w:id="1027" w:name="_Toc524062468"/>
      <w:bookmarkStart w:id="1028" w:name="_Toc524081097"/>
      <w:r w:rsidRPr="0049492A">
        <w:t>Hyror</w:t>
      </w:r>
      <w:bookmarkEnd w:id="1026"/>
      <w:bookmarkEnd w:id="1027"/>
      <w:bookmarkEnd w:id="1028"/>
    </w:p>
    <w:p w:rsidR="008D3479" w:rsidRPr="0049492A" w:rsidRDefault="008D3479">
      <w:r w:rsidRPr="0049492A">
        <w:t>Akademiska Hus äger en del mark på campusområdet och en del av lokale</w:t>
      </w:r>
      <w:r w:rsidRPr="0049492A">
        <w:t>r</w:t>
      </w:r>
      <w:r w:rsidRPr="0049492A">
        <w:t>na. Under den första uppbyggnadsfasen anlitade högskolan delvis Akad</w:t>
      </w:r>
      <w:r w:rsidRPr="0049492A">
        <w:t>e</w:t>
      </w:r>
      <w:r w:rsidRPr="0049492A">
        <w:t>miska Hus som byggherre, eftersom bolaget hade lämplig mark och ansågs vara det mest professionella och snabba alternativet. För dessa nybyggnati</w:t>
      </w:r>
      <w:r w:rsidRPr="0049492A">
        <w:t>o</w:t>
      </w:r>
      <w:r w:rsidRPr="0049492A">
        <w:t>ner tillämpar Akademiska Hus kostnadshyra. Vid förhandlingar om hyran framförde högskolan önskemål om att få behålla kostnadshyra även efter den första avtalsperioden på 15 år. Investeringarna skulle då vara avbetalda och högskolan ansåg det rimligt att då få betala en lägre kostnadshyra. Det a</w:t>
      </w:r>
      <w:r w:rsidRPr="0049492A">
        <w:t>c</w:t>
      </w:r>
      <w:r w:rsidRPr="0049492A">
        <w:t xml:space="preserve">cepterade inte Akademiska Hus som vill marknadsanpassa hyran. </w:t>
      </w:r>
    </w:p>
    <w:p w:rsidR="008D3479" w:rsidRPr="0049492A" w:rsidRDefault="008D3479">
      <w:pPr>
        <w:pStyle w:val="Rubrik4-Utannumrering"/>
      </w:pPr>
      <w:bookmarkStart w:id="1029" w:name="_Toc514560762"/>
      <w:bookmarkStart w:id="1030" w:name="_Toc524062469"/>
      <w:bookmarkStart w:id="1031" w:name="_Toc524081098"/>
      <w:r w:rsidRPr="0049492A">
        <w:t>Öppen dialog</w:t>
      </w:r>
      <w:bookmarkEnd w:id="1029"/>
      <w:bookmarkEnd w:id="1030"/>
      <w:bookmarkEnd w:id="1031"/>
    </w:p>
    <w:p w:rsidR="008D3479" w:rsidRPr="0049492A" w:rsidRDefault="008D3479">
      <w:r w:rsidRPr="0049492A">
        <w:t>Södertörns högskola anser att förhandlingarna med Akademiska Hus fung</w:t>
      </w:r>
      <w:r w:rsidRPr="0049492A">
        <w:t>e</w:t>
      </w:r>
      <w:r w:rsidRPr="0049492A">
        <w:t>rar relativt bra. Byggkostnaderna och upphandlingar från bolagets sida har redovisats öppet. Den del av hyran som utgör kapitalkostnader är dock inte förhandlingsbar. Drifts- och underhållskostnader är utanför högskolans ko</w:t>
      </w:r>
      <w:r w:rsidRPr="0049492A">
        <w:t>m</w:t>
      </w:r>
      <w:r w:rsidRPr="0049492A">
        <w:t>petensområde, och högskolan har därför inte tagit upp dessa i förhan</w:t>
      </w:r>
      <w:r w:rsidRPr="0049492A">
        <w:t>d</w:t>
      </w:r>
      <w:r w:rsidRPr="0049492A">
        <w:t xml:space="preserve">lingar. </w:t>
      </w:r>
    </w:p>
    <w:p w:rsidR="008D3479" w:rsidRPr="0049492A" w:rsidRDefault="008D3479">
      <w:pPr>
        <w:pStyle w:val="Rubrik4-Utannumrering"/>
      </w:pPr>
      <w:bookmarkStart w:id="1032" w:name="_Toc514560763"/>
      <w:bookmarkStart w:id="1033" w:name="_Toc524062470"/>
      <w:bookmarkStart w:id="1034" w:name="_Toc524081099"/>
      <w:r w:rsidRPr="0049492A">
        <w:t>Fastighetsförvaltning</w:t>
      </w:r>
      <w:bookmarkEnd w:id="1032"/>
      <w:bookmarkEnd w:id="1033"/>
      <w:bookmarkEnd w:id="1034"/>
    </w:p>
    <w:p w:rsidR="008D3479" w:rsidRPr="0049492A" w:rsidRDefault="008D3479">
      <w:r w:rsidRPr="0049492A">
        <w:t>Södertörn upplever att Akademiska Hus har väldigt liten riskbenägenhet. Bolaget vill gardera sig mot tomma hus genom långa kontrakt eller höga hyror för kortare kontrakt. Långa kontrakt strider mot riksdagens önskan att behålla styrmöjligheter. Kontrakten har listor som tydliggör vem som är ansvarig för vad i förvaltningen. Underhållsplaner finns också upprättade, men på grund av tids- och kompetensbrist har inte högskolan medverkat i framtagningen av underhållsplane</w:t>
      </w:r>
      <w:r w:rsidRPr="0049492A">
        <w:t>r</w:t>
      </w:r>
      <w:r w:rsidRPr="0049492A">
        <w:t xml:space="preserve">na. </w:t>
      </w:r>
    </w:p>
    <w:p w:rsidR="008D3479" w:rsidRPr="0049492A" w:rsidRDefault="008D3479">
      <w:pPr>
        <w:pStyle w:val="Normaltindrag"/>
      </w:pPr>
      <w:r w:rsidRPr="0049492A">
        <w:t>Förvaltningen fungerar tillfredsställande, enligt Södertörns högskola. I</w:t>
      </w:r>
      <w:r w:rsidRPr="0049492A">
        <w:t>n</w:t>
      </w:r>
      <w:r w:rsidRPr="0049492A">
        <w:t>trimningsproblem förekommer i vissa lokaler, men bolaget har agerat för att lösa probl</w:t>
      </w:r>
      <w:r w:rsidRPr="0049492A">
        <w:t>e</w:t>
      </w:r>
      <w:r w:rsidRPr="0049492A">
        <w:t xml:space="preserve">men. </w:t>
      </w:r>
    </w:p>
    <w:p w:rsidR="008D3479" w:rsidRPr="0049492A" w:rsidRDefault="008D3479">
      <w:pPr>
        <w:pStyle w:val="Rubrik3-Utannumrering"/>
      </w:pPr>
      <w:bookmarkStart w:id="1035" w:name="_Toc514560764"/>
      <w:bookmarkStart w:id="1036" w:name="_Toc515247977"/>
      <w:bookmarkStart w:id="1037" w:name="_Toc515780827"/>
      <w:bookmarkStart w:id="1038" w:name="_Toc515855888"/>
      <w:bookmarkStart w:id="1039" w:name="_Toc515855990"/>
      <w:bookmarkStart w:id="1040" w:name="_Toc516536438"/>
      <w:bookmarkStart w:id="1041" w:name="_Toc516544590"/>
      <w:bookmarkStart w:id="1042" w:name="_Toc516545325"/>
      <w:bookmarkStart w:id="1043" w:name="_Toc516545458"/>
      <w:bookmarkStart w:id="1044" w:name="_Toc523215865"/>
      <w:bookmarkStart w:id="1045" w:name="_Toc524062471"/>
      <w:bookmarkStart w:id="1046" w:name="_Toc524081100"/>
      <w:bookmarkStart w:id="1047" w:name="_Toc524166786"/>
      <w:bookmarkStart w:id="1048" w:name="_Toc524168663"/>
      <w:bookmarkStart w:id="1049" w:name="_Toc524856388"/>
      <w:bookmarkStart w:id="1050" w:name="_Toc524926741"/>
      <w:bookmarkStart w:id="1051" w:name="_Toc526147832"/>
      <w:bookmarkStart w:id="1052" w:name="_Toc526234310"/>
      <w:r w:rsidRPr="0049492A">
        <w:t>Lunds universitet</w:t>
      </w:r>
      <w:bookmarkEnd w:id="1035"/>
      <w:r w:rsidRPr="0049492A">
        <w:t xml:space="preserve"> </w:t>
      </w:r>
      <w:r w:rsidRPr="0049492A">
        <w:rPr>
          <w:rStyle w:val="Fotnotsreferens"/>
          <w:b w:val="0"/>
        </w:rPr>
        <w:footnoteReference w:id="74"/>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49492A">
        <w:t xml:space="preserve"> </w:t>
      </w:r>
    </w:p>
    <w:p w:rsidR="008D3479" w:rsidRPr="0049492A" w:rsidRDefault="008D3479">
      <w:r w:rsidRPr="0049492A">
        <w:t>Lunds universitet har ett ovanligt brett register av utbildning och forskning vilket bidrar till att dess fastighetsbestånd är väldigt blandat. Nya och gamla fastigheter, moderna högteknologiska laboratorier, gamla kulturhistoriska byggnader och kontorslokaler ingår i beståndet. Akademiska Hus äger ma</w:t>
      </w:r>
      <w:r w:rsidRPr="0049492A">
        <w:t>r</w:t>
      </w:r>
      <w:r w:rsidRPr="0049492A">
        <w:t>ken i hela universitetsområdet i centrala Lund. Universitetet vill gärna ko</w:t>
      </w:r>
      <w:r w:rsidRPr="0049492A">
        <w:t>m</w:t>
      </w:r>
      <w:r w:rsidRPr="0049492A">
        <w:t>ma över mer mark och därigenom alternativa hyresvärdar men det är svårt. Man förhandlar med kommunen om det men bebyggelsen runt universitetet är tät, och det är svårt att hitta alternativ. Forskningsbyn Ideon ligger i u</w:t>
      </w:r>
      <w:r w:rsidRPr="0049492A">
        <w:t>t</w:t>
      </w:r>
      <w:r w:rsidRPr="0049492A">
        <w:t>kanten av Akademiska Hus område, och där hyr universitetet av två privata fastighetsbolag. Situationen är annorlunda i Helsingborg, Aneby och Malmö där universitetet också bedriver verksamhet. Där finns fler altern</w:t>
      </w:r>
      <w:r w:rsidRPr="0049492A">
        <w:t>ativ till Akad</w:t>
      </w:r>
      <w:r w:rsidRPr="0049492A">
        <w:t>e</w:t>
      </w:r>
      <w:r w:rsidRPr="0049492A">
        <w:t xml:space="preserve">miska Hus som hyresvärd. </w:t>
      </w:r>
    </w:p>
    <w:p w:rsidR="008D3479" w:rsidRPr="0049492A" w:rsidRDefault="008D3479">
      <w:pPr>
        <w:pStyle w:val="Normaltindrag"/>
      </w:pPr>
      <w:r w:rsidRPr="0049492A">
        <w:t>Akademiska Hus är den största hyresvärden, nästan 75 procent av de totala hyreskostnaderna går till Akademiska Hus. Universitetet hyr också av St</w:t>
      </w:r>
      <w:r w:rsidRPr="0049492A">
        <w:t>a</w:t>
      </w:r>
      <w:r w:rsidRPr="0049492A">
        <w:t xml:space="preserve">tens fastighetsverk, kommunala bolag, stiftelser och privata bolag. Statens fastighetsverk förvaltar de kulturhistoriska byggnaderna och fastigheter där donationspengar är inblandade. </w:t>
      </w:r>
    </w:p>
    <w:p w:rsidR="008D3479" w:rsidRPr="0049492A" w:rsidRDefault="008D3479">
      <w:pPr>
        <w:pStyle w:val="Rubrik4-Utannumrering"/>
      </w:pPr>
      <w:bookmarkStart w:id="1053" w:name="_Toc514560766"/>
      <w:bookmarkStart w:id="1054" w:name="_Toc524062472"/>
      <w:bookmarkStart w:id="1055" w:name="_Toc524081101"/>
      <w:r w:rsidRPr="0049492A">
        <w:t>Hyror</w:t>
      </w:r>
      <w:bookmarkEnd w:id="1053"/>
      <w:bookmarkEnd w:id="1054"/>
      <w:bookmarkEnd w:id="1055"/>
    </w:p>
    <w:p w:rsidR="008D3479" w:rsidRPr="0049492A" w:rsidRDefault="008D3479">
      <w:r w:rsidRPr="0049492A">
        <w:t>Lunds universitet anser att hyrorna är för höga. Det beror enligt universitetets uppfattning på att bolaget har en monopolliknande ställning och att de bedr</w:t>
      </w:r>
      <w:r w:rsidRPr="0049492A">
        <w:t>i</w:t>
      </w:r>
      <w:r w:rsidRPr="0049492A">
        <w:t xml:space="preserve">ver en omfattande fastighetsförvaltning med höga kostnader. </w:t>
      </w:r>
    </w:p>
    <w:p w:rsidR="008D3479" w:rsidRPr="0049492A" w:rsidRDefault="008D3479">
      <w:pPr>
        <w:pStyle w:val="Normaltindrag"/>
      </w:pPr>
      <w:r w:rsidRPr="0049492A">
        <w:t>Universitetet förutser att Akademiska Hus vinster kommer att öka kraftigt i framtiden som en följd av bolagets expansion av nybyggen där balanshyre</w:t>
      </w:r>
      <w:r w:rsidRPr="0049492A">
        <w:t>s</w:t>
      </w:r>
      <w:r w:rsidRPr="0049492A">
        <w:t>modellen tillämpas. Balanshyresmodellen innebär att kostnaderna för räntor och byggkostnader ligger i början av perioden och sedan avtar. Senare inv</w:t>
      </w:r>
      <w:r w:rsidRPr="0049492A">
        <w:t>e</w:t>
      </w:r>
      <w:r w:rsidRPr="0049492A">
        <w:t>steringskostnader finansieras genom påläggshyra. Underhållskostnaderna är relativt låga för nybyggen, vilket gör att vinsterna kommer att bli stora. All</w:t>
      </w:r>
      <w:r w:rsidRPr="0049492A">
        <w:t>t</w:t>
      </w:r>
      <w:r w:rsidRPr="0049492A">
        <w:t>för stora vinster innebär ett trovärdighetsproblem för hyresmodellen, anser Lunds universitet. Enligt universitetet är Akademiska Hus ett bolag, vars alla risker är eliminerade och vars alla kostnader fullstän</w:t>
      </w:r>
      <w:r w:rsidRPr="0049492A">
        <w:t xml:space="preserve">digt hamnar hos kunden. Pressen på kostnaderna är svag eftersom hyresgästen står för alla kostnader och inte kan flytta. </w:t>
      </w:r>
    </w:p>
    <w:p w:rsidR="008D3479" w:rsidRPr="0049492A" w:rsidRDefault="008D3479">
      <w:pPr>
        <w:pStyle w:val="Rubrik4-Utannumrering"/>
      </w:pPr>
      <w:bookmarkStart w:id="1056" w:name="_Toc514560767"/>
      <w:bookmarkStart w:id="1057" w:name="_Toc524062473"/>
      <w:bookmarkStart w:id="1058" w:name="_Toc524081102"/>
      <w:r w:rsidRPr="0049492A">
        <w:t>Öppen dialog och stöd för verksamheten</w:t>
      </w:r>
      <w:bookmarkEnd w:id="1056"/>
      <w:bookmarkEnd w:id="1057"/>
      <w:bookmarkEnd w:id="1058"/>
    </w:p>
    <w:p w:rsidR="008D3479" w:rsidRPr="0049492A" w:rsidRDefault="008D3479">
      <w:r w:rsidRPr="0049492A">
        <w:t xml:space="preserve">Universitetet har hittills inte förhandlat om sina kontrakt som skrevs med Akademiska Hus efter reformen. Kontrakten som då skrevs löper till år 2003 och 2006. Förhandlingar har dock hållits kring om-, till- och nybyggnader som bolaget utfört sedan dess. Kontrakten och kostnaderna förhandlas om vid dessa tillfällen. </w:t>
      </w:r>
    </w:p>
    <w:p w:rsidR="008D3479" w:rsidRPr="0049492A" w:rsidRDefault="008D3479">
      <w:pPr>
        <w:pStyle w:val="Normaltindrag"/>
      </w:pPr>
      <w:r w:rsidRPr="0049492A">
        <w:t>Lunds universitets erfarenhet är att Akademiska Hus är ovilligt att ge sig in i byggprojekt och att de koncentrerar sig på den del av uppdraget som inn</w:t>
      </w:r>
      <w:r w:rsidRPr="0049492A">
        <w:t>e</w:t>
      </w:r>
      <w:r w:rsidRPr="0049492A">
        <w:t>bär att de ska äga och förvalta byggnader. Bolaget driver inga byggfrågor, universitetet får anlita konsulter för att ta fram byggförslag långt mer än vad som är fallet med privata fastighetsbolag. En tydlig skillnad mellan en privat fastighetsvärd och Akademiska Hus är att en privat är mer villig att anpassa sig efter kundens önskemål, enligt universitetets erfarenheter. Akademiska Hus vill ha en slutkostnadsuppgörelse, dvs. att ett projekts kostnader inte fastslås förrän det är avslutat. Enligt Lunds uni</w:t>
      </w:r>
      <w:r w:rsidRPr="0049492A">
        <w:t xml:space="preserve">versitet innebär det att bolaget har svaga incitament att hålla nere kostnaderna. I vissa fall har universitetet fått igenom en slutkostnadskalkyl med incitament inbyggda. </w:t>
      </w:r>
    </w:p>
    <w:p w:rsidR="008D3479" w:rsidRPr="0049492A" w:rsidRDefault="008D3479">
      <w:pPr>
        <w:pStyle w:val="Rubrik4-Utannumrering"/>
      </w:pPr>
      <w:bookmarkStart w:id="1059" w:name="_Toc514560768"/>
      <w:bookmarkStart w:id="1060" w:name="_Toc524062474"/>
      <w:bookmarkStart w:id="1061" w:name="_Toc524081103"/>
      <w:r w:rsidRPr="0049492A">
        <w:t>Fastighetsförvaltning</w:t>
      </w:r>
      <w:bookmarkEnd w:id="1059"/>
      <w:bookmarkEnd w:id="1060"/>
      <w:bookmarkEnd w:id="1061"/>
    </w:p>
    <w:p w:rsidR="008D3479" w:rsidRPr="0049492A" w:rsidRDefault="008D3479">
      <w:r w:rsidRPr="0049492A">
        <w:t xml:space="preserve">Listor över ansvarsfördelning finns upprättade för varje avtal, ofta specifikt för en viss fastighet. Det är tydliggjort vilket ansvar som ligger på bolaget, men universitetet upplever att det ofta är bolagets perspektiv som får avgöra vad som behöver göras och när något inte fungerar. </w:t>
      </w:r>
    </w:p>
    <w:p w:rsidR="008D3479" w:rsidRPr="0049492A" w:rsidRDefault="008D3479">
      <w:pPr>
        <w:pStyle w:val="Normaltindrag"/>
      </w:pPr>
      <w:r w:rsidRPr="0049492A">
        <w:t>Som helhet fungerar förvaltningen mycket bra, anser universitetet. Det skulle emellertid vara bättre om universitetet självt fick förvalta fastighete</w:t>
      </w:r>
      <w:r w:rsidRPr="0049492A">
        <w:t>r</w:t>
      </w:r>
      <w:r w:rsidRPr="0049492A">
        <w:t>na, menar universitetets byggnadsavdelning. Risken för att underhåll skulle eftersättas kan regleras genom ekonomiska krav och ansvar på universitet</w:t>
      </w:r>
      <w:r w:rsidRPr="0049492A">
        <w:t>s</w:t>
      </w:r>
      <w:r w:rsidRPr="0049492A">
        <w:t>styrelsen. För vissa typer av fastigheter skulle universitetet kanske välja Akademiska Hus även om det fanns alternativ, men i dag har bolaget även monopol på enkla funktioner som läsplatser, restauranger och allt annat som ligger på marken som Akademiska Hus äger. Det mest väsentliga är därför att Akademiska Hus markmonopol bryts, anser un</w:t>
      </w:r>
      <w:r w:rsidRPr="0049492A">
        <w:t>i</w:t>
      </w:r>
      <w:r w:rsidRPr="0049492A">
        <w:t xml:space="preserve">versitetet. </w:t>
      </w:r>
    </w:p>
    <w:p w:rsidR="008D3479" w:rsidRPr="0049492A" w:rsidRDefault="008D3479">
      <w:pPr>
        <w:pStyle w:val="Rubrik3-Utannumrering"/>
      </w:pPr>
      <w:bookmarkStart w:id="1062" w:name="_Toc514560769"/>
      <w:bookmarkStart w:id="1063" w:name="_Toc515247978"/>
      <w:bookmarkStart w:id="1064" w:name="_Toc515780828"/>
      <w:bookmarkStart w:id="1065" w:name="_Toc515855889"/>
      <w:bookmarkStart w:id="1066" w:name="_Toc515855991"/>
      <w:bookmarkStart w:id="1067" w:name="_Toc516536439"/>
      <w:bookmarkStart w:id="1068" w:name="_Toc516544591"/>
      <w:bookmarkStart w:id="1069" w:name="_Toc516545326"/>
      <w:bookmarkStart w:id="1070" w:name="_Toc516545459"/>
      <w:bookmarkStart w:id="1071" w:name="_Toc523215866"/>
      <w:bookmarkStart w:id="1072" w:name="_Toc524062475"/>
      <w:bookmarkStart w:id="1073" w:name="_Toc524081104"/>
      <w:bookmarkStart w:id="1074" w:name="_Toc524166787"/>
      <w:bookmarkStart w:id="1075" w:name="_Toc524168664"/>
      <w:bookmarkStart w:id="1076" w:name="_Toc524856389"/>
      <w:bookmarkStart w:id="1077" w:name="_Toc524926742"/>
      <w:bookmarkStart w:id="1078" w:name="_Toc526147833"/>
      <w:bookmarkStart w:id="1079" w:name="_Toc526234311"/>
      <w:r w:rsidRPr="0049492A">
        <w:t>Kungli</w:t>
      </w:r>
      <w:r w:rsidRPr="0049492A">
        <w:t>ga Tekniska Högskolan</w:t>
      </w:r>
      <w:bookmarkEnd w:id="1062"/>
      <w:r w:rsidRPr="0049492A">
        <w:t xml:space="preserve"> </w:t>
      </w:r>
      <w:r w:rsidRPr="0049492A">
        <w:rPr>
          <w:rStyle w:val="Fotnotsreferens"/>
          <w:b w:val="0"/>
        </w:rPr>
        <w:footnoteReference w:id="75"/>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rsidR="008D3479" w:rsidRPr="0049492A" w:rsidRDefault="008D3479">
      <w:r w:rsidRPr="0049492A">
        <w:t>Kungliga Tekniska Högskolan, KTH, har huvuddelen av sitt fastighetsb</w:t>
      </w:r>
      <w:r w:rsidRPr="0049492A">
        <w:t>e</w:t>
      </w:r>
      <w:r w:rsidRPr="0049492A">
        <w:t>stånd på campus, centralt beläget i Stockholm. Ungefär en tredjedel av fa</w:t>
      </w:r>
      <w:r w:rsidRPr="0049492A">
        <w:t>s</w:t>
      </w:r>
      <w:r w:rsidRPr="0049492A">
        <w:t>tigheterna finns i Haninge, Södertälje och Kista. En övervägande del av fastigheterna är ändamålsanpassade som undervisningslokaler och laborat</w:t>
      </w:r>
      <w:r w:rsidRPr="0049492A">
        <w:t>o</w:t>
      </w:r>
      <w:r w:rsidRPr="0049492A">
        <w:t xml:space="preserve">rier. Akademiska Hus är hyresvärd i ca 80 procent av fastigheterna och så gott som i allt på campusområdet. I Haninge och Södertälje har högskolan privata och kommunala fastighetsvärdar. </w:t>
      </w:r>
    </w:p>
    <w:p w:rsidR="008D3479" w:rsidRPr="0049492A" w:rsidRDefault="008D3479">
      <w:pPr>
        <w:pStyle w:val="Normaltindrag"/>
      </w:pPr>
      <w:r w:rsidRPr="0049492A">
        <w:t>KTH har ett internt prissättningssystem av lokalerna. Hyresförhandlingar och avtalstecknande sker central</w:t>
      </w:r>
      <w:r w:rsidRPr="0049492A">
        <w:t xml:space="preserve">t, men institutionerna betalar en hyra för sina lokaler. </w:t>
      </w:r>
    </w:p>
    <w:p w:rsidR="008D3479" w:rsidRPr="0049492A" w:rsidRDefault="008D3479">
      <w:pPr>
        <w:pStyle w:val="Normaltindrag"/>
      </w:pPr>
      <w:r w:rsidRPr="0049492A">
        <w:t>Ungefär hälften av KTH:s intäkter är statsanslag, återstoden härrör från  externa finansiärer. Under 1990-talet har lokalkostnaderna utvecklats snab</w:t>
      </w:r>
      <w:r w:rsidRPr="0049492A">
        <w:t>b</w:t>
      </w:r>
      <w:r w:rsidRPr="0049492A">
        <w:t>are än statsanslagen, hävdar KTH, vilket får negativa konsekvenser för ver</w:t>
      </w:r>
      <w:r w:rsidRPr="0049492A">
        <w:t>k</w:t>
      </w:r>
      <w:r w:rsidRPr="0049492A">
        <w:t>samh</w:t>
      </w:r>
      <w:r w:rsidRPr="0049492A">
        <w:t>e</w:t>
      </w:r>
      <w:r w:rsidRPr="0049492A">
        <w:t xml:space="preserve">ten. </w:t>
      </w:r>
    </w:p>
    <w:p w:rsidR="008D3479" w:rsidRPr="0049492A" w:rsidRDefault="008D3479">
      <w:pPr>
        <w:pStyle w:val="Rubrik4-Utannumrering"/>
      </w:pPr>
      <w:bookmarkStart w:id="1080" w:name="_Toc514560770"/>
      <w:bookmarkStart w:id="1081" w:name="_Toc524062476"/>
      <w:bookmarkStart w:id="1082" w:name="_Toc524081105"/>
      <w:r w:rsidRPr="0049492A">
        <w:t>Hyror</w:t>
      </w:r>
      <w:bookmarkEnd w:id="1080"/>
      <w:bookmarkEnd w:id="1081"/>
      <w:bookmarkEnd w:id="1082"/>
    </w:p>
    <w:p w:rsidR="008D3479" w:rsidRPr="0049492A" w:rsidRDefault="008D3479">
      <w:r w:rsidRPr="0049492A">
        <w:t>I en skrivelse som KTH och Chalmers tekniska högskola riktat till Finansd</w:t>
      </w:r>
      <w:r w:rsidRPr="0049492A">
        <w:t>e</w:t>
      </w:r>
      <w:r w:rsidRPr="0049492A">
        <w:t>partementet</w:t>
      </w:r>
      <w:r w:rsidRPr="0049492A">
        <w:rPr>
          <w:rStyle w:val="Fotnotsreferens"/>
        </w:rPr>
        <w:footnoteReference w:id="76"/>
      </w:r>
      <w:r w:rsidRPr="0049492A">
        <w:t xml:space="preserve"> hänvisar högskolan till de av staten fastlagda riktlinjerna för fastighetsförvaltning och föreslår en ny hyressättningsprincip för högskolo</w:t>
      </w:r>
      <w:r w:rsidRPr="0049492A">
        <w:t>r</w:t>
      </w:r>
      <w:r w:rsidRPr="0049492A">
        <w:t>na. De föreslår att hyrorna ska vara kostnadsbaserade och inte marknadsa</w:t>
      </w:r>
      <w:r w:rsidRPr="0049492A">
        <w:t>n</w:t>
      </w:r>
      <w:r w:rsidRPr="0049492A">
        <w:t>passade eftersom universitetens möjligheter att skaffa lämpliga alternativ är kraftigt begränsade. Enligt förslaget ska lokalerna kunna hyras av Akad</w:t>
      </w:r>
      <w:r w:rsidRPr="0049492A">
        <w:t>e</w:t>
      </w:r>
      <w:r w:rsidRPr="0049492A">
        <w:t>miska Hus för långa hyrestider. Full insyn och en öppen dialog mellan pa</w:t>
      </w:r>
      <w:r w:rsidRPr="0049492A">
        <w:t>r</w:t>
      </w:r>
      <w:r w:rsidRPr="0049492A">
        <w:t>terna bör ligga till grund för hyresdiskussione</w:t>
      </w:r>
      <w:r w:rsidRPr="0049492A">
        <w:t>r</w:t>
      </w:r>
      <w:r w:rsidRPr="0049492A">
        <w:t xml:space="preserve">na. </w:t>
      </w:r>
    </w:p>
    <w:p w:rsidR="008D3479" w:rsidRPr="0049492A" w:rsidRDefault="008D3479">
      <w:pPr>
        <w:pStyle w:val="Rubrik4-Utannumrering"/>
      </w:pPr>
      <w:bookmarkStart w:id="1083" w:name="_Toc514560771"/>
      <w:bookmarkStart w:id="1084" w:name="_Toc524062477"/>
      <w:bookmarkStart w:id="1085" w:name="_Toc524081106"/>
      <w:r w:rsidRPr="0049492A">
        <w:t xml:space="preserve">Öppen dialog och stöd </w:t>
      </w:r>
      <w:r w:rsidRPr="0049492A">
        <w:t>för verksamheten</w:t>
      </w:r>
      <w:bookmarkEnd w:id="1083"/>
      <w:bookmarkEnd w:id="1084"/>
      <w:bookmarkEnd w:id="1085"/>
    </w:p>
    <w:p w:rsidR="008D3479" w:rsidRPr="0049492A" w:rsidRDefault="008D3479">
      <w:r w:rsidRPr="0049492A">
        <w:t xml:space="preserve">KTH anser att Akademiska Hus roll är otydlig. Affärsrelationen störs av fastighetsägarens monopolställning. Bolaget ska samtidigt agera som ett stöd för verksamheten, vilket gör relationen mellan parterna otydlig. En renodlad marknadssituation utan monopolföretag skulle vara att föredra, enligt KTH. </w:t>
      </w:r>
    </w:p>
    <w:p w:rsidR="008D3479" w:rsidRPr="0049492A" w:rsidRDefault="008D3479">
      <w:pPr>
        <w:pStyle w:val="Normaltindrag"/>
      </w:pPr>
      <w:r w:rsidRPr="0049492A">
        <w:t>Förhandlingar med Akademiska Hus pågår kontinuerligt eftersom ko</w:t>
      </w:r>
      <w:r w:rsidRPr="0049492A">
        <w:t>n</w:t>
      </w:r>
      <w:r w:rsidRPr="0049492A">
        <w:t>trakten har olika löptider och ska omförhandlas vid olika tillfällen. Enligt KTH så är parternas utgångspunkter vitt åtskilda vid förhandlingarnas inle</w:t>
      </w:r>
      <w:r w:rsidRPr="0049492A">
        <w:t>d</w:t>
      </w:r>
      <w:r w:rsidRPr="0049492A">
        <w:t>ning. Konflikter uppstår följaktligen ofta. KTH argumenterar för kostnadsh</w:t>
      </w:r>
      <w:r w:rsidRPr="0049492A">
        <w:t>y</w:t>
      </w:r>
      <w:r w:rsidRPr="0049492A">
        <w:t>ra och Akademiska Hus för marknadshyra. De hyresbud som dessa olika utgångspunkter ger upphov till skiljer sig väsentligt. Resultatet hamnar va</w:t>
      </w:r>
      <w:r w:rsidRPr="0049492A">
        <w:t>n</w:t>
      </w:r>
      <w:r w:rsidRPr="0049492A">
        <w:t>ligen någonstans mittemellan de första buden. Jämfört med marknadshyran för kontorslokaler i området har KTH relativt låg hyra. Drift och un</w:t>
      </w:r>
      <w:r w:rsidRPr="0049492A">
        <w:t>derhåll upptar inte stor del av fö</w:t>
      </w:r>
      <w:r w:rsidRPr="0049492A">
        <w:t>r</w:t>
      </w:r>
      <w:r w:rsidRPr="0049492A">
        <w:t xml:space="preserve">handlingarna. </w:t>
      </w:r>
    </w:p>
    <w:p w:rsidR="008D3479" w:rsidRPr="0049492A" w:rsidRDefault="008D3479">
      <w:pPr>
        <w:pStyle w:val="Normaltindrag"/>
      </w:pPr>
      <w:r w:rsidRPr="0049492A">
        <w:t>Öppenheten från Akademiska Hus sida är mycket bristfällig, enligt KTH:s erfarenheter. Akademiska Hus redovisar inte fastigheternas bokförda värden och inte kostnaderna för drift och underhåll, trots att högskolan efterfrågat dessa uppgifter. Privata fastighetsbolag är mer öppna i redovisning av hyre</w:t>
      </w:r>
      <w:r w:rsidRPr="0049492A">
        <w:t>s</w:t>
      </w:r>
      <w:r w:rsidRPr="0049492A">
        <w:t>unde</w:t>
      </w:r>
      <w:r w:rsidRPr="0049492A">
        <w:t>r</w:t>
      </w:r>
      <w:r w:rsidRPr="0049492A">
        <w:t xml:space="preserve">lag, enligt KTH. </w:t>
      </w:r>
    </w:p>
    <w:p w:rsidR="008D3479" w:rsidRPr="0049492A" w:rsidRDefault="008D3479">
      <w:pPr>
        <w:pStyle w:val="Rubrik4-Utannumrering"/>
      </w:pPr>
      <w:bookmarkStart w:id="1086" w:name="_Toc514560772"/>
      <w:bookmarkStart w:id="1087" w:name="_Toc524062478"/>
      <w:bookmarkStart w:id="1088" w:name="_Toc524081107"/>
      <w:r w:rsidRPr="0049492A">
        <w:t>Fastighetsförvaltning</w:t>
      </w:r>
      <w:bookmarkEnd w:id="1086"/>
      <w:bookmarkEnd w:id="1087"/>
      <w:bookmarkEnd w:id="1088"/>
    </w:p>
    <w:p w:rsidR="008D3479" w:rsidRPr="0049492A" w:rsidRDefault="008D3479">
      <w:r w:rsidRPr="0049492A">
        <w:t>Förvaltningen av fastigheterna fungerar tillfredsställande. I KTH:s fall är förvaltningen som Akademiska Hus står för något dyrare och sämre än övr</w:t>
      </w:r>
      <w:r w:rsidRPr="0049492A">
        <w:t>i</w:t>
      </w:r>
      <w:r w:rsidRPr="0049492A">
        <w:t xml:space="preserve">ga fastighetsvärdar, men skillnaden är inte betydande och anses inte vara en konsekvens av systemet. Ansvaret för olika drifts- och underhållsåtgärder är specificerat. Konflikter kring ansvarsfördelningen kan visserligen uppstå i vissa fall, men som helhet fungerar det bra. </w:t>
      </w:r>
    </w:p>
    <w:p w:rsidR="008D3479" w:rsidRPr="0049492A" w:rsidRDefault="008D3479">
      <w:pPr>
        <w:pStyle w:val="Normaltindrag"/>
      </w:pPr>
      <w:r w:rsidRPr="0049492A">
        <w:t>Det är ett strategiskt mål från KTH:s sida att minska beroendet av Akad</w:t>
      </w:r>
      <w:r w:rsidRPr="0049492A">
        <w:t>e</w:t>
      </w:r>
      <w:r w:rsidRPr="0049492A">
        <w:t>miska Hus som hyresvärd. Det finns emellertid begränsade möjligheter att göra det. Det beror dels på att fastigheterna är ändamålsanpassade, dels på att verksamheten är förknippad med campusområdet på Valhallavägen där hö</w:t>
      </w:r>
      <w:r w:rsidRPr="0049492A">
        <w:t>g</w:t>
      </w:r>
      <w:r w:rsidRPr="0049492A">
        <w:t>skolan legat sedan 1930-talet. Delar av lokalerna på campus har dock sagts upp, och man har expanderat på andra orter där alternativa h</w:t>
      </w:r>
      <w:r w:rsidRPr="0049492A">
        <w:t>y</w:t>
      </w:r>
      <w:r w:rsidRPr="0049492A">
        <w:t xml:space="preserve">resvärdar finns. </w:t>
      </w:r>
    </w:p>
    <w:p w:rsidR="008D3479" w:rsidRPr="0049492A" w:rsidRDefault="008D3479">
      <w:pPr>
        <w:pStyle w:val="Rubrik2-Utannumrering"/>
      </w:pPr>
      <w:bookmarkStart w:id="1089" w:name="_Toc514560773"/>
      <w:bookmarkStart w:id="1090" w:name="_Toc515247979"/>
      <w:bookmarkStart w:id="1091" w:name="_Toc515780829"/>
      <w:bookmarkStart w:id="1092" w:name="_Toc515855890"/>
      <w:bookmarkStart w:id="1093" w:name="_Toc515855992"/>
      <w:bookmarkStart w:id="1094" w:name="_Toc516536440"/>
      <w:bookmarkStart w:id="1095" w:name="_Toc516544592"/>
      <w:bookmarkStart w:id="1096" w:name="_Toc516545327"/>
      <w:bookmarkStart w:id="1097" w:name="_Toc516545460"/>
      <w:bookmarkStart w:id="1098" w:name="_Toc523215867"/>
      <w:bookmarkStart w:id="1099" w:name="_Toc524062479"/>
      <w:bookmarkStart w:id="1100" w:name="_Toc524081108"/>
      <w:bookmarkStart w:id="1101" w:name="_Toc524166788"/>
      <w:bookmarkStart w:id="1102" w:name="_Toc524168665"/>
      <w:bookmarkStart w:id="1103" w:name="_Toc524856390"/>
      <w:bookmarkStart w:id="1104" w:name="_Toc524926743"/>
      <w:bookmarkStart w:id="1105" w:name="_Toc526147834"/>
      <w:bookmarkStart w:id="1106" w:name="_Toc526234312"/>
      <w:bookmarkStart w:id="1107" w:name="_Toc532725196"/>
      <w:r w:rsidRPr="0049492A">
        <w:t>Statens institutionsstyrelse</w:t>
      </w:r>
      <w:bookmarkEnd w:id="1089"/>
      <w:r w:rsidRPr="0049492A">
        <w:t xml:space="preserve"> </w:t>
      </w:r>
      <w:r w:rsidRPr="0049492A">
        <w:rPr>
          <w:rStyle w:val="Fotnotsreferens"/>
          <w:sz w:val="18"/>
        </w:rPr>
        <w:footnoteReference w:id="77"/>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rsidR="008D3479" w:rsidRPr="0049492A" w:rsidRDefault="008D3479">
      <w:r w:rsidRPr="0049492A">
        <w:t>Statens institutionsstyrelse (SiS) är en statlig myndighet som ansvarar för vård och behandling på landets LVM-hem (lagen om vård av missbrukare i vissa fall) och särskilda ungdomshem. I regel sker behandlingen utan sa</w:t>
      </w:r>
      <w:r w:rsidRPr="0049492A">
        <w:t>m</w:t>
      </w:r>
      <w:r w:rsidRPr="0049492A">
        <w:t>tycke från den som vårdas, vilket ställer stora krav både på insatsernas kv</w:t>
      </w:r>
      <w:r w:rsidRPr="0049492A">
        <w:t>a</w:t>
      </w:r>
      <w:r w:rsidRPr="0049492A">
        <w:t>litet och på lokalernas kvalitet och säkerhet. Verksamheten omfattar ca 15 LVM-hem och 32 särskilda ungdomshem. Fastighetsbeståndet har en geogr</w:t>
      </w:r>
      <w:r w:rsidRPr="0049492A">
        <w:t>a</w:t>
      </w:r>
      <w:r w:rsidRPr="0049492A">
        <w:t>fisk spridning över hela landet. Med undantag av några vårdinstitutioner på sjukhusområden är fastigheterna belägna utanför tätorter. I första hand består fastighetsbeståndet av vårdinstitutioner som är specialanpassade för ver</w:t>
      </w:r>
      <w:r w:rsidRPr="0049492A">
        <w:t>k</w:t>
      </w:r>
      <w:r w:rsidRPr="0049492A">
        <w:t xml:space="preserve">samheten. </w:t>
      </w:r>
    </w:p>
    <w:p w:rsidR="008D3479" w:rsidRPr="0049492A" w:rsidRDefault="008D3479">
      <w:pPr>
        <w:pStyle w:val="Normaltindrag"/>
      </w:pPr>
      <w:r w:rsidRPr="0049492A">
        <w:t xml:space="preserve">Lokalförsörjningen sker centralt inom myndigheten; </w:t>
      </w:r>
      <w:r w:rsidRPr="0049492A">
        <w:t xml:space="preserve">där tecknas kontrakt och fattas beslut om utbyggnader och nyinvesteringar. Man tillämpar inte något internhyressystem, och kostnaderna för vård och lokaler är åtskilda i den interna budgeten. </w:t>
      </w:r>
    </w:p>
    <w:p w:rsidR="008D3479" w:rsidRPr="0049492A" w:rsidRDefault="008D3479">
      <w:pPr>
        <w:pStyle w:val="Normaltindrag"/>
      </w:pPr>
      <w:r w:rsidRPr="0049492A">
        <w:t>Specialfastigheter är hyresvärd för ca 80 -85 procent av SiS fastigheter. Privata värdar, landsting och kommuner är hyresvärdar för återstoden, vilket främst är fastigheter inom den öppna verksamheten. Alternativen till Specia</w:t>
      </w:r>
      <w:r w:rsidRPr="0049492A">
        <w:t>l</w:t>
      </w:r>
      <w:r w:rsidRPr="0049492A">
        <w:t>fastigheter som hyresvärd är mycket begränsade, enligt SiS. Specialfasti</w:t>
      </w:r>
      <w:r w:rsidRPr="0049492A">
        <w:t>g</w:t>
      </w:r>
      <w:r w:rsidRPr="0049492A">
        <w:t>heter menar att det alltid finns konkurrens vid nybyggnationer, men det hå</w:t>
      </w:r>
      <w:r w:rsidRPr="0049492A">
        <w:t>l</w:t>
      </w:r>
      <w:r w:rsidRPr="0049492A">
        <w:t>ler inte SiS med om. Det kräver alltför stora resurser för SiS att göra riktiga projekteringar, vilket är nödvändigt för att anlita någon annan byg</w:t>
      </w:r>
      <w:r w:rsidRPr="0049492A">
        <w:t>g</w:t>
      </w:r>
      <w:r w:rsidRPr="0049492A">
        <w:t xml:space="preserve">herre. </w:t>
      </w:r>
    </w:p>
    <w:p w:rsidR="008D3479" w:rsidRPr="0049492A" w:rsidRDefault="008D3479">
      <w:pPr>
        <w:pStyle w:val="Rubrik4-Utannumrering"/>
      </w:pPr>
      <w:bookmarkStart w:id="1108" w:name="_Toc514560774"/>
      <w:bookmarkStart w:id="1109" w:name="_Toc524062480"/>
      <w:bookmarkStart w:id="1110" w:name="_Toc524081109"/>
      <w:r w:rsidRPr="0049492A">
        <w:t>Hyror</w:t>
      </w:r>
      <w:bookmarkEnd w:id="1108"/>
      <w:bookmarkEnd w:id="1109"/>
      <w:bookmarkEnd w:id="1110"/>
    </w:p>
    <w:p w:rsidR="008D3479" w:rsidRPr="0049492A" w:rsidRDefault="008D3479">
      <w:r w:rsidRPr="0049492A">
        <w:t>SiS uppfattning är att systemet för hyressättning skulle fungera bättre om relationen var mellan två myndigheter i stället för mellan ett bolag och en myndighet, eftersom parterna då skulle vara mer jämställda. Avkastning</w:t>
      </w:r>
      <w:r w:rsidRPr="0049492A">
        <w:t>s</w:t>
      </w:r>
      <w:r w:rsidRPr="0049492A">
        <w:t>kravet på fastigheterna är obefogat enligt myndighetens uppfattning, efte</w:t>
      </w:r>
      <w:r w:rsidRPr="0049492A">
        <w:t>r</w:t>
      </w:r>
      <w:r w:rsidRPr="0049492A">
        <w:t>som det inte finns någon alternativ användning för dem. Lönsamhetskravet på bolaget skapar ett motsatsförhållande mellan parterna som inte gynnar ver</w:t>
      </w:r>
      <w:r w:rsidRPr="0049492A">
        <w:t>k</w:t>
      </w:r>
      <w:r w:rsidRPr="0049492A">
        <w:t xml:space="preserve">samheten. </w:t>
      </w:r>
    </w:p>
    <w:p w:rsidR="008D3479" w:rsidRPr="0049492A" w:rsidRDefault="008D3479">
      <w:pPr>
        <w:pStyle w:val="Normaltindrag"/>
      </w:pPr>
      <w:r w:rsidRPr="0049492A">
        <w:t>Möjligheterna att påverka hyrorna är små för SiS. Flexibiliteten i loka</w:t>
      </w:r>
      <w:r w:rsidRPr="0049492A">
        <w:t>l</w:t>
      </w:r>
      <w:r w:rsidRPr="0049492A">
        <w:t>kostnaderna är också relativt liten genom de långa kontrakten. Kortare ko</w:t>
      </w:r>
      <w:r w:rsidRPr="0049492A">
        <w:t>n</w:t>
      </w:r>
      <w:r w:rsidRPr="0049492A">
        <w:t>trakt skulle visserligen öka flexibiliteten men också medföra högre loka</w:t>
      </w:r>
      <w:r w:rsidRPr="0049492A">
        <w:t>l</w:t>
      </w:r>
      <w:r w:rsidRPr="0049492A">
        <w:t>kostnader som följd av Specialfastigheters låga riskbenägenhet.</w:t>
      </w:r>
    </w:p>
    <w:p w:rsidR="008D3479" w:rsidRPr="0049492A" w:rsidRDefault="008D3479">
      <w:pPr>
        <w:pStyle w:val="Rubrik4-Utannumrering"/>
      </w:pPr>
      <w:bookmarkStart w:id="1111" w:name="_Toc514560775"/>
      <w:bookmarkStart w:id="1112" w:name="_Toc524062481"/>
      <w:bookmarkStart w:id="1113" w:name="_Toc524081110"/>
      <w:r w:rsidRPr="0049492A">
        <w:t>Öppen dialog och stöd för verksamheten</w:t>
      </w:r>
      <w:bookmarkEnd w:id="1111"/>
      <w:bookmarkEnd w:id="1112"/>
      <w:bookmarkEnd w:id="1113"/>
    </w:p>
    <w:p w:rsidR="008D3479" w:rsidRPr="0049492A" w:rsidRDefault="008D3479">
      <w:r w:rsidRPr="0049492A">
        <w:t>Enligt Statens institutionsstyrelses erfarenheter är insynen i hur hyrorna sätts god och kostnaderna redovisas öppet. SiS menar dock att det är svårt att kontrollera kostnadernas relevans. Förhandlingarna med Specialfastigheter gäller nivån på grundhyran som fastställs i femtonåriga kontrakt. Inför varje ombyggnad förhandlas om hyrespåslag. Den beroendesituation SiS befinner sig i på grund av ett stort behov av utökade lokaler bidrar till att myndigheten har en svag förhandlingsposition jämfört med hyresvä</w:t>
      </w:r>
      <w:r w:rsidRPr="0049492A">
        <w:t xml:space="preserve">rden, menar SiS. </w:t>
      </w:r>
    </w:p>
    <w:p w:rsidR="008D3479" w:rsidRPr="0049492A" w:rsidRDefault="008D3479">
      <w:pPr>
        <w:pStyle w:val="Normaltindrag"/>
      </w:pPr>
      <w:r w:rsidRPr="0049492A">
        <w:t>Specialfastigheter kan i vissa avseenden sägas utgöra ett stöd för verksa</w:t>
      </w:r>
      <w:r w:rsidRPr="0049492A">
        <w:t>m</w:t>
      </w:r>
      <w:r w:rsidRPr="0049492A">
        <w:t>heten, enligt SiS uppfattning. De är samarbetsvilliga och tar hänsyn till ver</w:t>
      </w:r>
      <w:r w:rsidRPr="0049492A">
        <w:t>k</w:t>
      </w:r>
      <w:r w:rsidRPr="0049492A">
        <w:t>samheten. SiS anser emellertid att eget ägande och förvaltande av fastigh</w:t>
      </w:r>
      <w:r w:rsidRPr="0049492A">
        <w:t>e</w:t>
      </w:r>
      <w:r w:rsidRPr="0049492A">
        <w:t>terna skulle vara att föredra. Samtidigt är man inte säker på att egen förval</w:t>
      </w:r>
      <w:r w:rsidRPr="0049492A">
        <w:t>t</w:t>
      </w:r>
      <w:r w:rsidRPr="0049492A">
        <w:t xml:space="preserve">ning verkligen skulle innebära lägre kostnader, i synnerhet gällande större projekt. </w:t>
      </w:r>
    </w:p>
    <w:p w:rsidR="008D3479" w:rsidRPr="0049492A" w:rsidRDefault="008D3479">
      <w:pPr>
        <w:pStyle w:val="Rubrik4-Utannumrering"/>
      </w:pPr>
      <w:r w:rsidRPr="0049492A">
        <w:t xml:space="preserve"> </w:t>
      </w:r>
      <w:bookmarkStart w:id="1114" w:name="_Toc514560776"/>
      <w:bookmarkStart w:id="1115" w:name="_Toc524062482"/>
      <w:bookmarkStart w:id="1116" w:name="_Toc524081111"/>
      <w:r w:rsidRPr="0049492A">
        <w:t>Fastighetsförvaltning</w:t>
      </w:r>
      <w:bookmarkEnd w:id="1114"/>
      <w:bookmarkEnd w:id="1115"/>
      <w:bookmarkEnd w:id="1116"/>
    </w:p>
    <w:p w:rsidR="008D3479" w:rsidRPr="0049492A" w:rsidRDefault="008D3479">
      <w:r w:rsidRPr="0049492A">
        <w:t>Enligt SiS uppfattning är Specialfastigheter professionella fastighetsförvalt</w:t>
      </w:r>
      <w:r w:rsidRPr="0049492A">
        <w:t>a</w:t>
      </w:r>
      <w:r w:rsidRPr="0049492A">
        <w:t>re, men de satsar för mycket på kvalitet och för lite på kvantitet i förhållande till hyresgästens behov. Underhållsinsatserna är väl omfattande i förhållande till fastigheternas ekonomiska livslängd, anser SiS.</w:t>
      </w:r>
    </w:p>
    <w:p w:rsidR="008D3479" w:rsidRPr="0049492A" w:rsidRDefault="008D3479">
      <w:pPr>
        <w:pStyle w:val="Normaltindrag"/>
      </w:pPr>
      <w:r w:rsidRPr="0049492A">
        <w:t>Ansvaret för drift och underhåll är reglerat och specificerat på ett accept</w:t>
      </w:r>
      <w:r w:rsidRPr="0049492A">
        <w:t>a</w:t>
      </w:r>
      <w:r w:rsidRPr="0049492A">
        <w:t>belt sätt. Driften sköter SiS själv eftersom det passar in som en del av ver</w:t>
      </w:r>
      <w:r w:rsidRPr="0049492A">
        <w:t>k</w:t>
      </w:r>
      <w:r w:rsidRPr="0049492A">
        <w:t xml:space="preserve">samheten. </w:t>
      </w:r>
    </w:p>
    <w:p w:rsidR="008D3479" w:rsidRPr="0049492A" w:rsidRDefault="008D3479">
      <w:pPr>
        <w:pStyle w:val="Rubrik2-Utannumrering"/>
      </w:pPr>
      <w:bookmarkStart w:id="1117" w:name="_Toc514560777"/>
      <w:bookmarkStart w:id="1118" w:name="_Toc515247980"/>
      <w:bookmarkStart w:id="1119" w:name="_Toc515780830"/>
      <w:bookmarkStart w:id="1120" w:name="_Toc515855891"/>
      <w:bookmarkStart w:id="1121" w:name="_Toc515855993"/>
      <w:bookmarkStart w:id="1122" w:name="_Toc516536441"/>
      <w:bookmarkStart w:id="1123" w:name="_Toc516544593"/>
      <w:bookmarkStart w:id="1124" w:name="_Toc516545328"/>
      <w:bookmarkStart w:id="1125" w:name="_Toc516545461"/>
      <w:bookmarkStart w:id="1126" w:name="_Toc523215868"/>
      <w:bookmarkStart w:id="1127" w:name="_Toc524062483"/>
      <w:bookmarkStart w:id="1128" w:name="_Toc524081112"/>
      <w:bookmarkStart w:id="1129" w:name="_Toc524166789"/>
      <w:bookmarkStart w:id="1130" w:name="_Toc524168666"/>
      <w:bookmarkStart w:id="1131" w:name="_Toc524856391"/>
      <w:bookmarkStart w:id="1132" w:name="_Toc524926744"/>
      <w:bookmarkStart w:id="1133" w:name="_Toc526147835"/>
      <w:bookmarkStart w:id="1134" w:name="_Toc526234313"/>
      <w:bookmarkStart w:id="1135" w:name="_Toc532725197"/>
      <w:r w:rsidRPr="0049492A">
        <w:t>Kriminalvårdsstyrelsen</w:t>
      </w:r>
      <w:bookmarkEnd w:id="1117"/>
      <w:r w:rsidRPr="0049492A">
        <w:t xml:space="preserve"> </w:t>
      </w:r>
      <w:r w:rsidRPr="0049492A">
        <w:rPr>
          <w:rStyle w:val="Fotnotsreferens"/>
          <w:sz w:val="18"/>
        </w:rPr>
        <w:footnoteReference w:id="78"/>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49492A">
        <w:rPr>
          <w:sz w:val="18"/>
        </w:rPr>
        <w:t xml:space="preserve"> </w:t>
      </w:r>
    </w:p>
    <w:p w:rsidR="008D3479" w:rsidRPr="0049492A" w:rsidRDefault="008D3479">
      <w:r w:rsidRPr="0049492A">
        <w:t>Kriminalvårdsstyrelsen är en myndighet inom rättsväsendet med den öve</w:t>
      </w:r>
      <w:r w:rsidRPr="0049492A">
        <w:t>r</w:t>
      </w:r>
      <w:r w:rsidRPr="0049492A">
        <w:t xml:space="preserve">gripande uppgiften att arbeta för minskad brottslighet och ökad trygghet i samhället. Myndigheten verkställer fängelsestraff och frihetsberövanden. Fastighetsbeståndet är geografiskt utspritt över hela landet och består till en övervägande del av specialanpassade fastigheter. (Ca 10 -15 procent kan sägas vara generella lokaler.) </w:t>
      </w:r>
    </w:p>
    <w:p w:rsidR="008D3479" w:rsidRPr="0049492A" w:rsidRDefault="008D3479">
      <w:pPr>
        <w:pStyle w:val="Normaltindrag"/>
      </w:pPr>
      <w:r w:rsidRPr="0049492A">
        <w:t xml:space="preserve">Ansvaret för lokalförsörjning för häkten och anstalter är centralt, medan ansvaret för generella lokaler är decentraliserat. </w:t>
      </w:r>
    </w:p>
    <w:p w:rsidR="008D3479" w:rsidRPr="0049492A" w:rsidRDefault="008D3479">
      <w:pPr>
        <w:pStyle w:val="Normaltindrag"/>
      </w:pPr>
      <w:r w:rsidRPr="0049492A">
        <w:t>Alternativ till Specialfastigheter som hyresvärd finns vid nybyggnad av en anstalt, men inte annars, enligt Kriminalvårdsstyrelsens uppfattning. My</w:t>
      </w:r>
      <w:r w:rsidRPr="0049492A">
        <w:t>n</w:t>
      </w:r>
      <w:r w:rsidRPr="0049492A">
        <w:t>digheten anser vidare att förhandlingar med bolaget fungerar bra och att det finns möjligheter att påverka förhandlingarnas utfall angående hyresnivå, drift och underhåll. Kriminalvårdsstyrelsen har svårt att påverka sina loka</w:t>
      </w:r>
      <w:r w:rsidRPr="0049492A">
        <w:t>l</w:t>
      </w:r>
      <w:r w:rsidRPr="0049492A">
        <w:t>kostnader. Flexibiliteten är liten vad det gäller de specialanpassade fastigh</w:t>
      </w:r>
      <w:r w:rsidRPr="0049492A">
        <w:t>e</w:t>
      </w:r>
      <w:r w:rsidRPr="0049492A">
        <w:t>terna. Kriminalvårdsstyrelsen anser att Specialfastigheters fastighetsförval</w:t>
      </w:r>
      <w:r w:rsidRPr="0049492A">
        <w:t>t</w:t>
      </w:r>
      <w:r w:rsidRPr="0049492A">
        <w:t>ning fungerar till belåtenhet. Ansvarsfördelningen mellan parterna är tydlig och unde</w:t>
      </w:r>
      <w:r w:rsidRPr="0049492A">
        <w:t>r</w:t>
      </w:r>
      <w:r w:rsidRPr="0049492A">
        <w:t xml:space="preserve">hållsplaner finns för fastigheterna. </w:t>
      </w:r>
    </w:p>
    <w:p w:rsidR="008D3479" w:rsidRPr="0049492A" w:rsidRDefault="008D3479">
      <w:pPr>
        <w:pStyle w:val="Normaltindrag"/>
      </w:pPr>
      <w:r w:rsidRPr="0049492A">
        <w:t>Angåe</w:t>
      </w:r>
      <w:r w:rsidRPr="0049492A">
        <w:t>nde hyressättningen är uppfattningen inom Kriminalvårdsstyrelsen  delad, men enligt myndighetens fastighetsansvarige fungerar det bra, i pri</w:t>
      </w:r>
      <w:r w:rsidRPr="0049492A">
        <w:t>n</w:t>
      </w:r>
      <w:r w:rsidRPr="0049492A">
        <w:t>cip som på den öppna marknaden.</w:t>
      </w:r>
    </w:p>
    <w:p w:rsidR="008D3479" w:rsidRPr="0049492A" w:rsidRDefault="008D3479">
      <w:pPr>
        <w:pStyle w:val="Rubrik1"/>
      </w:pPr>
      <w:bookmarkStart w:id="1136" w:name="_Toc514560778"/>
      <w:bookmarkStart w:id="1137" w:name="_Toc515247981"/>
      <w:bookmarkStart w:id="1138" w:name="_Toc515780831"/>
      <w:bookmarkStart w:id="1139" w:name="_Toc515855892"/>
      <w:bookmarkStart w:id="1140" w:name="_Toc515855994"/>
      <w:bookmarkStart w:id="1141" w:name="_Toc516536442"/>
      <w:bookmarkStart w:id="1142" w:name="_Toc516544594"/>
      <w:bookmarkStart w:id="1143" w:name="_Toc516545329"/>
      <w:bookmarkStart w:id="1144" w:name="_Toc516545462"/>
      <w:bookmarkStart w:id="1145" w:name="_Toc523215869"/>
      <w:bookmarkStart w:id="1146" w:name="_Toc524062484"/>
      <w:bookmarkStart w:id="1147" w:name="_Toc524081113"/>
      <w:bookmarkStart w:id="1148" w:name="_Toc524166790"/>
      <w:bookmarkStart w:id="1149" w:name="_Toc524168667"/>
      <w:bookmarkStart w:id="1150" w:name="_Toc524856392"/>
      <w:bookmarkStart w:id="1151" w:name="_Toc524926745"/>
      <w:bookmarkStart w:id="1152" w:name="_Toc526147836"/>
      <w:bookmarkStart w:id="1153" w:name="_Toc526234314"/>
      <w:bookmarkStart w:id="1154" w:name="_Toc532725198"/>
      <w:r w:rsidRPr="0049492A">
        <w:t>Kompensations- och anslagssystemen</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Sammanfattning:</w:t>
      </w:r>
      <w:r w:rsidRPr="0049492A">
        <w:t xml:space="preserve"> När myndigheterna fick ansvar för sin lokalförsörjning justerade regeringen anslagen så att de skulle täcka lokalkostnaderna. A</w:t>
      </w:r>
      <w:r w:rsidRPr="0049492A">
        <w:t>n</w:t>
      </w:r>
      <w:r w:rsidRPr="0049492A">
        <w:t>slagsbasen för lokalkostnader baserades på lokalutnyttjande och lokalkostn</w:t>
      </w:r>
      <w:r w:rsidRPr="0049492A">
        <w:t>a</w:t>
      </w:r>
      <w:r w:rsidRPr="0049492A">
        <w:t>der. Någon bedömning av myndigheternas lokalbehov gjordes inte. Det innebar en fördel för de myndigheter som hade stora och dyra lokaler när reformen genomfördes och motsvarande nackdel för myndigheter med min</w:t>
      </w:r>
      <w:r w:rsidRPr="0049492A">
        <w:t>d</w:t>
      </w:r>
      <w:r w:rsidRPr="0049492A">
        <w:t>re och billigare lokaler.</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Anslagssystemet ska kompensera myndigheten för den allmänna prisu</w:t>
      </w:r>
      <w:r w:rsidRPr="0049492A">
        <w:t>t</w:t>
      </w:r>
      <w:r w:rsidRPr="0049492A">
        <w:t>vecklingen så att dess köpkraft inte förändras. Kompensationssystemet fu</w:t>
      </w:r>
      <w:r w:rsidRPr="0049492A">
        <w:t>n</w:t>
      </w:r>
      <w:r w:rsidRPr="0049492A">
        <w:t>gerar dock inte som avsett för myndigheter i ändamålsfastigheter. De ko</w:t>
      </w:r>
      <w:r w:rsidRPr="0049492A">
        <w:t>m</w:t>
      </w:r>
      <w:r w:rsidRPr="0049492A">
        <w:t xml:space="preserve">penseras inte för utvecklingen av marknadshyror, trots att hyressättningen i ändamålsfastigheter ofta är marknadsanpassad.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En myndighet kan minska sina lokalkostnader utan att anslaget för nästa år minskar. Om de sänkta lokalkostnaderna leder till ett för stort anslagsspara</w:t>
      </w:r>
      <w:r w:rsidRPr="0049492A">
        <w:t>n</w:t>
      </w:r>
      <w:r w:rsidRPr="0049492A">
        <w:t>de krävs regeringens godkännande för att myndigheten ska kunna behålla de frigjorda resurserna. Ett utökat anslagssparande kan godkännas av regeringen om argumenten för det bedöms som goda. Om förutsättningarna för ver</w:t>
      </w:r>
      <w:r w:rsidRPr="0049492A">
        <w:t>k</w:t>
      </w:r>
      <w:r w:rsidRPr="0049492A">
        <w:t xml:space="preserve">samheten förändras kan det dock vara rimligt att anslaget anpassas efter det.  </w:t>
      </w:r>
    </w:p>
    <w:p w:rsidR="008D3479" w:rsidRPr="0049492A" w:rsidRDefault="008D3479">
      <w:pPr>
        <w:pStyle w:val="Rubrik2-Utannumrering"/>
      </w:pPr>
      <w:bookmarkStart w:id="1155" w:name="_Toc514560779"/>
      <w:bookmarkStart w:id="1156" w:name="_Toc515247982"/>
      <w:bookmarkStart w:id="1157" w:name="_Toc515780832"/>
      <w:bookmarkStart w:id="1158" w:name="_Toc515855893"/>
      <w:bookmarkStart w:id="1159" w:name="_Toc515855995"/>
      <w:bookmarkStart w:id="1160" w:name="_Toc516536443"/>
      <w:bookmarkStart w:id="1161" w:name="_Toc516544595"/>
      <w:bookmarkStart w:id="1162" w:name="_Toc516545330"/>
      <w:bookmarkStart w:id="1163" w:name="_Toc516545463"/>
      <w:bookmarkStart w:id="1164" w:name="_Toc523215870"/>
      <w:bookmarkStart w:id="1165" w:name="_Toc524062485"/>
      <w:bookmarkStart w:id="1166" w:name="_Toc524081114"/>
      <w:bookmarkStart w:id="1167" w:name="_Toc524166791"/>
      <w:bookmarkStart w:id="1168" w:name="_Toc524168668"/>
      <w:bookmarkStart w:id="1169" w:name="_Toc524856393"/>
      <w:bookmarkStart w:id="1170" w:name="_Toc524926746"/>
      <w:bookmarkStart w:id="1171" w:name="_Toc526147837"/>
      <w:bookmarkStart w:id="1172" w:name="_Toc526234315"/>
      <w:bookmarkStart w:id="1173" w:name="_Toc532725199"/>
      <w:r w:rsidRPr="0049492A">
        <w:t>Bakgrund</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rsidR="008D3479" w:rsidRPr="0049492A" w:rsidRDefault="008D3479">
      <w:r w:rsidRPr="0049492A">
        <w:t>En viktig princip bakom lokalförsörjningsreformen var att myndigheten fick ansvar för att prioritera hur de tilldelade resurserna skulle användas för att på bästa sätt uppnå verksamhetens mål. Myndigheten skulle själv besluta, b</w:t>
      </w:r>
      <w:r w:rsidRPr="0049492A">
        <w:t>e</w:t>
      </w:r>
      <w:r w:rsidRPr="0049492A">
        <w:t>ställa och betala för sin lokalförsörjning. När myndigheterna tog över sina lokalkontrakt vid Byggnadsstyrelsens avveckling anslogs de pengar som skulle täcka den avtalade hyran.</w:t>
      </w:r>
    </w:p>
    <w:p w:rsidR="008D3479" w:rsidRPr="0049492A" w:rsidRDefault="008D3479">
      <w:pPr>
        <w:pStyle w:val="Normaltindrag"/>
      </w:pPr>
      <w:r w:rsidRPr="0049492A">
        <w:t>Enligt regeringens beslut 1994 uppdrogs åt Lokalförsörjningsverket att bl.a. redovisa ett underlag för justering av lokalkostnadsdelen i anslagsbase</w:t>
      </w:r>
      <w:r w:rsidRPr="0049492A">
        <w:t>r</w:t>
      </w:r>
      <w:r w:rsidRPr="0049492A">
        <w:t>na. I uppdraget angavs att lokalkostnadsandelen i anslagsbaserna skulle baseras på fyra grundkompone</w:t>
      </w:r>
      <w:r w:rsidRPr="0049492A">
        <w:t>n</w:t>
      </w:r>
      <w:r w:rsidRPr="0049492A">
        <w:t>ter</w:t>
      </w:r>
      <w:r w:rsidRPr="0049492A">
        <w:rPr>
          <w:rStyle w:val="Fotnotsreferens"/>
        </w:rPr>
        <w:footnoteReference w:id="79"/>
      </w:r>
      <w:r w:rsidRPr="0049492A">
        <w:t>:</w:t>
      </w:r>
    </w:p>
    <w:p w:rsidR="008D3479" w:rsidRPr="0049492A" w:rsidRDefault="008D3479">
      <w:pPr>
        <w:pStyle w:val="Normaltindrag"/>
        <w:numPr>
          <w:ilvl w:val="0"/>
          <w:numId w:val="24"/>
        </w:numPr>
      </w:pPr>
      <w:r w:rsidRPr="0049492A">
        <w:t>behov av lokalyta per anställd eller annan motsvarande faktor,</w:t>
      </w:r>
    </w:p>
    <w:p w:rsidR="008D3479" w:rsidRPr="0049492A" w:rsidRDefault="008D3479">
      <w:pPr>
        <w:pStyle w:val="Normaltindrag"/>
        <w:numPr>
          <w:ilvl w:val="0"/>
          <w:numId w:val="24"/>
        </w:numPr>
      </w:pPr>
      <w:r w:rsidRPr="0049492A">
        <w:t>antal anställda eller motsvarande faktor,</w:t>
      </w:r>
    </w:p>
    <w:p w:rsidR="008D3479" w:rsidRPr="0049492A" w:rsidRDefault="008D3479">
      <w:pPr>
        <w:pStyle w:val="Normaltindrag"/>
        <w:numPr>
          <w:ilvl w:val="0"/>
          <w:numId w:val="24"/>
        </w:numPr>
      </w:pPr>
      <w:r w:rsidRPr="0049492A">
        <w:t>bedömd marknadshyra i aktuell region och</w:t>
      </w:r>
    </w:p>
    <w:p w:rsidR="008D3479" w:rsidRPr="0049492A" w:rsidRDefault="008D3479">
      <w:pPr>
        <w:pStyle w:val="Normaltindrag"/>
        <w:numPr>
          <w:ilvl w:val="0"/>
          <w:numId w:val="24"/>
        </w:numPr>
      </w:pPr>
      <w:r w:rsidRPr="0049492A">
        <w:t>behov av ändamålsanpassning av lokalytan.</w:t>
      </w:r>
    </w:p>
    <w:p w:rsidR="008D3479" w:rsidRPr="0049492A" w:rsidRDefault="008D3479">
      <w:pPr>
        <w:pStyle w:val="Normaltindrag"/>
      </w:pPr>
      <w:r w:rsidRPr="0049492A">
        <w:t>I Lokalförsörjningsverkets beräkningar gjordes inte någon bedömning av myndigheternas lokalbehov. Utgångspunkten var att rådande förhållanden, eller av Byggnadsstyrelsen tidigare gjorda bedömningar av lokalbehov, skulle ligga fast. För myndigheter i generella lokaler gjordes basbudgeterin</w:t>
      </w:r>
      <w:r w:rsidRPr="0049492A">
        <w:t>g</w:t>
      </w:r>
      <w:r w:rsidRPr="0049492A">
        <w:t>en av lokalkostnaderna med hjälp av rikthyror och befintliga lokaler. Rikth</w:t>
      </w:r>
      <w:r w:rsidRPr="0049492A">
        <w:t>y</w:t>
      </w:r>
      <w:r w:rsidRPr="0049492A">
        <w:t xml:space="preserve">ran för respektive region beräknades som ett genomsnitt av marknadshyrorna i regionen. Samtidigt beräknades behovet av kompensation under kommande budgetår fram till dess respektive myndighet kunde säga upp gällande avtal, dock längst t.o.m. budgetåret 2000. </w:t>
      </w:r>
    </w:p>
    <w:p w:rsidR="008D3479" w:rsidRPr="0049492A" w:rsidRDefault="008D3479">
      <w:pPr>
        <w:pStyle w:val="Normaltindrag"/>
      </w:pPr>
      <w:r w:rsidRPr="0049492A">
        <w:t>För vissa myndigheter i ändamålslokaler användes den faktiska hyreskos</w:t>
      </w:r>
      <w:r w:rsidRPr="0049492A">
        <w:t>t</w:t>
      </w:r>
      <w:r w:rsidRPr="0049492A">
        <w:t>naden som bas för budgetering. Dessa myndigheter fanns till största delen inom kultursektorn.</w:t>
      </w:r>
      <w:r w:rsidRPr="0049492A">
        <w:rPr>
          <w:rStyle w:val="Fotnotsreferens"/>
        </w:rPr>
        <w:footnoteReference w:id="80"/>
      </w:r>
      <w:r w:rsidRPr="0049492A">
        <w:t xml:space="preserve"> En särskild metod för prisomräkning används för dessa myndigheter, vilket redovisas i avsnittet om prisomräkning för ändamålsfa</w:t>
      </w:r>
      <w:r w:rsidRPr="0049492A">
        <w:t>s</w:t>
      </w:r>
      <w:r w:rsidRPr="0049492A">
        <w:t xml:space="preserve">tigheter. </w:t>
      </w:r>
    </w:p>
    <w:p w:rsidR="008D3479" w:rsidRPr="0049492A" w:rsidRDefault="008D3479">
      <w:pPr>
        <w:pStyle w:val="Normaltindrag"/>
      </w:pPr>
      <w:r w:rsidRPr="0049492A">
        <w:t>Utvecklingen av myndigheternas lokalkostnader skulle beräknas enligt myndighetsspecifika indextal. Tanken var att myndigheterna skulle kompe</w:t>
      </w:r>
      <w:r w:rsidRPr="0049492A">
        <w:t>n</w:t>
      </w:r>
      <w:r w:rsidRPr="0049492A">
        <w:t>seras för den allmänna prisutvecklingen genom ett lokalkostnadsindex, bas</w:t>
      </w:r>
      <w:r w:rsidRPr="0049492A">
        <w:t>e</w:t>
      </w:r>
      <w:r w:rsidRPr="0049492A">
        <w:t>rat på ett antal prisomräkningsfaktorer.</w:t>
      </w:r>
      <w:r w:rsidRPr="0049492A">
        <w:rPr>
          <w:rStyle w:val="Fotnotsreferens"/>
        </w:rPr>
        <w:footnoteReference w:id="81"/>
      </w:r>
      <w:r w:rsidRPr="0049492A">
        <w:t xml:space="preserve"> Lokalförsörjningsverket skulle leverera dessa indextal till regeringen varje år. </w:t>
      </w:r>
    </w:p>
    <w:p w:rsidR="008D3479" w:rsidRPr="0049492A" w:rsidRDefault="008D3479">
      <w:pPr>
        <w:pStyle w:val="Normaltindrag"/>
      </w:pPr>
      <w:r w:rsidRPr="0049492A">
        <w:t>I samband med verkets avveckling 1998 övergick uppdraget till Statsko</w:t>
      </w:r>
      <w:r w:rsidRPr="0049492A">
        <w:t>n</w:t>
      </w:r>
      <w:r w:rsidRPr="0049492A">
        <w:t xml:space="preserve">toret. </w:t>
      </w:r>
    </w:p>
    <w:p w:rsidR="008D3479" w:rsidRPr="0049492A" w:rsidRDefault="008D3479">
      <w:pPr>
        <w:pStyle w:val="Rubrik2-Utannumrering"/>
      </w:pPr>
      <w:bookmarkStart w:id="1174" w:name="_Toc514560780"/>
      <w:bookmarkStart w:id="1175" w:name="_Toc515247983"/>
      <w:bookmarkStart w:id="1176" w:name="_Toc515780833"/>
      <w:bookmarkStart w:id="1177" w:name="_Toc515855894"/>
      <w:bookmarkStart w:id="1178" w:name="_Toc515855996"/>
      <w:bookmarkStart w:id="1179" w:name="_Toc516536444"/>
      <w:bookmarkStart w:id="1180" w:name="_Toc516544596"/>
      <w:bookmarkStart w:id="1181" w:name="_Toc516545331"/>
      <w:bookmarkStart w:id="1182" w:name="_Toc516545464"/>
      <w:bookmarkStart w:id="1183" w:name="_Toc523215871"/>
      <w:bookmarkStart w:id="1184" w:name="_Toc524062486"/>
      <w:bookmarkStart w:id="1185" w:name="_Toc524081115"/>
      <w:bookmarkStart w:id="1186" w:name="_Toc524166792"/>
      <w:bookmarkStart w:id="1187" w:name="_Toc524168669"/>
      <w:bookmarkStart w:id="1188" w:name="_Toc524856394"/>
      <w:bookmarkStart w:id="1189" w:name="_Toc524926747"/>
      <w:bookmarkStart w:id="1190" w:name="_Toc526147838"/>
      <w:bookmarkStart w:id="1191" w:name="_Toc526234316"/>
      <w:bookmarkStart w:id="1192" w:name="_Toc532725200"/>
      <w:r w:rsidRPr="0049492A">
        <w:t>Anslagsberäkning</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rsidR="008D3479" w:rsidRPr="0049492A" w:rsidRDefault="008D3479">
      <w:r w:rsidRPr="0049492A">
        <w:t>Statskontoret tar varje år fram ett lokalkostnadsindex som används för pris-omräkning i budgetprocessen. Omräkningen ska resultera i att myndighetens köpkraft när det gäller lokaler är oförändrad. Prisomräkningen ska justera anslaget för förändringar i priser/hyresnivåer, inte för förändringar i hyre</w:t>
      </w:r>
      <w:r w:rsidRPr="0049492A">
        <w:t>s</w:t>
      </w:r>
      <w:r w:rsidRPr="0049492A">
        <w:t>kostnader till följd av just</w:t>
      </w:r>
      <w:r w:rsidRPr="0049492A">
        <w:t>e</w:t>
      </w:r>
      <w:r w:rsidRPr="0049492A">
        <w:t xml:space="preserve">ringar i arean. </w:t>
      </w:r>
    </w:p>
    <w:p w:rsidR="008D3479" w:rsidRPr="0049492A" w:rsidRDefault="008D3479">
      <w:pPr>
        <w:pStyle w:val="Normaltindrag"/>
      </w:pPr>
      <w:r w:rsidRPr="0049492A">
        <w:t>Systemet med prisomräkning skapades för att regeringen skulle slippa att varje år ta ställning till anslaget för varje myndighet. Finansdepartementet beräknar hur anslaget till en myndighet ska förändras för att dess köpkraft ska vara oförändrad. Skillnaden mellan den nya, prisomräknade lokalkostn</w:t>
      </w:r>
      <w:r w:rsidRPr="0049492A">
        <w:t>a</w:t>
      </w:r>
      <w:r w:rsidRPr="0049492A">
        <w:t>den och förra årets lokalkostnad adderas sedan till förra årets anslag. Fac</w:t>
      </w:r>
      <w:r w:rsidRPr="0049492A">
        <w:t>k</w:t>
      </w:r>
      <w:r w:rsidRPr="0049492A">
        <w:t>departementen kan välja att föra om pengarna, att göra omprioriteringar och dela ut helt andra a</w:t>
      </w:r>
      <w:r w:rsidRPr="0049492A">
        <w:t>n</w:t>
      </w:r>
      <w:r w:rsidRPr="0049492A">
        <w:t xml:space="preserve">slag till myndigheterna. </w:t>
      </w:r>
    </w:p>
    <w:p w:rsidR="008D3479" w:rsidRPr="0049492A" w:rsidRDefault="008D3479">
      <w:pPr>
        <w:pStyle w:val="Normaltindrag"/>
      </w:pPr>
      <w:r w:rsidRPr="0049492A">
        <w:t>Finansdepartementet gör ingen bedömning av vad som är ett rimligt loka</w:t>
      </w:r>
      <w:r w:rsidRPr="0049492A">
        <w:t>l</w:t>
      </w:r>
      <w:r w:rsidRPr="0049492A">
        <w:t>behov för verksamheten, utan anslaget förändras genom prisomräkning av lokalkostnaderna för föregående år. Myndigheternas lokalbehov bedömdes inte heller när basbudgeteringen av lokalbehov och lokalkostnader gjordes. En konsekvens av detta är att de myndigheter som hade stora lokaler och/eller ett centralt läge när basbudgeteringen gjordes gynnas av det i den fortsatta anslagstilldelningen. Myndigheter som då hade små lokaler och/eller perifert läge missgynnas på motsvarande sätt. När systemet utfo</w:t>
      </w:r>
      <w:r w:rsidRPr="0049492A">
        <w:t>r</w:t>
      </w:r>
      <w:r w:rsidRPr="0049492A">
        <w:t>mades 1</w:t>
      </w:r>
      <w:r w:rsidRPr="0049492A">
        <w:t>994 var ambitionen att myndigheternas lokalbehov skulle bedömas senare, så att de som vid det nya systemets införande hade små lokaler skulle kunna expandera och de som hade stora lokaler kanske skulle vara tvungna att trycka ihop sig. Detta har dock inte gjorts.</w:t>
      </w:r>
      <w:r w:rsidRPr="0049492A">
        <w:rPr>
          <w:rStyle w:val="Fotnotsreferens"/>
        </w:rPr>
        <w:footnoteReference w:id="82"/>
      </w:r>
    </w:p>
    <w:p w:rsidR="008D3479" w:rsidRPr="0049492A" w:rsidRDefault="008D3479">
      <w:pPr>
        <w:pStyle w:val="Rubrik3-Utannumrering"/>
      </w:pPr>
      <w:bookmarkStart w:id="1193" w:name="_Toc514560781"/>
      <w:bookmarkStart w:id="1194" w:name="_Toc515247984"/>
      <w:bookmarkStart w:id="1195" w:name="_Toc515780834"/>
      <w:bookmarkStart w:id="1196" w:name="_Toc515855895"/>
      <w:bookmarkStart w:id="1197" w:name="_Toc515855997"/>
      <w:bookmarkStart w:id="1198" w:name="_Toc516536445"/>
      <w:bookmarkStart w:id="1199" w:name="_Toc516544597"/>
      <w:bookmarkStart w:id="1200" w:name="_Toc516545332"/>
      <w:bookmarkStart w:id="1201" w:name="_Toc516545465"/>
      <w:bookmarkStart w:id="1202" w:name="_Toc523215872"/>
      <w:bookmarkStart w:id="1203" w:name="_Toc524062487"/>
      <w:bookmarkStart w:id="1204" w:name="_Toc524081116"/>
      <w:bookmarkStart w:id="1205" w:name="_Toc524166793"/>
      <w:bookmarkStart w:id="1206" w:name="_Toc524168670"/>
      <w:bookmarkStart w:id="1207" w:name="_Toc524856395"/>
      <w:bookmarkStart w:id="1208" w:name="_Toc524926748"/>
      <w:bookmarkStart w:id="1209" w:name="_Toc526147839"/>
      <w:bookmarkStart w:id="1210" w:name="_Toc526234317"/>
      <w:r w:rsidRPr="0049492A">
        <w:t>Metod för prisomräkning</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rsidR="008D3479" w:rsidRPr="0049492A" w:rsidRDefault="008D3479">
      <w:pPr>
        <w:pStyle w:val="Rubrik4-Utannumrering"/>
      </w:pPr>
      <w:bookmarkStart w:id="1211" w:name="_Toc524062488"/>
      <w:bookmarkStart w:id="1212" w:name="_Toc524081117"/>
      <w:r w:rsidRPr="0049492A">
        <w:t>Generella lokaler</w:t>
      </w:r>
      <w:bookmarkEnd w:id="1211"/>
      <w:bookmarkEnd w:id="1212"/>
    </w:p>
    <w:p w:rsidR="008D3479" w:rsidRPr="0049492A" w:rsidRDefault="008D3479">
      <w:r w:rsidRPr="0049492A">
        <w:t>Den metod för prisomräkning som fortfarande tillämpas presenterades av regeringen i 1994 års kompletteringsproposition.</w:t>
      </w:r>
      <w:r w:rsidRPr="0049492A">
        <w:rPr>
          <w:rStyle w:val="Fotnotsreferens"/>
        </w:rPr>
        <w:footnoteReference w:id="83"/>
      </w:r>
      <w:r w:rsidRPr="0049492A">
        <w:t xml:space="preserve"> För </w:t>
      </w:r>
      <w:r w:rsidRPr="0049492A">
        <w:rPr>
          <w:i/>
        </w:rPr>
        <w:t xml:space="preserve">generella lokaler, </w:t>
      </w:r>
      <w:r w:rsidRPr="0049492A">
        <w:t>som kontorslokaler, baseras prisomräkningen på endera av två kompone</w:t>
      </w:r>
      <w:r w:rsidRPr="0049492A">
        <w:t>n</w:t>
      </w:r>
      <w:r w:rsidRPr="0049492A">
        <w:t xml:space="preserve">ter: </w:t>
      </w:r>
    </w:p>
    <w:p w:rsidR="008D3479" w:rsidRPr="0049492A" w:rsidRDefault="008D3479">
      <w:pPr>
        <w:pStyle w:val="Normaltindrag"/>
        <w:numPr>
          <w:ilvl w:val="0"/>
          <w:numId w:val="24"/>
        </w:numPr>
      </w:pPr>
      <w:r w:rsidRPr="0049492A">
        <w:rPr>
          <w:i/>
        </w:rPr>
        <w:t>Prisutvecklingen baserad på villkoren i träffade hyresavtal</w:t>
      </w:r>
      <w:r w:rsidRPr="0049492A">
        <w:t>. Det inn</w:t>
      </w:r>
      <w:r w:rsidRPr="0049492A">
        <w:t>e</w:t>
      </w:r>
      <w:r w:rsidRPr="0049492A">
        <w:t>bär att 70 procent av hyran i löpande avtal som inte kan tecknas om under nästkommande år räknas om med hänsyn till utvecklingen av kons</w:t>
      </w:r>
      <w:r w:rsidRPr="0049492A">
        <w:t>u</w:t>
      </w:r>
      <w:r w:rsidRPr="0049492A">
        <w:t>mentprisindex (KPI).</w:t>
      </w:r>
    </w:p>
    <w:p w:rsidR="008D3479" w:rsidRPr="0049492A" w:rsidRDefault="008D3479">
      <w:pPr>
        <w:pStyle w:val="Normaltindrag"/>
        <w:numPr>
          <w:ilvl w:val="0"/>
          <w:numId w:val="24"/>
        </w:numPr>
      </w:pPr>
      <w:r w:rsidRPr="0049492A">
        <w:rPr>
          <w:i/>
        </w:rPr>
        <w:t>Marknadsprisutvecklingen i aktuell region</w:t>
      </w:r>
      <w:r w:rsidRPr="0049492A">
        <w:t xml:space="preserve"> (rikthyresområde). Landet har uppdelats i fyra rikthyresområden. Dessa områden är Stockholm innanför tullarna, Stockholm utanför tullarna med närliggande ko</w:t>
      </w:r>
      <w:r w:rsidRPr="0049492A">
        <w:t>m</w:t>
      </w:r>
      <w:r w:rsidRPr="0049492A">
        <w:t xml:space="preserve">muner och storstäder, residensstäder eller motsvarande samt övriga landet. Om en myndighet byter rikthyresområde räknas anslaget inte om direkt med anledning av det. När det nya avtalet löper ut räknas anslaget om enligt rikthyran i det nya området. </w:t>
      </w:r>
    </w:p>
    <w:p w:rsidR="008D3479" w:rsidRPr="0049492A" w:rsidRDefault="008D3479">
      <w:pPr>
        <w:pStyle w:val="Normaltindrag"/>
        <w:ind w:firstLine="0"/>
      </w:pPr>
      <w:r w:rsidRPr="0049492A">
        <w:t>Många myndigheter har flera hyresavtal. Avtalens löptider kan variera, vilket innebär att vissa avtal k</w:t>
      </w:r>
      <w:r w:rsidRPr="0049492A">
        <w:t>an skrivas om under ett visst år, medan andra avtal är löpande under året. Omräkningstalet som baseras på marknadsprisutvec</w:t>
      </w:r>
      <w:r w:rsidRPr="0049492A">
        <w:t>k</w:t>
      </w:r>
      <w:r w:rsidRPr="0049492A">
        <w:t xml:space="preserve">lingen används bara för avtal som kan tecknas om under året. Löpande avtal prisomräknas årligen enligt KPI-utvecklingen. De </w:t>
      </w:r>
      <w:r w:rsidRPr="0049492A">
        <w:rPr>
          <w:i/>
        </w:rPr>
        <w:t>två komponenterna vägs samman</w:t>
      </w:r>
      <w:r w:rsidRPr="0049492A">
        <w:t xml:space="preserve"> för varje myndighet och anslag till ett myndighetsspecifikt </w:t>
      </w:r>
      <w:r w:rsidRPr="0049492A">
        <w:rPr>
          <w:i/>
        </w:rPr>
        <w:t>loka</w:t>
      </w:r>
      <w:r w:rsidRPr="0049492A">
        <w:rPr>
          <w:i/>
        </w:rPr>
        <w:t>l</w:t>
      </w:r>
      <w:r w:rsidRPr="0049492A">
        <w:rPr>
          <w:i/>
        </w:rPr>
        <w:t>kostnadsindex</w:t>
      </w:r>
      <w:r w:rsidRPr="0049492A">
        <w:t>. Beräkningen utgår från de hyresavtal som myndigheterna varje år redovisar till Statskontoret. För universitets- och högskolesektorn redovisas ett samlat o</w:t>
      </w:r>
      <w:r w:rsidRPr="0049492A">
        <w:t>mräkningstal för hela se</w:t>
      </w:r>
      <w:r w:rsidRPr="0049492A">
        <w:t>k</w:t>
      </w:r>
      <w:r w:rsidRPr="0049492A">
        <w:t xml:space="preserve">torn. </w:t>
      </w:r>
    </w:p>
    <w:p w:rsidR="008D3479" w:rsidRPr="0049492A" w:rsidRDefault="008D3479">
      <w:pPr>
        <w:pStyle w:val="Rubrik4-Utannumrering"/>
      </w:pPr>
      <w:bookmarkStart w:id="1213" w:name="_Toc524062489"/>
      <w:bookmarkStart w:id="1214" w:name="_Toc524081118"/>
      <w:r w:rsidRPr="0049492A">
        <w:t>Ändamålslokaler</w:t>
      </w:r>
      <w:bookmarkEnd w:id="1213"/>
      <w:bookmarkEnd w:id="1214"/>
    </w:p>
    <w:p w:rsidR="008D3479" w:rsidRPr="0049492A" w:rsidRDefault="008D3479">
      <w:r w:rsidRPr="0049492A">
        <w:t xml:space="preserve">För myndigheter som hyr lokaler i </w:t>
      </w:r>
      <w:r w:rsidRPr="0049492A">
        <w:rPr>
          <w:i/>
        </w:rPr>
        <w:t>ändamålsfastigheter</w:t>
      </w:r>
      <w:r w:rsidRPr="0049492A">
        <w:t xml:space="preserve"> räknas hyran om med hänsyn till 70 procent av utvecklingen av KPI. Ingen hänsyn tas till utvecklingen av marknadshyror i den aktuella regionen (rikthyresområdet) vid prisomräkningen av anslagens lokalkostnadsdel. Myndigheter som hyr ändamålslokaler kompenseras endast för förändringar i konsumentprisindex, oavsett om avtalen tecknas om under året eller ej.</w:t>
      </w:r>
      <w:r w:rsidRPr="0049492A">
        <w:rPr>
          <w:rStyle w:val="Fotnotsreferens"/>
        </w:rPr>
        <w:footnoteReference w:id="84"/>
      </w:r>
      <w:r w:rsidRPr="0049492A">
        <w:t xml:space="preserve"> Detta gäller för följande myndigh</w:t>
      </w:r>
      <w:r w:rsidRPr="0049492A">
        <w:t>e</w:t>
      </w:r>
      <w:r w:rsidRPr="0049492A">
        <w:t>ter</w:t>
      </w:r>
      <w:r w:rsidRPr="0049492A">
        <w:rPr>
          <w:rStyle w:val="Fotnotsreferens"/>
        </w:rPr>
        <w:footnoteReference w:id="85"/>
      </w:r>
      <w:r w:rsidRPr="0049492A">
        <w:t>:</w:t>
      </w:r>
    </w:p>
    <w:p w:rsidR="008D3479" w:rsidRPr="0049492A" w:rsidRDefault="008D3479">
      <w:pPr>
        <w:pStyle w:val="Normaltindrag"/>
        <w:rPr>
          <w:b/>
        </w:rPr>
      </w:pPr>
    </w:p>
    <w:p w:rsidR="008D3479" w:rsidRPr="0049492A" w:rsidRDefault="008D3479">
      <w:pPr>
        <w:pStyle w:val="Normaltindrag"/>
      </w:pPr>
      <w:r w:rsidRPr="0049492A">
        <w:t>Kungliga biblioteket</w:t>
      </w:r>
      <w:r w:rsidRPr="0049492A">
        <w:tab/>
      </w:r>
      <w:r w:rsidRPr="0049492A">
        <w:tab/>
      </w:r>
    </w:p>
    <w:p w:rsidR="008D3479" w:rsidRPr="0049492A" w:rsidRDefault="008D3479">
      <w:pPr>
        <w:pStyle w:val="Normaltindrag"/>
      </w:pPr>
      <w:r w:rsidRPr="0049492A">
        <w:t xml:space="preserve">Kungliga Dramatiska Teatern AB   </w:t>
      </w:r>
    </w:p>
    <w:p w:rsidR="008D3479" w:rsidRPr="0049492A" w:rsidRDefault="008D3479">
      <w:pPr>
        <w:pStyle w:val="Normaltindrag"/>
      </w:pPr>
      <w:r w:rsidRPr="0049492A">
        <w:t>Kungliga Operan AB</w:t>
      </w:r>
      <w:r w:rsidRPr="0049492A">
        <w:tab/>
      </w:r>
      <w:r w:rsidRPr="0049492A">
        <w:tab/>
      </w:r>
    </w:p>
    <w:p w:rsidR="008D3479" w:rsidRPr="0049492A" w:rsidRDefault="008D3479">
      <w:pPr>
        <w:pStyle w:val="Normaltindrag"/>
      </w:pPr>
      <w:r w:rsidRPr="0049492A">
        <w:t>Musikaliska akademien</w:t>
      </w:r>
      <w:r w:rsidRPr="0049492A">
        <w:tab/>
      </w:r>
      <w:r w:rsidRPr="0049492A">
        <w:tab/>
      </w:r>
    </w:p>
    <w:p w:rsidR="008D3479" w:rsidRPr="0049492A" w:rsidRDefault="008D3479">
      <w:pPr>
        <w:pStyle w:val="Normaltindrag"/>
      </w:pPr>
      <w:r w:rsidRPr="0049492A">
        <w:t xml:space="preserve">Arkitekturmuseet   </w:t>
      </w:r>
      <w:r w:rsidRPr="0049492A">
        <w:tab/>
      </w:r>
      <w:r w:rsidRPr="0049492A">
        <w:tab/>
      </w:r>
    </w:p>
    <w:p w:rsidR="008D3479" w:rsidRPr="0049492A" w:rsidRDefault="008D3479">
      <w:pPr>
        <w:pStyle w:val="Normaltindrag"/>
      </w:pPr>
      <w:r w:rsidRPr="0049492A">
        <w:t>Statens försvarshistoriska museer</w:t>
      </w:r>
      <w:r w:rsidRPr="0049492A">
        <w:tab/>
      </w:r>
    </w:p>
    <w:p w:rsidR="008D3479" w:rsidRPr="0049492A" w:rsidRDefault="008D3479">
      <w:pPr>
        <w:pStyle w:val="Normaltindrag"/>
      </w:pPr>
      <w:r w:rsidRPr="0049492A">
        <w:t xml:space="preserve">Statens historiska museer </w:t>
      </w:r>
    </w:p>
    <w:p w:rsidR="008D3479" w:rsidRPr="0049492A" w:rsidRDefault="008D3479">
      <w:pPr>
        <w:pStyle w:val="Normaltindrag"/>
      </w:pPr>
      <w:r w:rsidRPr="0049492A">
        <w:t xml:space="preserve">LSH (avser lokaler för Livrustkammaren, </w:t>
      </w:r>
    </w:p>
    <w:p w:rsidR="008D3479" w:rsidRPr="0049492A" w:rsidRDefault="008D3479">
      <w:pPr>
        <w:pStyle w:val="Normaltindrag"/>
      </w:pPr>
      <w:r w:rsidRPr="0049492A">
        <w:t>Skoklosters slott och Hallwylska museet)</w:t>
      </w:r>
      <w:r w:rsidRPr="0049492A">
        <w:tab/>
      </w:r>
      <w:r w:rsidRPr="0049492A">
        <w:tab/>
      </w:r>
    </w:p>
    <w:p w:rsidR="008D3479" w:rsidRPr="0049492A" w:rsidRDefault="008D3479">
      <w:pPr>
        <w:pStyle w:val="Normaltindrag"/>
      </w:pPr>
      <w:r w:rsidRPr="0049492A">
        <w:t>Moderna museet</w:t>
      </w:r>
      <w:r w:rsidRPr="0049492A">
        <w:tab/>
      </w:r>
    </w:p>
    <w:p w:rsidR="008D3479" w:rsidRPr="0049492A" w:rsidRDefault="008D3479">
      <w:pPr>
        <w:pStyle w:val="Normaltindrag"/>
      </w:pPr>
      <w:r w:rsidRPr="0049492A">
        <w:t>Statens museer för världskultur</w:t>
      </w:r>
    </w:p>
    <w:p w:rsidR="008D3479" w:rsidRPr="0049492A" w:rsidRDefault="008D3479">
      <w:pPr>
        <w:pStyle w:val="Normaltindrag"/>
      </w:pPr>
      <w:r w:rsidRPr="0049492A">
        <w:t>Statens musiksamlingar</w:t>
      </w:r>
      <w:r w:rsidRPr="0049492A">
        <w:tab/>
      </w:r>
    </w:p>
    <w:p w:rsidR="008D3479" w:rsidRPr="0049492A" w:rsidRDefault="008D3479">
      <w:pPr>
        <w:pStyle w:val="Normaltindrag"/>
      </w:pPr>
      <w:r w:rsidRPr="0049492A">
        <w:t>Nationalmuseum med Prins Eugens Waldemarsudde</w:t>
      </w:r>
    </w:p>
    <w:p w:rsidR="008D3479" w:rsidRPr="0049492A" w:rsidRDefault="008D3479">
      <w:pPr>
        <w:pStyle w:val="Normaltindrag"/>
      </w:pPr>
      <w:r w:rsidRPr="0049492A">
        <w:t xml:space="preserve">Naturhistoriska riksmuseet </w:t>
      </w:r>
    </w:p>
    <w:p w:rsidR="008D3479" w:rsidRPr="0049492A" w:rsidRDefault="008D3479">
      <w:pPr>
        <w:pStyle w:val="Normaltindrag"/>
      </w:pPr>
      <w:r w:rsidRPr="0049492A">
        <w:t>Statens sjöhistoriska museer</w:t>
      </w:r>
    </w:p>
    <w:p w:rsidR="008D3479" w:rsidRPr="0049492A" w:rsidRDefault="008D3479">
      <w:pPr>
        <w:pStyle w:val="Normaltindrag"/>
      </w:pPr>
      <w:r w:rsidRPr="0049492A">
        <w:t>Stiftelsen Nordiska museet</w:t>
      </w:r>
      <w:r w:rsidRPr="0049492A">
        <w:tab/>
      </w:r>
    </w:p>
    <w:p w:rsidR="008D3479" w:rsidRPr="0049492A" w:rsidRDefault="008D3479">
      <w:pPr>
        <w:pStyle w:val="Normaltindrag"/>
      </w:pPr>
      <w:r w:rsidRPr="0049492A">
        <w:t xml:space="preserve">Stiftelsen Tekniska museet </w:t>
      </w:r>
      <w:r w:rsidRPr="0049492A">
        <w:tab/>
      </w:r>
    </w:p>
    <w:p w:rsidR="008D3479" w:rsidRPr="0049492A" w:rsidRDefault="008D3479">
      <w:pPr>
        <w:pStyle w:val="Normaltindrag"/>
      </w:pPr>
      <w:r w:rsidRPr="0049492A">
        <w:t>Harpsund (regeringskansliet)</w:t>
      </w:r>
    </w:p>
    <w:p w:rsidR="008D3479" w:rsidRPr="0049492A" w:rsidRDefault="008D3479">
      <w:pPr>
        <w:pStyle w:val="Normaltindrag"/>
      </w:pPr>
      <w:r w:rsidRPr="0049492A">
        <w:t>Kriminalvårdens anstalter</w:t>
      </w:r>
    </w:p>
    <w:p w:rsidR="008D3479" w:rsidRPr="0049492A" w:rsidRDefault="008D3479">
      <w:pPr>
        <w:pStyle w:val="Normaltindrag"/>
      </w:pPr>
      <w:r w:rsidRPr="0049492A">
        <w:t>Sveriges lantbruksuniversitet (SLU)</w:t>
      </w:r>
    </w:p>
    <w:p w:rsidR="008D3479" w:rsidRPr="0049492A" w:rsidRDefault="008D3479">
      <w:pPr>
        <w:pStyle w:val="Rubrik4-Utannumrering"/>
      </w:pPr>
      <w:bookmarkStart w:id="1215" w:name="_Toc524081119"/>
      <w:r w:rsidRPr="0049492A">
        <w:t>En temporär modell för prisomräkning?</w:t>
      </w:r>
      <w:bookmarkEnd w:id="1215"/>
    </w:p>
    <w:p w:rsidR="008D3479" w:rsidRPr="0049492A" w:rsidRDefault="008D3479">
      <w:r w:rsidRPr="0049492A">
        <w:t>Att Statskontoret använder olika prisomräkningsmetoder för ändamålslokaler och kontorslokaler beror på att de som tog fram prisomräkningsmodellen</w:t>
      </w:r>
      <w:r w:rsidRPr="0049492A">
        <w:rPr>
          <w:rStyle w:val="Fotnotsreferens"/>
        </w:rPr>
        <w:footnoteReference w:id="86"/>
      </w:r>
      <w:r w:rsidRPr="0049492A">
        <w:t xml:space="preserve"> gjorde bedömningen att marknadsprisutvecklingen för kontorslokaler inte skulle styra hyrorna för ändamålsfastigheter. En historisk tillbakablick på hyresutvecklingen för ändamålsfastigheter visade att den följde utvecklingen i konsumentprisindex relativt väl. Det ansågs därför inte motiverat att ko</w:t>
      </w:r>
      <w:r w:rsidRPr="0049492A">
        <w:t>m</w:t>
      </w:r>
      <w:r w:rsidRPr="0049492A">
        <w:t>pensera myndigheterna som nyttjar dessa lokaler enligt rikthyr</w:t>
      </w:r>
      <w:r w:rsidRPr="0049492A">
        <w:t>e</w:t>
      </w:r>
      <w:r w:rsidRPr="0049492A">
        <w:t>sindex.</w:t>
      </w:r>
      <w:r w:rsidRPr="0049492A">
        <w:rPr>
          <w:rStyle w:val="Fotnotsreferens"/>
        </w:rPr>
        <w:footnoteReference w:id="87"/>
      </w:r>
    </w:p>
    <w:p w:rsidR="008D3479" w:rsidRPr="0049492A" w:rsidRDefault="008D3479">
      <w:pPr>
        <w:pStyle w:val="Normaltindrag"/>
      </w:pPr>
      <w:r w:rsidRPr="0049492A">
        <w:t>När prisomräkningsmodellen utformades var tanken att särskilda regler för hyressättning av ändamålslokaler skulle tas fram och att prisomräkningen skulle anpassas efter dessa. Några särskilda regler har dock inte fastlagts, och enligt statsmakternas bedömning är det inte heller lämpligt att påbörda my</w:t>
      </w:r>
      <w:r w:rsidRPr="0049492A">
        <w:t>n</w:t>
      </w:r>
      <w:r w:rsidRPr="0049492A">
        <w:t>digheterna en enhetlig hyresmodell. Eftersom Fastighetsverket använder sig av marknadsliknande hyror är det enligt Statskontoret ett rimligt antagande att hyresutvecklingen för kontorslokaler kommer att väga tungt i en sådan tillämpning. Om så är fallet kommer hyresutvecklingen för ändamålslokaler i praktiken att ligga nära den som gäller för kontorslokaler. Det skulle i så fall betyda att det inte finns skäl att använda en särskild metodik för prisomrä</w:t>
      </w:r>
      <w:r w:rsidRPr="0049492A">
        <w:t>k</w:t>
      </w:r>
      <w:r w:rsidRPr="0049492A">
        <w:t>ning av ändamålslokaler inom Fastighetsverket.</w:t>
      </w:r>
      <w:r w:rsidRPr="0049492A">
        <w:rPr>
          <w:rStyle w:val="Fotnotsreferens"/>
        </w:rPr>
        <w:footnoteReference w:id="88"/>
      </w:r>
      <w:r w:rsidRPr="0049492A">
        <w:t xml:space="preserve"> Det nuvarande prisomrä</w:t>
      </w:r>
      <w:r w:rsidRPr="0049492A">
        <w:t>k</w:t>
      </w:r>
      <w:r w:rsidRPr="0049492A">
        <w:t>ningssystemet i kombination med marknadsliknande hyror för ändamålsl</w:t>
      </w:r>
      <w:r w:rsidRPr="0049492A">
        <w:t>o</w:t>
      </w:r>
      <w:r w:rsidRPr="0049492A">
        <w:t>kaler innebär att hyresgäster i vissa ändamålsfastigheter riskerar att bli u</w:t>
      </w:r>
      <w:r w:rsidRPr="0049492A">
        <w:t>n</w:t>
      </w:r>
      <w:r w:rsidRPr="0049492A">
        <w:t xml:space="preserve">derkompenserade för hyreshöjningar. Även det omvända kan inträffa. </w:t>
      </w:r>
    </w:p>
    <w:p w:rsidR="008D3479" w:rsidRPr="0049492A" w:rsidRDefault="008D3479">
      <w:pPr>
        <w:pStyle w:val="Normaltindrag"/>
      </w:pPr>
      <w:r w:rsidRPr="0049492A">
        <w:t xml:space="preserve">För </w:t>
      </w:r>
      <w:r w:rsidRPr="0049492A">
        <w:rPr>
          <w:i/>
        </w:rPr>
        <w:t>Försvarsmaktens lokalkostnader</w:t>
      </w:r>
      <w:r w:rsidRPr="0049492A">
        <w:t xml:space="preserve"> görs ett särskilt lokalkostnadsindex. Det är nödvändigt eftersom hyrorna för Fortifikationsverkets fastigheter bygger på de historiska anskaffningsvärdena och därför inte följer utvec</w:t>
      </w:r>
      <w:r w:rsidRPr="0049492A">
        <w:t>k</w:t>
      </w:r>
      <w:r w:rsidRPr="0049492A">
        <w:t>lingen av marknadshyror eller marknadsliknande hyror. Prisutvecklingen för Försvarsmaktens lokalkostnader mäts genom ett särskilt lokalkostnadsindex (faktorprisindex för flerbostadshus) som bl.a. tar hänsyn till kostnadsutvec</w:t>
      </w:r>
      <w:r w:rsidRPr="0049492A">
        <w:t>k</w:t>
      </w:r>
      <w:r w:rsidRPr="0049492A">
        <w:t>lingen för bygginvest</w:t>
      </w:r>
      <w:r w:rsidRPr="0049492A">
        <w:t>e</w:t>
      </w:r>
      <w:r w:rsidRPr="0049492A">
        <w:t>ringar.</w:t>
      </w:r>
      <w:r w:rsidRPr="0049492A">
        <w:rPr>
          <w:rStyle w:val="Fotnotsreferens"/>
        </w:rPr>
        <w:footnoteReference w:id="89"/>
      </w:r>
      <w:r w:rsidRPr="0049492A">
        <w:t xml:space="preserve"> </w:t>
      </w:r>
    </w:p>
    <w:p w:rsidR="008D3479" w:rsidRPr="0049492A" w:rsidRDefault="008D3479">
      <w:pPr>
        <w:pStyle w:val="Rubrik3-Utannumrering"/>
      </w:pPr>
      <w:bookmarkStart w:id="1216" w:name="_Toc524081120"/>
      <w:bookmarkStart w:id="1217" w:name="_Toc524166794"/>
      <w:bookmarkStart w:id="1218" w:name="_Toc524168671"/>
      <w:bookmarkStart w:id="1219" w:name="_Toc524856396"/>
      <w:bookmarkStart w:id="1220" w:name="_Toc524926749"/>
      <w:bookmarkStart w:id="1221" w:name="_Toc526147840"/>
      <w:bookmarkStart w:id="1222" w:name="_Toc526234318"/>
      <w:r w:rsidRPr="0049492A">
        <w:t>Utredning om förbättrad styrning av lokalförsörjningen</w:t>
      </w:r>
      <w:bookmarkEnd w:id="1216"/>
      <w:bookmarkEnd w:id="1217"/>
      <w:bookmarkEnd w:id="1218"/>
      <w:bookmarkEnd w:id="1219"/>
      <w:bookmarkEnd w:id="1220"/>
      <w:bookmarkEnd w:id="1221"/>
      <w:bookmarkEnd w:id="1222"/>
      <w:r w:rsidRPr="0049492A">
        <w:t xml:space="preserve"> </w:t>
      </w:r>
    </w:p>
    <w:p w:rsidR="008D3479" w:rsidRPr="0049492A" w:rsidRDefault="008D3479">
      <w:r w:rsidRPr="0049492A">
        <w:t>Statskontoret fick år 1998 i uppdrag att utreda hur regeringens styrning och kontroll av den statliga lokalförsörjningen skulle kunna förbättras. Uppdraget innebar bl.a. att göra en översyn av principerna för basbudgetering och pri</w:t>
      </w:r>
      <w:r w:rsidRPr="0049492A">
        <w:t>s</w:t>
      </w:r>
      <w:r w:rsidRPr="0049492A">
        <w:t>omräkning av lokalkostnaderna samt att komma med förslag på förbättringar av budgeteringssystemet. I uppdraget konstateras att principen om myndi</w:t>
      </w:r>
      <w:r w:rsidRPr="0049492A">
        <w:t>g</w:t>
      </w:r>
      <w:r w:rsidRPr="0049492A">
        <w:t>heternas lokalförsörjning</w:t>
      </w:r>
      <w:r w:rsidRPr="0049492A">
        <w:t>s</w:t>
      </w:r>
      <w:r w:rsidRPr="0049492A">
        <w:t>ansvar skulle gälla även framgent.</w:t>
      </w:r>
      <w:r w:rsidRPr="0049492A">
        <w:rPr>
          <w:rStyle w:val="Fotnotsreferens"/>
        </w:rPr>
        <w:footnoteReference w:id="90"/>
      </w:r>
      <w:r w:rsidRPr="0049492A">
        <w:t xml:space="preserve"> </w:t>
      </w:r>
    </w:p>
    <w:p w:rsidR="008D3479" w:rsidRPr="0049492A" w:rsidRDefault="008D3479">
      <w:pPr>
        <w:pStyle w:val="Rubrik4-Utannumrering"/>
      </w:pPr>
      <w:bookmarkStart w:id="1223" w:name="_Toc524081121"/>
      <w:r w:rsidRPr="0049492A">
        <w:t>Statskontorets förslag på bättre styrning</w:t>
      </w:r>
      <w:bookmarkEnd w:id="1223"/>
      <w:r w:rsidRPr="0049492A">
        <w:t xml:space="preserve"> </w:t>
      </w:r>
    </w:p>
    <w:p w:rsidR="008D3479" w:rsidRPr="0049492A" w:rsidRDefault="008D3479">
      <w:r w:rsidRPr="0049492A">
        <w:t>Statskontoret kom fram till att det fanns möjligheter till förbättringar. Rik</w:t>
      </w:r>
      <w:r w:rsidRPr="0049492A">
        <w:t>s</w:t>
      </w:r>
      <w:r w:rsidRPr="0049492A">
        <w:t>dag och regering skulle ha möjlighet att förändra i fördelningen av resurser som satsas inom olika verksamhetsområden, menade Statskontoret. Myndi</w:t>
      </w:r>
      <w:r w:rsidRPr="0049492A">
        <w:t>g</w:t>
      </w:r>
      <w:r w:rsidRPr="0049492A">
        <w:t>heterna skulle inte hålla sig med lokaler som är dyrare än mot</w:t>
      </w:r>
      <w:r w:rsidRPr="0049492A">
        <w:t>i</w:t>
      </w:r>
      <w:r w:rsidRPr="0049492A">
        <w:t>verat.</w:t>
      </w:r>
      <w:r w:rsidRPr="0049492A">
        <w:rPr>
          <w:rStyle w:val="Fotnotsreferens"/>
        </w:rPr>
        <w:footnoteReference w:id="91"/>
      </w:r>
    </w:p>
    <w:p w:rsidR="008D3479" w:rsidRPr="0049492A" w:rsidRDefault="008D3479">
      <w:pPr>
        <w:pStyle w:val="Normaltindrag"/>
      </w:pPr>
      <w:r w:rsidRPr="0049492A">
        <w:t>Regeringen borde ha större möjlighet att påverka myndigheters lokalarea och läge vid nybildning och omstrukturering av myndigheter, ansåg Stat</w:t>
      </w:r>
      <w:r w:rsidRPr="0049492A">
        <w:t>s</w:t>
      </w:r>
      <w:r w:rsidRPr="0049492A">
        <w:t>kontoret. Resurstilldelningen skulle kunna användas för att påverka och därför borde metodiken för budgetering av lokalkostnader utvecklas. Enligt förslaget skulle nyckeltal kunna användas för en översiktlig beräkning av behövda lokaler, eller för en individuell beräkning för varje myndighet. Någon hänsyn till lokaler som verksamheten eventuellt redan har skulle inte tas, utan beräkningen av vilken typ av lokaler en viss verksamhet behövde skulle vara förutsättningslös. Angående basbudgetering för myndighe</w:t>
      </w:r>
      <w:r w:rsidRPr="0049492A">
        <w:t>ter i ändamålslokaler konstaterade Statskontoret att särskilda utredningar skulle behövas och erfarenhetsvärden hämtas på mer nedbrutna nivåer än för my</w:t>
      </w:r>
      <w:r w:rsidRPr="0049492A">
        <w:t>n</w:t>
      </w:r>
      <w:r w:rsidRPr="0049492A">
        <w:t>digheter i ko</w:t>
      </w:r>
      <w:r w:rsidRPr="0049492A">
        <w:t>n</w:t>
      </w:r>
      <w:r w:rsidRPr="0049492A">
        <w:t>torslokaler.</w:t>
      </w:r>
      <w:r w:rsidRPr="0049492A">
        <w:rPr>
          <w:rStyle w:val="Fotnotsreferens"/>
        </w:rPr>
        <w:footnoteReference w:id="92"/>
      </w:r>
    </w:p>
    <w:p w:rsidR="008D3479" w:rsidRPr="0049492A" w:rsidRDefault="008D3479">
      <w:pPr>
        <w:pStyle w:val="Normaltindrag"/>
      </w:pPr>
      <w:r w:rsidRPr="0049492A">
        <w:t>Flera olika prisomräkningssystem tillämpas i den nuvarande modellen; ett för generellt användbara lokaler, ett för ändamålslokaler och ett tredje för Försvarsmaktens lokaler. För generella fastigheter sker indexuppräkningen på olika sätt beroende på om myndigheten har löpande kontrakt eller om den kan omförhandla kontraktet under det avsedda året.</w:t>
      </w:r>
    </w:p>
    <w:p w:rsidR="008D3479" w:rsidRPr="0049492A" w:rsidRDefault="008D3479">
      <w:pPr>
        <w:pStyle w:val="Normaltindrag"/>
      </w:pPr>
      <w:r w:rsidRPr="0049492A">
        <w:t>Statskontorets överväganden om förenkling och effektivisering gick ut på att ett generellt antagande om genomsnittlig hyrestid skulle göras istället för att ta hänsyn till faktiska hyrestider. Statskontoret menade vidare att priso</w:t>
      </w:r>
      <w:r w:rsidRPr="0049492A">
        <w:t>m</w:t>
      </w:r>
      <w:r w:rsidRPr="0049492A">
        <w:t>räkning för ändamålslokaler skulle kunna ske på samma sätt som för gen</w:t>
      </w:r>
      <w:r w:rsidRPr="0049492A">
        <w:t>e</w:t>
      </w:r>
      <w:r w:rsidRPr="0049492A">
        <w:t>rella lokaler, eftersom marknadspriser delvis även avspeglar sig i hyror för ändamålslokaler. Ingen förändring av prisomräkning för Försvarsmaktens loka</w:t>
      </w:r>
      <w:r w:rsidRPr="0049492A">
        <w:t>l</w:t>
      </w:r>
      <w:r w:rsidRPr="0049492A">
        <w:t>kostnader föreslogs.</w:t>
      </w:r>
      <w:r w:rsidRPr="0049492A">
        <w:rPr>
          <w:rStyle w:val="Fotnotsreferens"/>
        </w:rPr>
        <w:footnoteReference w:id="93"/>
      </w:r>
    </w:p>
    <w:p w:rsidR="008D3479" w:rsidRPr="0049492A" w:rsidRDefault="008D3479">
      <w:pPr>
        <w:pStyle w:val="Rubrik4-Utannumrering"/>
      </w:pPr>
      <w:bookmarkStart w:id="1224" w:name="_Toc524062491"/>
      <w:bookmarkStart w:id="1225" w:name="_Toc524081122"/>
      <w:r w:rsidRPr="0049492A">
        <w:t>Ingen åtgärd från regeringen</w:t>
      </w:r>
      <w:bookmarkEnd w:id="1224"/>
      <w:bookmarkEnd w:id="1225"/>
    </w:p>
    <w:p w:rsidR="008D3479" w:rsidRPr="0049492A" w:rsidRDefault="008D3479">
      <w:r w:rsidRPr="0049492A">
        <w:t xml:space="preserve">Regeringen har inte vidtagit några åtgärder med anledning av Statskontorets förslag, och den ursprungliga modellen för budgetering och prisomräkning är därför fortfarande i bruk. </w:t>
      </w:r>
    </w:p>
    <w:p w:rsidR="008D3479" w:rsidRPr="0049492A" w:rsidRDefault="008D3479">
      <w:pPr>
        <w:pStyle w:val="Rubrik2-Utannumrering"/>
      </w:pPr>
      <w:bookmarkStart w:id="1226" w:name="_Toc514560783"/>
      <w:bookmarkStart w:id="1227" w:name="_Toc515247986"/>
      <w:bookmarkStart w:id="1228" w:name="_Toc515780836"/>
      <w:bookmarkStart w:id="1229" w:name="_Toc515855897"/>
      <w:bookmarkStart w:id="1230" w:name="_Toc515855999"/>
      <w:bookmarkStart w:id="1231" w:name="_Toc516536447"/>
      <w:bookmarkStart w:id="1232" w:name="_Toc516544599"/>
      <w:bookmarkStart w:id="1233" w:name="_Toc516545334"/>
      <w:bookmarkStart w:id="1234" w:name="_Toc516545467"/>
      <w:bookmarkStart w:id="1235" w:name="_Toc523215874"/>
      <w:bookmarkStart w:id="1236" w:name="_Toc524062492"/>
      <w:bookmarkStart w:id="1237" w:name="_Toc524081123"/>
      <w:bookmarkStart w:id="1238" w:name="_Toc524166795"/>
      <w:bookmarkStart w:id="1239" w:name="_Toc524168672"/>
      <w:bookmarkStart w:id="1240" w:name="_Toc524856397"/>
      <w:bookmarkStart w:id="1241" w:name="_Toc524926750"/>
      <w:bookmarkStart w:id="1242" w:name="_Toc526147841"/>
      <w:bookmarkStart w:id="1243" w:name="_Toc526234319"/>
      <w:bookmarkStart w:id="1244" w:name="_Toc532725201"/>
      <w:r w:rsidRPr="0049492A">
        <w:t>Anslagssparande och incitament</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rsidRPr="0049492A">
        <w:t xml:space="preserve"> </w:t>
      </w:r>
    </w:p>
    <w:p w:rsidR="008D3479" w:rsidRPr="0049492A" w:rsidRDefault="008D3479">
      <w:r w:rsidRPr="0049492A">
        <w:t>Det finns incitament för myndigheter att minska lokalkostnaderna, eftersom det frigör resurser som myndigheten kan använda till annat. När anslaget är tilldelat myndigheten kan det fritt disponeras av myndigheten, enligt anslag</w:t>
      </w:r>
      <w:r w:rsidRPr="0049492A">
        <w:t>s</w:t>
      </w:r>
      <w:r w:rsidRPr="0049492A">
        <w:t>förordningen.</w:t>
      </w:r>
      <w:r w:rsidRPr="0049492A">
        <w:rPr>
          <w:rStyle w:val="Fotnotsreferens"/>
        </w:rPr>
        <w:footnoteReference w:id="94"/>
      </w:r>
      <w:r w:rsidRPr="0049492A">
        <w:t xml:space="preserve"> Anslagsförordningen innebär bl.a. att myndigheten inte får ingå avtal som överskrider resursramarna eller som binder upp resurser län</w:t>
      </w:r>
      <w:r w:rsidRPr="0049492A">
        <w:t>g</w:t>
      </w:r>
      <w:r w:rsidRPr="0049492A">
        <w:t>re än en viss tid. Om myndighetens lokalkostnader ökar i förhållande till den prisomräknade lokalkostnadsandelen av anslaget får myndigheten inte ko</w:t>
      </w:r>
      <w:r w:rsidRPr="0049492A">
        <w:t>m</w:t>
      </w:r>
      <w:r w:rsidRPr="0049492A">
        <w:t>pensation för det, utan tvingas föra över resurser från någon annan kostnad</w:t>
      </w:r>
      <w:r w:rsidRPr="0049492A">
        <w:t>s</w:t>
      </w:r>
      <w:r w:rsidRPr="0049492A">
        <w:t>post. Den kostnadspost som myndigheten överfört resurser från kommer följande år att utgöra en mindre andel av anslaget. Om myndighetens loka</w:t>
      </w:r>
      <w:r w:rsidRPr="0049492A">
        <w:t>l</w:t>
      </w:r>
      <w:r w:rsidRPr="0049492A">
        <w:t xml:space="preserve">kostnader </w:t>
      </w:r>
      <w:r w:rsidRPr="0049492A">
        <w:t>minskar i förhållande till prisomräkningen kan myndigheten föra över de frigjorda resurserna till en annan kostnadspost. Som följd får my</w:t>
      </w:r>
      <w:r w:rsidRPr="0049492A">
        <w:t>n</w:t>
      </w:r>
      <w:r w:rsidRPr="0049492A">
        <w:t>digheten då en, i absoluta tal, minskad kompensation för lokalkostnader följande år.</w:t>
      </w:r>
      <w:r w:rsidRPr="0049492A">
        <w:rPr>
          <w:rStyle w:val="Fotnotsreferens"/>
        </w:rPr>
        <w:footnoteReference w:id="95"/>
      </w:r>
    </w:p>
    <w:p w:rsidR="008D3479" w:rsidRPr="0049492A" w:rsidRDefault="008D3479">
      <w:pPr>
        <w:pStyle w:val="Normaltindrag"/>
      </w:pPr>
      <w:r w:rsidRPr="0049492A">
        <w:t>Myndigheter har möjlighet att behålla frigjorda resurser från t.ex. lägre h</w:t>
      </w:r>
      <w:r w:rsidRPr="0049492A">
        <w:t>y</w:t>
      </w:r>
      <w:r w:rsidRPr="0049492A">
        <w:t>reskostnader, även om det leder till ett tillfälligt högt anslagssparande. Om myndigheten vid budgetårets slut inte förbrukat hela ramanslaget får upp till 3 procent av anslagssparandet föras över till nästa år. Det som återstår efter ytterligare två år dras in till statskassan. Myndigheten kan dock argumentera med regeringen för att få ha ett större anslagssparande än 3 procent, t.ex. genom att hänvisa till att en framgångsrik hyresförhandling lett till lägre hyreskostnader. Ofta godkänns ett större ansla</w:t>
      </w:r>
      <w:r w:rsidRPr="0049492A">
        <w:t>gssparande än 3 procent, om myndigheten har goda argument. Att kunna göra investeringar i framtiden är ett exempel på argument som inte brukar godkännas eftersom större inv</w:t>
      </w:r>
      <w:r w:rsidRPr="0049492A">
        <w:t>e</w:t>
      </w:r>
      <w:r w:rsidRPr="0049492A">
        <w:t>steringar ska lånefina</w:t>
      </w:r>
      <w:r w:rsidRPr="0049492A">
        <w:t>n</w:t>
      </w:r>
      <w:r w:rsidRPr="0049492A">
        <w:t>sieras.</w:t>
      </w:r>
      <w:r w:rsidRPr="0049492A">
        <w:rPr>
          <w:rStyle w:val="Fotnotsreferens"/>
        </w:rPr>
        <w:footnoteReference w:id="96"/>
      </w:r>
    </w:p>
    <w:p w:rsidR="008D3479" w:rsidRPr="0049492A" w:rsidRDefault="008D3479">
      <w:pPr>
        <w:pStyle w:val="Rubrik4-Utannumrering"/>
      </w:pPr>
      <w:bookmarkStart w:id="1245" w:name="_Toc524062493"/>
      <w:bookmarkStart w:id="1246" w:name="_Toc524081124"/>
      <w:r w:rsidRPr="0049492A">
        <w:t>För små motiv att spara?</w:t>
      </w:r>
      <w:bookmarkEnd w:id="1245"/>
      <w:bookmarkEnd w:id="1246"/>
    </w:p>
    <w:p w:rsidR="008D3479" w:rsidRPr="0049492A" w:rsidRDefault="008D3479">
      <w:r w:rsidRPr="0049492A">
        <w:t>Utvärderingen av statens fastighetsorganisation som gjordes 1997 behandl</w:t>
      </w:r>
      <w:r w:rsidRPr="0049492A">
        <w:t>a</w:t>
      </w:r>
      <w:r w:rsidRPr="0049492A">
        <w:t>de frågan om incitamenten till lokalbesparingar är för svaga. Följande res</w:t>
      </w:r>
      <w:r w:rsidRPr="0049492A">
        <w:t>o</w:t>
      </w:r>
      <w:r w:rsidRPr="0049492A">
        <w:t xml:space="preserve">nemang fördes kring frågan. </w:t>
      </w:r>
    </w:p>
    <w:p w:rsidR="008D3479" w:rsidRPr="0049492A" w:rsidRDefault="008D3479">
      <w:pPr>
        <w:pStyle w:val="Normaltindrag"/>
      </w:pPr>
      <w:r w:rsidRPr="0049492A">
        <w:t>Statsmakten bedömer i budgetprocessen vilken nivå anslagen till myndi</w:t>
      </w:r>
      <w:r w:rsidRPr="0049492A">
        <w:t>g</w:t>
      </w:r>
      <w:r w:rsidRPr="0049492A">
        <w:t>heterna ska ha. Hur hög denna nivå är beror av vad statsmakten vill uppnå och vilka resurser man tror behövs för att uppnå detta. Om målen går att uppnå med mindre resurser än beräknat är det rimligt att anslagen anpassas efter det. För att myndigheten ska ha incitament till effektivisering kan dock inte resurstilldelningen påverkas alltför mycket av myndighetens resultat.</w:t>
      </w:r>
    </w:p>
    <w:p w:rsidR="008D3479" w:rsidRPr="0049492A" w:rsidRDefault="008D3479">
      <w:pPr>
        <w:pStyle w:val="Normaltindrag"/>
      </w:pPr>
      <w:r w:rsidRPr="0049492A">
        <w:t>Slutsatsen som drogs i utvärderingen var att anslagsprocessen måste bedr</w:t>
      </w:r>
      <w:r w:rsidRPr="0049492A">
        <w:t>i</w:t>
      </w:r>
      <w:r w:rsidRPr="0049492A">
        <w:t>vas i en dialog mellan myndigheter och departement, som känner till my</w:t>
      </w:r>
      <w:r w:rsidRPr="0049492A">
        <w:t>n</w:t>
      </w:r>
      <w:r w:rsidRPr="0049492A">
        <w:t>digheternas lokalsituation och vad som är en rimlig resursåtgång. Det är nödvändigt för att anslagsprocessen ska kunna skapa balans mellan myndi</w:t>
      </w:r>
      <w:r w:rsidRPr="0049492A">
        <w:t>g</w:t>
      </w:r>
      <w:r w:rsidRPr="0049492A">
        <w:t>hetens incitament och statens budgetbesparingar.</w:t>
      </w:r>
      <w:r w:rsidRPr="0049492A">
        <w:rPr>
          <w:rStyle w:val="Fotnotsreferens"/>
        </w:rPr>
        <w:footnoteReference w:id="97"/>
      </w:r>
      <w:r w:rsidRPr="0049492A">
        <w:t xml:space="preserve"> </w:t>
      </w:r>
    </w:p>
    <w:p w:rsidR="008D3479" w:rsidRPr="0049492A" w:rsidRDefault="008D3479">
      <w:pPr>
        <w:pStyle w:val="Rubrik1"/>
      </w:pPr>
      <w:bookmarkStart w:id="1247" w:name="_Toc514560784"/>
      <w:bookmarkStart w:id="1248" w:name="_Toc515247987"/>
      <w:bookmarkStart w:id="1249" w:name="_Toc515780838"/>
      <w:bookmarkStart w:id="1250" w:name="_Toc515855899"/>
      <w:bookmarkStart w:id="1251" w:name="_Toc515856001"/>
      <w:bookmarkStart w:id="1252" w:name="_Toc516536448"/>
      <w:bookmarkStart w:id="1253" w:name="_Toc516544600"/>
      <w:bookmarkStart w:id="1254" w:name="_Toc516545335"/>
      <w:bookmarkStart w:id="1255" w:name="_Toc516545468"/>
      <w:bookmarkStart w:id="1256" w:name="_Toc523215875"/>
      <w:bookmarkStart w:id="1257" w:name="_Toc524062494"/>
      <w:bookmarkStart w:id="1258" w:name="_Toc524081125"/>
      <w:bookmarkStart w:id="1259" w:name="_Toc524166796"/>
      <w:bookmarkStart w:id="1260" w:name="_Toc524168673"/>
      <w:bookmarkStart w:id="1261" w:name="_Toc524856398"/>
      <w:bookmarkStart w:id="1262" w:name="_Toc524926751"/>
      <w:bookmarkStart w:id="1263" w:name="_Toc526147842"/>
      <w:bookmarkStart w:id="1264" w:name="_Toc526234320"/>
      <w:bookmarkStart w:id="1265" w:name="_Toc532725202"/>
      <w:r w:rsidRPr="0049492A">
        <w:t>Regeringskansliets översyn av hyressättning av kulturinstitutioner</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r w:rsidRPr="0049492A">
        <w:t xml:space="preserve"> </w:t>
      </w:r>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Sammanfattning:</w:t>
      </w:r>
      <w:r w:rsidRPr="0049492A">
        <w:t xml:space="preserve"> Regeringen föreslår kostnadsbaserad hyra för fem ku</w:t>
      </w:r>
      <w:r w:rsidRPr="0049492A">
        <w:t>l</w:t>
      </w:r>
      <w:r w:rsidRPr="0049492A">
        <w:t xml:space="preserve">turinstitutioners huvudbyggnader. Fastigheterna är i hög grad formade för sitt ändamål, byggnaderna är symboler för kulturinstitutionernas verksamhet och utgör delar av stadsbilden, enligt Regeringskansliets bedömning.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Öppenhet och insyn är viktigt, men det innebär inte att förvaltningskostn</w:t>
      </w:r>
      <w:r w:rsidRPr="0049492A">
        <w:t>a</w:t>
      </w:r>
      <w:r w:rsidRPr="0049492A">
        <w:t>der måste redovisas i en marknadsrelaterad hyresmodell, menar Regering</w:t>
      </w:r>
      <w:r w:rsidRPr="0049492A">
        <w:t>s</w:t>
      </w:r>
      <w:r w:rsidRPr="0049492A">
        <w:t>kan</w:t>
      </w:r>
      <w:r w:rsidRPr="0049492A">
        <w:t>s</w:t>
      </w:r>
      <w:r w:rsidRPr="0049492A">
        <w:t xml:space="preserve">liet. </w:t>
      </w:r>
    </w:p>
    <w:p w:rsidR="008D3479" w:rsidRPr="0049492A" w:rsidRDefault="008D3479">
      <w:pPr>
        <w:pStyle w:val="Normaltindrag"/>
        <w:pBdr>
          <w:top w:val="single" w:sz="4" w:space="1" w:color="auto"/>
          <w:left w:val="single" w:sz="4" w:space="4" w:color="auto"/>
          <w:bottom w:val="single" w:sz="4" w:space="1" w:color="auto"/>
          <w:right w:val="single" w:sz="4" w:space="4" w:color="auto"/>
        </w:pBdr>
      </w:pPr>
      <w:r w:rsidRPr="0049492A">
        <w:t xml:space="preserve">Statskontoret ska få i uppdrag att se över hur systemet för prisomräkning kan bli mer funktionellt för myndigheter i ändamålslokaler. </w:t>
      </w:r>
    </w:p>
    <w:p w:rsidR="008D3479" w:rsidRPr="0049492A" w:rsidRDefault="008D3479">
      <w:r w:rsidRPr="0049492A">
        <w:t>Hösten år 2000 tillsattes en arbetsgrupp inom Regeringskansliet med up</w:t>
      </w:r>
      <w:r w:rsidRPr="0049492A">
        <w:t>p</w:t>
      </w:r>
      <w:r w:rsidRPr="0049492A">
        <w:t>drag att göra en översyn av hyresprinciperna och deras tillämpning för vissa statliga ändamålsfastigheter, i första hand kulturinstitutionerna. Arbetsgru</w:t>
      </w:r>
      <w:r w:rsidRPr="0049492A">
        <w:t>p</w:t>
      </w:r>
      <w:r w:rsidRPr="0049492A">
        <w:t>pen skulle också föreslå sådana ändringar som översynen ger anledning till. Utgångspunkt för översynen är de bedömningar som gjordes av regeringen och finansutskottet 1998</w:t>
      </w:r>
      <w:r w:rsidRPr="0049492A">
        <w:rPr>
          <w:rStyle w:val="Fotnotsreferens"/>
        </w:rPr>
        <w:footnoteReference w:id="98"/>
      </w:r>
      <w:r w:rsidRPr="0049492A">
        <w:t>. Revisorernas granskning ska enligt förstudien ta hänsyn till resultaten av övers</w:t>
      </w:r>
      <w:r w:rsidRPr="0049492A">
        <w:t>y</w:t>
      </w:r>
      <w:r w:rsidRPr="0049492A">
        <w:t>nen.</w:t>
      </w:r>
      <w:r w:rsidRPr="0049492A">
        <w:rPr>
          <w:rStyle w:val="Fotnotsreferens"/>
        </w:rPr>
        <w:footnoteReference w:id="99"/>
      </w:r>
      <w:r w:rsidRPr="0049492A">
        <w:t xml:space="preserve"> </w:t>
      </w:r>
    </w:p>
    <w:p w:rsidR="008D3479" w:rsidRPr="0049492A" w:rsidRDefault="008D3479">
      <w:pPr>
        <w:pStyle w:val="Rubrik4-Utannumrering"/>
      </w:pPr>
      <w:bookmarkStart w:id="1266" w:name="_Toc524062495"/>
      <w:bookmarkStart w:id="1267" w:name="_Toc524081126"/>
      <w:r w:rsidRPr="0049492A">
        <w:t>Arbetsgruppens slutsatser</w:t>
      </w:r>
      <w:bookmarkEnd w:id="1266"/>
      <w:bookmarkEnd w:id="1267"/>
    </w:p>
    <w:p w:rsidR="008D3479" w:rsidRPr="0049492A" w:rsidRDefault="008D3479">
      <w:r w:rsidRPr="0049492A">
        <w:t xml:space="preserve">Arbetsgruppen drar följande </w:t>
      </w:r>
      <w:r w:rsidRPr="0049492A">
        <w:rPr>
          <w:i/>
        </w:rPr>
        <w:t>slutsatser</w:t>
      </w:r>
      <w:r w:rsidRPr="0049492A">
        <w:t xml:space="preserve"> angående hur den reformerade fasti</w:t>
      </w:r>
      <w:r w:rsidRPr="0049492A">
        <w:t>g</w:t>
      </w:r>
      <w:r w:rsidRPr="0049492A">
        <w:t xml:space="preserve">hetsförvaltningen och lokalförsörjningen har påverkat kulturinstitutionernas hyressituation: </w:t>
      </w:r>
    </w:p>
    <w:p w:rsidR="008D3479" w:rsidRPr="0049492A" w:rsidRDefault="008D3479">
      <w:pPr>
        <w:pStyle w:val="Normaltindrag"/>
        <w:numPr>
          <w:ilvl w:val="0"/>
          <w:numId w:val="42"/>
        </w:numPr>
      </w:pPr>
      <w:r w:rsidRPr="0049492A">
        <w:t>När reformen genomfördes justerades anslagen så att reformen var resursmässigt neutral för kulturinstitutioner och andra statliga my</w:t>
      </w:r>
      <w:r w:rsidRPr="0049492A">
        <w:t>n</w:t>
      </w:r>
      <w:r w:rsidRPr="0049492A">
        <w:t>digheter.</w:t>
      </w:r>
    </w:p>
    <w:p w:rsidR="008D3479" w:rsidRPr="0049492A" w:rsidRDefault="008D3479">
      <w:pPr>
        <w:pStyle w:val="Normaltindrag"/>
        <w:numPr>
          <w:ilvl w:val="0"/>
          <w:numId w:val="41"/>
        </w:numPr>
      </w:pPr>
      <w:r w:rsidRPr="0049492A">
        <w:t>De ökade fastighetsvärdena påverkade inte kulturinstitutionernas h</w:t>
      </w:r>
      <w:r w:rsidRPr="0049492A">
        <w:t>y</w:t>
      </w:r>
      <w:r w:rsidRPr="0049492A">
        <w:t>re</w:t>
      </w:r>
      <w:r w:rsidRPr="0049492A">
        <w:t>s</w:t>
      </w:r>
      <w:r w:rsidRPr="0049492A">
        <w:t>kostnader.</w:t>
      </w:r>
    </w:p>
    <w:p w:rsidR="008D3479" w:rsidRPr="0049492A" w:rsidRDefault="008D3479">
      <w:pPr>
        <w:pStyle w:val="Normaltindrag"/>
        <w:numPr>
          <w:ilvl w:val="0"/>
          <w:numId w:val="41"/>
        </w:numPr>
      </w:pPr>
      <w:r w:rsidRPr="0049492A">
        <w:t>Prisomräkningen av lokalkostnadsdelen av anslagen garanterar inte myndigheter i ändamålsfastigheter kompensation för hyreshöjningar vid omfö</w:t>
      </w:r>
      <w:r w:rsidRPr="0049492A">
        <w:t>r</w:t>
      </w:r>
      <w:r w:rsidRPr="0049492A">
        <w:t xml:space="preserve">handling. </w:t>
      </w:r>
    </w:p>
    <w:p w:rsidR="008D3479" w:rsidRPr="0049492A" w:rsidRDefault="008D3479">
      <w:pPr>
        <w:pStyle w:val="Normaltindrag"/>
        <w:numPr>
          <w:ilvl w:val="0"/>
          <w:numId w:val="41"/>
        </w:numPr>
      </w:pPr>
      <w:r w:rsidRPr="0049492A">
        <w:t>Alla kulturinstitutioner har inte hög lokalkostnadsandel. Hyressät</w:t>
      </w:r>
      <w:r w:rsidRPr="0049492A">
        <w:t>t</w:t>
      </w:r>
      <w:r w:rsidRPr="0049492A">
        <w:t>ningen för Operans och Dramatens centrala fastigheter har inte i v</w:t>
      </w:r>
      <w:r w:rsidRPr="0049492A">
        <w:t>ä</w:t>
      </w:r>
      <w:r w:rsidRPr="0049492A">
        <w:t>sentlig mån bidragit till de höjda hyreskostnaderna för dessa två ku</w:t>
      </w:r>
      <w:r w:rsidRPr="0049492A">
        <w:t>l</w:t>
      </w:r>
      <w:r w:rsidRPr="0049492A">
        <w:t xml:space="preserve">turinstitutioner. </w:t>
      </w:r>
    </w:p>
    <w:p w:rsidR="008D3479" w:rsidRPr="0049492A" w:rsidRDefault="008D3479">
      <w:pPr>
        <w:pStyle w:val="Normaltindrag"/>
        <w:numPr>
          <w:ilvl w:val="0"/>
          <w:numId w:val="41"/>
        </w:numPr>
      </w:pPr>
      <w:r w:rsidRPr="0049492A">
        <w:t xml:space="preserve">Kapitalkostnaden är en grundläggande beståndsdel i den ordning för fastighetsförvaltning som riksdagen beslutat om, och den ska ingå i hyran för statliga ändamålsfastigheter. </w:t>
      </w:r>
    </w:p>
    <w:p w:rsidR="008D3479" w:rsidRPr="0049492A" w:rsidRDefault="008D3479">
      <w:pPr>
        <w:pStyle w:val="Normaltindrag"/>
        <w:numPr>
          <w:ilvl w:val="0"/>
          <w:numId w:val="41"/>
        </w:numPr>
      </w:pPr>
      <w:r w:rsidRPr="0049492A">
        <w:t xml:space="preserve">Den avkastning som Fastighetsverket eftersträvar för fastigheter som bl.a. kulturinstitutioner använder avviker inte från det avkastningskrav som andra statliga fastighetsförvaltare har. </w:t>
      </w:r>
    </w:p>
    <w:p w:rsidR="008D3479" w:rsidRPr="0049492A" w:rsidRDefault="008D3479">
      <w:pPr>
        <w:pStyle w:val="Normaltindrag"/>
        <w:numPr>
          <w:ilvl w:val="0"/>
          <w:numId w:val="41"/>
        </w:numPr>
      </w:pPr>
      <w:r w:rsidRPr="0049492A">
        <w:t>Vad finansutskottet anfört om självkostnadshyror som en naturlig u</w:t>
      </w:r>
      <w:r w:rsidRPr="0049492A">
        <w:t>t</w:t>
      </w:r>
      <w:r w:rsidRPr="0049492A">
        <w:t>gångspunkt för hyressättning för ändamålsfastigheter har fått geno</w:t>
      </w:r>
      <w:r w:rsidRPr="0049492A">
        <w:t>m</w:t>
      </w:r>
      <w:r w:rsidRPr="0049492A">
        <w:t xml:space="preserve">slag i fråga om nybyggen och donationsfastigheter men inte för äldre fastigheter. För de sistnämnda har marknadshyra använts och någon egentlig förhandling om hyresmodellen har således ännu inte skett. </w:t>
      </w:r>
    </w:p>
    <w:p w:rsidR="008D3479" w:rsidRPr="0049492A" w:rsidRDefault="008D3479">
      <w:pPr>
        <w:pStyle w:val="Normaltindrag"/>
        <w:numPr>
          <w:ilvl w:val="0"/>
          <w:numId w:val="41"/>
        </w:numPr>
      </w:pPr>
      <w:r w:rsidRPr="0049492A">
        <w:t>Det finns utrymme för Fastighetsverket att förbättra relationen till ett antal kulturinstitutioner som hyr ändamålslokaler. Detta bör bl.a. ske genom ökad öppenhet om fakta som är relevanta vid hyresförhan</w:t>
      </w:r>
      <w:r w:rsidRPr="0049492A">
        <w:t>d</w:t>
      </w:r>
      <w:r w:rsidRPr="0049492A">
        <w:t>lingar samt vid utformningen av drifts-, underhålls- och ombyggnad</w:t>
      </w:r>
      <w:r w:rsidRPr="0049492A">
        <w:t>s</w:t>
      </w:r>
      <w:r w:rsidRPr="0049492A">
        <w:t xml:space="preserve">planer. </w:t>
      </w:r>
    </w:p>
    <w:p w:rsidR="008D3479" w:rsidRPr="0049492A" w:rsidRDefault="008D3479">
      <w:pPr>
        <w:pStyle w:val="Normaltindrag"/>
        <w:numPr>
          <w:ilvl w:val="0"/>
          <w:numId w:val="41"/>
        </w:numPr>
      </w:pPr>
      <w:r w:rsidRPr="0049492A">
        <w:t>Den starka betoning av kundnytta och kostnadseffektivitet som r</w:t>
      </w:r>
      <w:r w:rsidRPr="0049492A">
        <w:t>e</w:t>
      </w:r>
      <w:r w:rsidRPr="0049492A">
        <w:t xml:space="preserve">geringen och riksdagen gör i fråga om ändamålsfastigheter har ännu inte till fullo uppnåtts. </w:t>
      </w:r>
    </w:p>
    <w:p w:rsidR="008D3479" w:rsidRPr="0049492A" w:rsidRDefault="008D3479">
      <w:pPr>
        <w:pStyle w:val="Rubrik4-Utannumrering"/>
      </w:pPr>
      <w:bookmarkStart w:id="1268" w:name="_Toc524062496"/>
      <w:bookmarkStart w:id="1269" w:name="_Toc524081127"/>
      <w:r w:rsidRPr="0049492A">
        <w:t>Arbetsgruppens förslag</w:t>
      </w:r>
      <w:bookmarkEnd w:id="1268"/>
      <w:bookmarkEnd w:id="1269"/>
    </w:p>
    <w:p w:rsidR="008D3479" w:rsidRPr="0049492A" w:rsidRDefault="008D3479">
      <w:r w:rsidRPr="0049492A">
        <w:t xml:space="preserve">Mot bakgrund av dessa slutsatser presenterar arbetsgruppen följande </w:t>
      </w:r>
      <w:r w:rsidRPr="0049492A">
        <w:rPr>
          <w:i/>
        </w:rPr>
        <w:t>förslag</w:t>
      </w:r>
      <w:r w:rsidRPr="0049492A">
        <w:t xml:space="preserve"> till åtgärder som skulle förbättra reformens praktiska tillämpning samt sy</w:t>
      </w:r>
      <w:r w:rsidRPr="0049492A">
        <w:t>n</w:t>
      </w:r>
      <w:r w:rsidRPr="0049492A">
        <w:t xml:space="preserve">punkter på vad som inte behöver åtgärdas: </w:t>
      </w:r>
    </w:p>
    <w:p w:rsidR="008D3479" w:rsidRPr="0049492A" w:rsidRDefault="008D3479">
      <w:pPr>
        <w:numPr>
          <w:ilvl w:val="0"/>
          <w:numId w:val="41"/>
        </w:numPr>
      </w:pPr>
      <w:r w:rsidRPr="0049492A">
        <w:t>De modeller för hyressättning som Fastighetsverket använder ger til</w:t>
      </w:r>
      <w:r w:rsidRPr="0049492A">
        <w:t>l</w:t>
      </w:r>
      <w:r w:rsidRPr="0049492A">
        <w:t xml:space="preserve">räcklig handlingsfrihet för att parterna ska kunna komma överens om en lämplig hyresmodell. Det saknas behov av att utveckla ytterligare hyresmodeller för kulturinstitutionerna. </w:t>
      </w:r>
    </w:p>
    <w:p w:rsidR="008D3479" w:rsidRPr="0049492A" w:rsidRDefault="008D3479">
      <w:pPr>
        <w:pStyle w:val="Normaltindrag"/>
        <w:numPr>
          <w:ilvl w:val="0"/>
          <w:numId w:val="41"/>
        </w:numPr>
      </w:pPr>
      <w:r w:rsidRPr="0049492A">
        <w:t xml:space="preserve">För  några äldre fastigheter, som i mycket hög grad formats för sitt ändamål och där byggnaderna kommit att bli symboler för kulturin-stitutionernas verksamhet, bör </w:t>
      </w:r>
      <w:r w:rsidRPr="0049492A">
        <w:rPr>
          <w:i/>
        </w:rPr>
        <w:t>kostnadsbaserade</w:t>
      </w:r>
      <w:r w:rsidRPr="0049492A">
        <w:t xml:space="preserve"> i stället för mar</w:t>
      </w:r>
      <w:r w:rsidRPr="0049492A">
        <w:t>k</w:t>
      </w:r>
      <w:r w:rsidRPr="0049492A">
        <w:t>nadsliknande hyror kunna tillämpas. I första hand gäller det huvu</w:t>
      </w:r>
      <w:r w:rsidRPr="0049492A">
        <w:t>d</w:t>
      </w:r>
      <w:r w:rsidRPr="0049492A">
        <w:t>byggnaderna som används av Operan, Dramaten och Nationalmus</w:t>
      </w:r>
      <w:r w:rsidRPr="0049492A">
        <w:t>e</w:t>
      </w:r>
      <w:r w:rsidRPr="0049492A">
        <w:t>um. Dessa byggnader utgör också viktiga delar av huvudstadens stadsbild. Frånvaron av lokalhyror som kan användas i en övertyga</w:t>
      </w:r>
      <w:r w:rsidRPr="0049492A">
        <w:t>n</w:t>
      </w:r>
      <w:r w:rsidRPr="0049492A">
        <w:t>de marknadsliknande jämförelse för dessa fastigheter har medverkat till att det har visat sig svårt att vinna förståelse för den marknadsli</w:t>
      </w:r>
      <w:r w:rsidRPr="0049492A">
        <w:t>k</w:t>
      </w:r>
      <w:r w:rsidRPr="0049492A">
        <w:t>nande modellen. Motsvarande förutsättningar föreligger enligt arbet</w:t>
      </w:r>
      <w:r w:rsidRPr="0049492A">
        <w:t>s</w:t>
      </w:r>
      <w:r w:rsidRPr="0049492A">
        <w:t>gruppen också f</w:t>
      </w:r>
      <w:r w:rsidRPr="0049492A">
        <w:t>ör Naturhistoriska riksmuseets och Historiska museets huvudbyggnader. Arbetsgruppens förslag beräknas minska hyreskos</w:t>
      </w:r>
      <w:r w:rsidRPr="0049492A">
        <w:t>t</w:t>
      </w:r>
      <w:r w:rsidRPr="0049492A">
        <w:t>naden med 19,1 miljoner kronor och skulle leda till motsvarande fö</w:t>
      </w:r>
      <w:r w:rsidRPr="0049492A">
        <w:t>r</w:t>
      </w:r>
      <w:r w:rsidRPr="0049492A">
        <w:t>svagning av statsbudgeten till följd av minskade inleveranser från Fastighetsverket. Det konstateras att statens utgifter behöver minskas med det beloppet, företrädesvis inom det berörda utgiftso</w:t>
      </w:r>
      <w:r w:rsidRPr="0049492A">
        <w:t>m</w:t>
      </w:r>
      <w:r w:rsidRPr="0049492A">
        <w:t>rådet.</w:t>
      </w:r>
    </w:p>
    <w:p w:rsidR="008D3479" w:rsidRPr="0049492A" w:rsidRDefault="008D3479">
      <w:pPr>
        <w:pStyle w:val="Normaltindrag"/>
        <w:numPr>
          <w:ilvl w:val="0"/>
          <w:numId w:val="41"/>
        </w:numPr>
      </w:pPr>
      <w:r w:rsidRPr="0049492A">
        <w:t>Öppenhet och insyn är av stor betydelse för ett förtroendefullt förhå</w:t>
      </w:r>
      <w:r w:rsidRPr="0049492A">
        <w:t>l</w:t>
      </w:r>
      <w:r w:rsidRPr="0049492A">
        <w:t>lande mellan hyresvärd och hyresgäst, enligt arbetsgruppen. Fasti</w:t>
      </w:r>
      <w:r w:rsidRPr="0049492A">
        <w:t>g</w:t>
      </w:r>
      <w:r w:rsidRPr="0049492A">
        <w:t>hetsverket bör iaktta full öppenhet vid förhandlingar om hyresavtal och i fråga om drifts- och underhållsåtgärder under hyresperioden. I</w:t>
      </w:r>
      <w:r w:rsidRPr="0049492A">
        <w:t>n</w:t>
      </w:r>
      <w:r w:rsidRPr="0049492A">
        <w:t>nebörden av öppenhet beror dock delvis på vilken hyressättningsm</w:t>
      </w:r>
      <w:r w:rsidRPr="0049492A">
        <w:t>o</w:t>
      </w:r>
      <w:r w:rsidRPr="0049492A">
        <w:t>dell som tillämpas. I en marknadsrelaterad modell kan inte hyresgä</w:t>
      </w:r>
      <w:r w:rsidRPr="0049492A">
        <w:t>s</w:t>
      </w:r>
      <w:r w:rsidRPr="0049492A">
        <w:t>ten förvänta sig att få insyn i drifts- och underhållskostn</w:t>
      </w:r>
      <w:r w:rsidRPr="0049492A">
        <w:t>a</w:t>
      </w:r>
      <w:r w:rsidRPr="0049492A">
        <w:t xml:space="preserve">der. </w:t>
      </w:r>
    </w:p>
    <w:p w:rsidR="008D3479" w:rsidRPr="0049492A" w:rsidRDefault="008D3479">
      <w:pPr>
        <w:pStyle w:val="Normaltindrag"/>
        <w:numPr>
          <w:ilvl w:val="0"/>
          <w:numId w:val="41"/>
        </w:numPr>
      </w:pPr>
      <w:r w:rsidRPr="0049492A">
        <w:t>Fastighetsverket bör, med de begränsningar som följer med ansvaret för en fastighets långsiktiga och kulturhis</w:t>
      </w:r>
      <w:r w:rsidRPr="0049492A">
        <w:t>toriska värde, visa beredvi</w:t>
      </w:r>
      <w:r w:rsidRPr="0049492A">
        <w:t>l</w:t>
      </w:r>
      <w:r w:rsidRPr="0049492A">
        <w:t xml:space="preserve">lighet att tillmötesgå en hyresgästs önskemål om hur ansvaret för drift och underhåll av fastigheten ska fördelas. </w:t>
      </w:r>
    </w:p>
    <w:p w:rsidR="008D3479" w:rsidRPr="0049492A" w:rsidRDefault="008D3479">
      <w:pPr>
        <w:pStyle w:val="Normaltindrag"/>
        <w:numPr>
          <w:ilvl w:val="0"/>
          <w:numId w:val="41"/>
        </w:numPr>
      </w:pPr>
      <w:r w:rsidRPr="0049492A">
        <w:t>Arbetsgruppen föreslår att Statskontoret ges i uppdrag att lämna det underlag som behövs för att en tillfredsställande prisomräkning ska kunna göras av anslagen i samband med att hyresavtalen för kulturi</w:t>
      </w:r>
      <w:r w:rsidRPr="0049492A">
        <w:t>n</w:t>
      </w:r>
      <w:r w:rsidRPr="0049492A">
        <w:t>stitutioners änd</w:t>
      </w:r>
      <w:r w:rsidRPr="0049492A">
        <w:t>a</w:t>
      </w:r>
      <w:r w:rsidRPr="0049492A">
        <w:t xml:space="preserve">målslokaler tecknas om. </w:t>
      </w:r>
    </w:p>
    <w:p w:rsidR="008D3479" w:rsidRPr="0049492A" w:rsidRDefault="008D3479">
      <w:pPr>
        <w:pStyle w:val="Normaltindrag"/>
      </w:pPr>
      <w:r w:rsidRPr="0049492A">
        <w:t>I den ekonomiska vårpropositionen föreslår regeringen att kostnadsbaser</w:t>
      </w:r>
      <w:r w:rsidRPr="0049492A">
        <w:t>a</w:t>
      </w:r>
      <w:r w:rsidRPr="0049492A">
        <w:t>de hyror bör tillämpas, enligt arbetsgruppens förslag. I budgetpropositionen för 2002 framkommer att anslagen till de berörda institutionerna ska minska med 19,1 miljoner kronor, till följd av minskade inleveranser från Statens fasti</w:t>
      </w:r>
      <w:r w:rsidRPr="0049492A">
        <w:t>g</w:t>
      </w:r>
      <w:r w:rsidRPr="0049492A">
        <w:t>hetsverk till statsbudgeten.</w:t>
      </w:r>
      <w:r w:rsidRPr="0049492A">
        <w:rPr>
          <w:rStyle w:val="Fotnotsreferens"/>
        </w:rPr>
        <w:footnoteReference w:id="100"/>
      </w:r>
      <w:r w:rsidRPr="0049492A">
        <w:t xml:space="preserve"> </w:t>
      </w:r>
    </w:p>
    <w:p w:rsidR="008D3479" w:rsidRPr="0049492A" w:rsidRDefault="008D3479">
      <w:pPr>
        <w:pStyle w:val="Normaltindrag"/>
      </w:pPr>
      <w:r w:rsidRPr="0049492A">
        <w:t>Regeringen anser vidare att Fastighetsverket ska visa beredvillighet att tillmötesgå en hyresgästs önskemål om hur ansvaret för drift och underhåll av fastigheten ska fördelas, med de reservationer som arbetsgru</w:t>
      </w:r>
      <w:r w:rsidRPr="0049492A">
        <w:t>p</w:t>
      </w:r>
      <w:r w:rsidRPr="0049492A">
        <w:t>pen anger.</w:t>
      </w:r>
    </w:p>
    <w:p w:rsidR="008D3479" w:rsidRPr="0049492A" w:rsidRDefault="008D3479">
      <w:pPr>
        <w:pStyle w:val="Normaltindrag"/>
      </w:pPr>
      <w:r w:rsidRPr="0049492A">
        <w:t>Regeringen ska ge Statskontoret i uppdrag att lämna det underlag som krävs för prisomräkning för kulturinstitutioners ändamålslokaler, enligt a</w:t>
      </w:r>
      <w:r w:rsidRPr="0049492A">
        <w:t>r</w:t>
      </w:r>
      <w:r w:rsidRPr="0049492A">
        <w:t>betsgruppens förslag. Riksdagen invänder inte mot regeringens förslag.</w:t>
      </w:r>
      <w:r w:rsidRPr="0049492A">
        <w:rPr>
          <w:rStyle w:val="Fotnotsreferens"/>
        </w:rPr>
        <w:footnoteReference w:id="101"/>
      </w:r>
      <w:r w:rsidRPr="0049492A">
        <w:t xml:space="preserve"> </w:t>
      </w:r>
    </w:p>
    <w:p w:rsidR="008D3479" w:rsidRPr="0049492A" w:rsidRDefault="008D3479">
      <w:pPr>
        <w:pStyle w:val="Rubrik1"/>
      </w:pPr>
      <w:bookmarkStart w:id="1270" w:name="_Toc515780844"/>
      <w:bookmarkStart w:id="1271" w:name="_Toc515855905"/>
      <w:bookmarkStart w:id="1272" w:name="_Toc515856007"/>
      <w:bookmarkStart w:id="1273" w:name="_Toc516536454"/>
      <w:bookmarkStart w:id="1274" w:name="_Toc516544606"/>
      <w:bookmarkStart w:id="1275" w:name="_Toc516545341"/>
      <w:bookmarkStart w:id="1276" w:name="_Toc516545474"/>
      <w:bookmarkStart w:id="1277" w:name="_Toc523215881"/>
      <w:bookmarkStart w:id="1278" w:name="_Toc524062497"/>
      <w:bookmarkStart w:id="1279" w:name="_Toc524081128"/>
      <w:bookmarkStart w:id="1280" w:name="_Toc524166797"/>
      <w:bookmarkStart w:id="1281" w:name="_Toc524168674"/>
      <w:bookmarkStart w:id="1282" w:name="_Toc524856399"/>
      <w:bookmarkStart w:id="1283" w:name="_Toc524926752"/>
      <w:bookmarkStart w:id="1284" w:name="_Toc526147843"/>
      <w:bookmarkStart w:id="1285" w:name="_Toc526234321"/>
      <w:bookmarkStart w:id="1286" w:name="_Toc532725203"/>
      <w:r w:rsidRPr="0049492A">
        <w:t>Revisorernas slutsatser och förslag</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rsidR="008D3479" w:rsidRPr="0049492A" w:rsidRDefault="008D3479">
      <w:pPr>
        <w:pStyle w:val="Rubrik2-Utannumrering"/>
      </w:pPr>
      <w:bookmarkStart w:id="1287" w:name="_Toc515780845"/>
      <w:bookmarkStart w:id="1288" w:name="_Toc515855906"/>
      <w:bookmarkStart w:id="1289" w:name="_Toc515856008"/>
      <w:bookmarkStart w:id="1290" w:name="_Toc516536455"/>
      <w:bookmarkStart w:id="1291" w:name="_Toc516544607"/>
      <w:bookmarkStart w:id="1292" w:name="_Toc516545342"/>
      <w:bookmarkStart w:id="1293" w:name="_Toc516545475"/>
      <w:bookmarkStart w:id="1294" w:name="_Toc523215882"/>
      <w:bookmarkStart w:id="1295" w:name="_Toc524062498"/>
      <w:bookmarkStart w:id="1296" w:name="_Toc524081129"/>
      <w:bookmarkStart w:id="1297" w:name="_Toc524166798"/>
      <w:bookmarkStart w:id="1298" w:name="_Toc524168675"/>
      <w:bookmarkStart w:id="1299" w:name="_Toc524856400"/>
      <w:bookmarkStart w:id="1300" w:name="_Toc524926753"/>
      <w:bookmarkStart w:id="1301" w:name="_Toc526147844"/>
      <w:bookmarkStart w:id="1302" w:name="_Toc526234322"/>
      <w:bookmarkStart w:id="1303" w:name="_Toc532725204"/>
      <w:r w:rsidRPr="0049492A">
        <w:t>Riksdagens direktiv om hyressättning är inte vidarebefordrade av regeringen</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Förslag:</w:t>
      </w:r>
      <w:r w:rsidRPr="0049492A">
        <w:t xml:space="preserve"> Regeringen bör vidarebefordra riksdagens uppfattning om själ</w:t>
      </w:r>
      <w:r w:rsidRPr="0049492A">
        <w:t>v</w:t>
      </w:r>
      <w:r w:rsidRPr="0049492A">
        <w:t>kostnad som utgångspunkt för hyressättningen när hyresgästen har begräns</w:t>
      </w:r>
      <w:r w:rsidRPr="0049492A">
        <w:t>a</w:t>
      </w:r>
      <w:r w:rsidRPr="0049492A">
        <w:t>de alternativ och är beroende av en statlig hyresvärd. Regeringen bör också klargöra att hyresmodellens utformning ska vara föremål för förhandlingar mellan pa</w:t>
      </w:r>
      <w:r w:rsidRPr="0049492A">
        <w:t>r</w:t>
      </w:r>
      <w:r w:rsidRPr="0049492A">
        <w:t xml:space="preserve">terna. </w:t>
      </w:r>
    </w:p>
    <w:p w:rsidR="008D3479" w:rsidRPr="0049492A" w:rsidRDefault="008D3479">
      <w:r w:rsidRPr="0049492A">
        <w:t>Riksdagen har framhållit att självkostnad är en naturlig utgångspunkt för hyressättning när hyresgästen har begränsade alternativ och är beroende av en statlig hyresvärd. Regeringen har inte vidarebefordrat ri</w:t>
      </w:r>
      <w:r w:rsidRPr="0049492A">
        <w:t>ksdagens uttala</w:t>
      </w:r>
      <w:r w:rsidRPr="0049492A">
        <w:t>n</w:t>
      </w:r>
      <w:r w:rsidRPr="0049492A">
        <w:t>de om självkostnadshyra. Det enda direktiv kring hyressättning som fasti</w:t>
      </w:r>
      <w:r w:rsidRPr="0049492A">
        <w:t>g</w:t>
      </w:r>
      <w:r w:rsidRPr="0049492A">
        <w:t>hetsförvaltarna har fått av regeringen finns i förordningen om förvaltning av statliga fastigheter. Förordningen lämnar stort utrymme för olika tolkningar, vilket resulterat i att olika hyresmodeller tillämpas av olika fastighetsförva</w:t>
      </w:r>
      <w:r w:rsidRPr="0049492A">
        <w:t>l</w:t>
      </w:r>
      <w:r w:rsidRPr="0049492A">
        <w:t>tare och att de motiverar sina val av hyresmodeller utifrån olika utgång</w:t>
      </w:r>
      <w:r w:rsidRPr="0049492A">
        <w:t>s</w:t>
      </w:r>
      <w:r w:rsidRPr="0049492A">
        <w:t xml:space="preserve">punkter. </w:t>
      </w:r>
    </w:p>
    <w:p w:rsidR="008D3479" w:rsidRPr="0049492A" w:rsidRDefault="008D3479">
      <w:pPr>
        <w:pStyle w:val="Normaltindrag"/>
      </w:pPr>
      <w:r w:rsidRPr="0049492A">
        <w:t>Riksdagen har med hänvisning till den stora differentieringen bland statl</w:t>
      </w:r>
      <w:r w:rsidRPr="0049492A">
        <w:t>i</w:t>
      </w:r>
      <w:r w:rsidRPr="0049492A">
        <w:t>ga ändamålsfastigheter avstått från att påbörda parterna en enhetlig hyresm</w:t>
      </w:r>
      <w:r w:rsidRPr="0049492A">
        <w:t>o</w:t>
      </w:r>
      <w:r w:rsidRPr="0049492A">
        <w:t>dell. Förhandlingar om hyresmodell utifrån enskilda situationer skulle ge ett bättre resultat, enligt riksdagens uppfattning. Regeringen har inte framfört riksdagens intentioner att skapa ett flexibelt system genom partsförhandlin</w:t>
      </w:r>
      <w:r w:rsidRPr="0049492A">
        <w:t>g</w:t>
      </w:r>
      <w:r w:rsidRPr="0049492A">
        <w:t>ar kring hyresmodell. I praktiken har fastighetsförvaltarna själva beslutat huruvida marknads- eller kostnadsbaserad hyra ska gälla och tillämpat sa</w:t>
      </w:r>
      <w:r w:rsidRPr="0049492A">
        <w:t>m</w:t>
      </w:r>
      <w:r w:rsidRPr="0049492A">
        <w:t>ma typ av hyressättning för hela fastighetsbeståndet ut</w:t>
      </w:r>
      <w:r w:rsidRPr="0049492A">
        <w:t>an hänsyn till variati</w:t>
      </w:r>
      <w:r w:rsidRPr="0049492A">
        <w:t>o</w:t>
      </w:r>
      <w:r w:rsidRPr="0049492A">
        <w:t>ner i vare sig fastigheternas karaktär eller hyresgästernas situ</w:t>
      </w:r>
      <w:r w:rsidRPr="0049492A">
        <w:t>a</w:t>
      </w:r>
      <w:r w:rsidRPr="0049492A">
        <w:t xml:space="preserve">tion. </w:t>
      </w:r>
    </w:p>
    <w:p w:rsidR="008D3479" w:rsidRPr="0049492A" w:rsidRDefault="008D3479">
      <w:pPr>
        <w:pStyle w:val="Normaltindrag"/>
      </w:pPr>
      <w:r w:rsidRPr="0049492A">
        <w:t>Revisorerna anser att regeringen bör vidarebefordra riksdagens ställning</w:t>
      </w:r>
      <w:r w:rsidRPr="0049492A">
        <w:t>s</w:t>
      </w:r>
      <w:r w:rsidRPr="0049492A">
        <w:t>tagande angående självkostnad som utgångspunkt för hyressättning när h</w:t>
      </w:r>
      <w:r w:rsidRPr="0049492A">
        <w:t>y</w:t>
      </w:r>
      <w:r w:rsidRPr="0049492A">
        <w:t>resgästen har begränsade alternativ och är beroende av en statlig hyresvärd. Revisorerna anser vidare att det från regeringen bör framgå att hyresmode</w:t>
      </w:r>
      <w:r w:rsidRPr="0049492A">
        <w:t>l</w:t>
      </w:r>
      <w:r w:rsidRPr="0049492A">
        <w:t>lens utformning ska vara föremål för förhandlingar mellan pa</w:t>
      </w:r>
      <w:r w:rsidRPr="0049492A">
        <w:t>r</w:t>
      </w:r>
      <w:r w:rsidRPr="0049492A">
        <w:t xml:space="preserve">terna. </w:t>
      </w:r>
    </w:p>
    <w:p w:rsidR="008D3479" w:rsidRPr="0049492A" w:rsidRDefault="008D3479">
      <w:pPr>
        <w:pStyle w:val="Rubrik2-Utannumrering"/>
      </w:pPr>
      <w:bookmarkStart w:id="1304" w:name="_Toc515780846"/>
      <w:bookmarkStart w:id="1305" w:name="_Toc515855907"/>
      <w:bookmarkStart w:id="1306" w:name="_Toc515856009"/>
      <w:bookmarkStart w:id="1307" w:name="_Toc516536456"/>
      <w:bookmarkStart w:id="1308" w:name="_Toc516544608"/>
      <w:bookmarkStart w:id="1309" w:name="_Toc516545343"/>
      <w:bookmarkStart w:id="1310" w:name="_Toc516545476"/>
      <w:bookmarkStart w:id="1311" w:name="_Toc523215883"/>
      <w:bookmarkStart w:id="1312" w:name="_Toc524062499"/>
      <w:bookmarkStart w:id="1313" w:name="_Toc524081130"/>
      <w:bookmarkStart w:id="1314" w:name="_Toc524166799"/>
      <w:bookmarkStart w:id="1315" w:name="_Toc524168676"/>
      <w:bookmarkStart w:id="1316" w:name="_Toc524856401"/>
      <w:bookmarkStart w:id="1317" w:name="_Toc524926754"/>
      <w:bookmarkStart w:id="1318" w:name="_Toc526147845"/>
      <w:bookmarkStart w:id="1319" w:name="_Toc526234323"/>
      <w:bookmarkStart w:id="1320" w:name="_Toc532725205"/>
      <w:r w:rsidRPr="0049492A">
        <w:t>Riksdagens direktiv om insyn i förvaltningen är inte vidarebefordrade av r</w:t>
      </w:r>
      <w:r w:rsidRPr="0049492A">
        <w:t>e</w:t>
      </w:r>
      <w:r w:rsidRPr="0049492A">
        <w:t>geringen</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49492A">
        <w:t xml:space="preserve"> </w:t>
      </w:r>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Förslag:</w:t>
      </w:r>
      <w:r w:rsidRPr="0049492A">
        <w:t xml:space="preserve"> Regeringen bör vidarebefordra riksdagens uppfattning om att god insyn i förvaltningen ska råda och att det innebär öppen redovisning av fö</w:t>
      </w:r>
      <w:r w:rsidRPr="0049492A">
        <w:t>r</w:t>
      </w:r>
      <w:r w:rsidRPr="0049492A">
        <w:t xml:space="preserve">valtningskostnader. </w:t>
      </w:r>
    </w:p>
    <w:p w:rsidR="008D3479" w:rsidRPr="0049492A" w:rsidRDefault="008D3479">
      <w:r w:rsidRPr="0049492A">
        <w:t>Riksdagen har framhållit att god insyn i förvaltningen ska råda och att det förutsätter öppen redovisning av hyresdelarna avseende drift, underhåll och olika kapitalkostnader. Regeringen har inte vidarebefordrat riksdagens utt</w:t>
      </w:r>
      <w:r w:rsidRPr="0049492A">
        <w:t>a</w:t>
      </w:r>
      <w:r w:rsidRPr="0049492A">
        <w:t>lande om insyn i förvaltningen till fastighetsförvalta</w:t>
      </w:r>
      <w:r w:rsidRPr="0049492A">
        <w:t>r</w:t>
      </w:r>
      <w:r w:rsidRPr="0049492A">
        <w:t xml:space="preserve">na. </w:t>
      </w:r>
    </w:p>
    <w:p w:rsidR="008D3479" w:rsidRPr="0049492A" w:rsidRDefault="008D3479">
      <w:pPr>
        <w:pStyle w:val="Normaltindrag"/>
      </w:pPr>
      <w:r w:rsidRPr="0049492A">
        <w:t>Enligt revisorernas bedömning skapar insyn i förvaltningen möjlighet att jämföra mellan olika fastighetsförvaltare, och därigenom ökar pressen på kostnadseffektivitet. Om kostnadseffektivitet tydligt går att påvisa stärks förtroendet för systemet bland hyresgästerna. Utan insyn i förvaltningen är förutsättningarna för en förtroendefull relation mellan parterna sämre. R</w:t>
      </w:r>
      <w:r w:rsidRPr="0049492A">
        <w:t>e</w:t>
      </w:r>
      <w:r w:rsidRPr="0049492A">
        <w:t>geringskansliets bedömning att innebörden av öppenhet är beroende av vi</w:t>
      </w:r>
      <w:r w:rsidRPr="0049492A">
        <w:t>l</w:t>
      </w:r>
      <w:r w:rsidRPr="0049492A">
        <w:t>ken hyresmodell som tillämpas har inget stöd i riksdagens uttalanden.</w:t>
      </w:r>
    </w:p>
    <w:p w:rsidR="008D3479" w:rsidRPr="0049492A" w:rsidRDefault="008D3479">
      <w:pPr>
        <w:pStyle w:val="Normaltindrag"/>
      </w:pPr>
      <w:r w:rsidRPr="0049492A">
        <w:t>Revisorerna anser att regeringen bör vidarebefordra riksdagens uppfattning att kostnader för drift, underhåll och kapital bör redovisas öppet för hyre</w:t>
      </w:r>
      <w:r w:rsidRPr="0049492A">
        <w:t>s</w:t>
      </w:r>
      <w:r w:rsidRPr="0049492A">
        <w:t>gäste</w:t>
      </w:r>
      <w:r w:rsidRPr="0049492A">
        <w:t>r</w:t>
      </w:r>
      <w:r w:rsidRPr="0049492A">
        <w:t xml:space="preserve">na, oavsett om marknadshyra eller kostnadshyra tillämpas. </w:t>
      </w:r>
    </w:p>
    <w:p w:rsidR="008D3479" w:rsidRPr="0049492A" w:rsidRDefault="008D3479">
      <w:pPr>
        <w:pStyle w:val="Rubrik2-Utannumrering"/>
      </w:pPr>
      <w:bookmarkStart w:id="1321" w:name="_Toc515780849"/>
      <w:bookmarkStart w:id="1322" w:name="_Toc515855908"/>
      <w:bookmarkStart w:id="1323" w:name="_Toc515856010"/>
      <w:bookmarkStart w:id="1324" w:name="_Toc516536457"/>
      <w:bookmarkStart w:id="1325" w:name="_Toc516544609"/>
      <w:bookmarkStart w:id="1326" w:name="_Toc516545344"/>
      <w:bookmarkStart w:id="1327" w:name="_Toc516545477"/>
      <w:bookmarkStart w:id="1328" w:name="_Toc523215884"/>
      <w:bookmarkStart w:id="1329" w:name="_Toc524062500"/>
      <w:bookmarkStart w:id="1330" w:name="_Toc524081131"/>
      <w:bookmarkStart w:id="1331" w:name="_Toc524166800"/>
      <w:bookmarkStart w:id="1332" w:name="_Toc524168677"/>
      <w:bookmarkStart w:id="1333" w:name="_Toc524856402"/>
      <w:bookmarkStart w:id="1334" w:name="_Toc524926755"/>
      <w:bookmarkStart w:id="1335" w:name="_Toc526147846"/>
      <w:bookmarkStart w:id="1336" w:name="_Toc526234324"/>
      <w:bookmarkStart w:id="1337" w:name="_Toc532725206"/>
      <w:r w:rsidRPr="0049492A">
        <w:t>Riksdagens direktiv om gemensamt upprättade förvaltningsplaner är inte vidarebefordrat</w:t>
      </w:r>
      <w:bookmarkEnd w:id="1321"/>
      <w:bookmarkEnd w:id="1322"/>
      <w:r w:rsidRPr="0049492A">
        <w:t xml:space="preserve"> av regeringen</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Förslag:</w:t>
      </w:r>
      <w:r w:rsidRPr="0049492A">
        <w:t xml:space="preserve"> Regeringen bör klargöra att förvaltningsplaner ska upprättas gemensamt av parterna. </w:t>
      </w:r>
    </w:p>
    <w:p w:rsidR="008D3479" w:rsidRPr="0049492A" w:rsidRDefault="008D3479">
      <w:r w:rsidRPr="0049492A">
        <w:t>Riksdagen har angett att förvaltningsplaner för ändamålsfastigheter ska up</w:t>
      </w:r>
      <w:r w:rsidRPr="0049492A">
        <w:t>p</w:t>
      </w:r>
      <w:r w:rsidRPr="0049492A">
        <w:t>rättas gemensamt av hyresvärd och hyresgäst. I förordningen om förvaltning av statliga fastigheter anges att fastighetsförvaltaren ska upprätta en inv</w:t>
      </w:r>
      <w:r w:rsidRPr="0049492A">
        <w:t>e</w:t>
      </w:r>
      <w:r w:rsidRPr="0049492A">
        <w:t>steringsplan, en avyttringsplan och en plan för drift och underhåll för de fastigheter som ingår i förvaltningsuppdraget, men inte att det ska ske i sa</w:t>
      </w:r>
      <w:r w:rsidRPr="0049492A">
        <w:t>m</w:t>
      </w:r>
      <w:r w:rsidRPr="0049492A">
        <w:t>arbete med hyresgästen. Regeringen har inte vidarebefordrat riksdagens uppfattning om gemensamt upprättade förvaltningsplaner i vare sig föror</w:t>
      </w:r>
      <w:r w:rsidRPr="0049492A">
        <w:t>d</w:t>
      </w:r>
      <w:r w:rsidRPr="0049492A">
        <w:t>ning, regleringsbrev eller ägardire</w:t>
      </w:r>
      <w:r w:rsidRPr="0049492A">
        <w:t>k</w:t>
      </w:r>
      <w:r w:rsidRPr="0049492A">
        <w:t xml:space="preserve">tiv. </w:t>
      </w:r>
    </w:p>
    <w:p w:rsidR="008D3479" w:rsidRPr="0049492A" w:rsidRDefault="008D3479">
      <w:pPr>
        <w:pStyle w:val="Normaltindrag"/>
      </w:pPr>
      <w:r w:rsidRPr="0049492A">
        <w:t xml:space="preserve">Enligt vad revisorerna </w:t>
      </w:r>
      <w:r w:rsidRPr="0049492A">
        <w:t>erfar varierar fastighetsförvaltarnas utformning av förvaltningsplaner, bl.a. med avseende på hyresgästernas delaktighet i fra</w:t>
      </w:r>
      <w:r w:rsidRPr="0049492A">
        <w:t>m</w:t>
      </w:r>
      <w:r w:rsidRPr="0049492A">
        <w:t xml:space="preserve">tagandet av planerna. </w:t>
      </w:r>
    </w:p>
    <w:p w:rsidR="008D3479" w:rsidRPr="0049492A" w:rsidRDefault="008D3479">
      <w:pPr>
        <w:pStyle w:val="Normaltindrag"/>
      </w:pPr>
      <w:r w:rsidRPr="0049492A">
        <w:t>Det är revisorernas uppfattning att förvaltningsplanerna skulle bli tydligare och mer funktionella om hyresgästerna garanterades rätt att delta i framt</w:t>
      </w:r>
      <w:r w:rsidRPr="0049492A">
        <w:t>a</w:t>
      </w:r>
      <w:r w:rsidRPr="0049492A">
        <w:t xml:space="preserve">gandet av dem. </w:t>
      </w:r>
    </w:p>
    <w:p w:rsidR="008D3479" w:rsidRPr="0049492A" w:rsidRDefault="008D3479">
      <w:pPr>
        <w:pStyle w:val="Normaltindrag"/>
      </w:pPr>
      <w:r w:rsidRPr="0049492A">
        <w:t>Riksdagens revisorer anser att regeringen i förordning, regleringsbrev och ägardirektiv bör klargöra att förvaltningsplaner för fastigheterna ska upprä</w:t>
      </w:r>
      <w:r w:rsidRPr="0049492A">
        <w:t>t</w:t>
      </w:r>
      <w:r w:rsidRPr="0049492A">
        <w:t>tas geme</w:t>
      </w:r>
      <w:r w:rsidRPr="0049492A">
        <w:t>n</w:t>
      </w:r>
      <w:r w:rsidRPr="0049492A">
        <w:t xml:space="preserve">samt av parterna. </w:t>
      </w:r>
    </w:p>
    <w:p w:rsidR="008D3479" w:rsidRPr="0049492A" w:rsidRDefault="008D3479">
      <w:pPr>
        <w:pStyle w:val="Rubrik2-Utannumrering"/>
      </w:pPr>
      <w:bookmarkStart w:id="1338" w:name="_Toc515780848"/>
      <w:bookmarkStart w:id="1339" w:name="_Toc515855909"/>
      <w:bookmarkStart w:id="1340" w:name="_Toc515856011"/>
      <w:bookmarkStart w:id="1341" w:name="_Toc516536458"/>
      <w:bookmarkStart w:id="1342" w:name="_Toc516544610"/>
      <w:bookmarkStart w:id="1343" w:name="_Toc516545345"/>
      <w:bookmarkStart w:id="1344" w:name="_Toc516545478"/>
      <w:bookmarkStart w:id="1345" w:name="_Toc523215885"/>
      <w:bookmarkStart w:id="1346" w:name="_Toc524062501"/>
      <w:bookmarkStart w:id="1347" w:name="_Toc524081132"/>
      <w:bookmarkStart w:id="1348" w:name="_Toc524166801"/>
      <w:bookmarkStart w:id="1349" w:name="_Toc524168678"/>
      <w:bookmarkStart w:id="1350" w:name="_Toc524856403"/>
      <w:bookmarkStart w:id="1351" w:name="_Toc524926756"/>
      <w:bookmarkStart w:id="1352" w:name="_Toc526147847"/>
      <w:bookmarkStart w:id="1353" w:name="_Toc526234325"/>
      <w:bookmarkStart w:id="1354" w:name="_Toc532725207"/>
      <w:r w:rsidRPr="0049492A">
        <w:t>Brist i kompensationssystemet</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rsidR="008D3479" w:rsidRPr="0049492A" w:rsidRDefault="008D3479">
      <w:r w:rsidRPr="0049492A">
        <w:t>Anslagen för myndigheter i ändamålsfastigheter</w:t>
      </w:r>
      <w:r w:rsidRPr="0049492A">
        <w:rPr>
          <w:rStyle w:val="Fotnotsreferens"/>
        </w:rPr>
        <w:footnoteReference w:id="102"/>
      </w:r>
      <w:r w:rsidRPr="0049492A">
        <w:t xml:space="preserve"> beräknas med en annan prisomräkningsmetodik än anslagen för generella lokaler. Myndigheter i ändamålslokaler kompenseras enbart för utvecklingen i konsumentprisindex och inte för utvecklingen i marknadshyror trots att hyrorna i vissa fall är marknadsliknande. </w:t>
      </w:r>
    </w:p>
    <w:p w:rsidR="008D3479" w:rsidRPr="0049492A" w:rsidRDefault="008D3479">
      <w:pPr>
        <w:pStyle w:val="Normaltindrag"/>
      </w:pPr>
      <w:r w:rsidRPr="0049492A">
        <w:t>Revisorerna konstaterar att regeringen har uppmärksammat bristen i ko</w:t>
      </w:r>
      <w:r w:rsidRPr="0049492A">
        <w:t>m</w:t>
      </w:r>
      <w:r w:rsidRPr="0049492A">
        <w:t xml:space="preserve">pensationssystemet. Statskontoret ska få i uppdrag av regeringen att lämna det underlag som är nödvändigt för att prisomräkningen ska gå till på ett tillfredsställande sätt även för myndigheter i ändamålslokaler. Revisorerna förutsätter därmed att problemet kommer att lösas.  </w:t>
      </w:r>
    </w:p>
    <w:p w:rsidR="008D3479" w:rsidRPr="0049492A" w:rsidRDefault="008D3479">
      <w:pPr>
        <w:pStyle w:val="Rubrik2-Utannumrering"/>
      </w:pPr>
      <w:bookmarkStart w:id="1355" w:name="_Toc523215886"/>
      <w:bookmarkStart w:id="1356" w:name="_Toc524062502"/>
      <w:bookmarkStart w:id="1357" w:name="_Toc524081133"/>
      <w:bookmarkStart w:id="1358" w:name="_Toc524166802"/>
      <w:bookmarkStart w:id="1359" w:name="_Toc524168679"/>
      <w:bookmarkStart w:id="1360" w:name="_Toc524856404"/>
      <w:bookmarkStart w:id="1361" w:name="_Toc524926757"/>
      <w:bookmarkStart w:id="1362" w:name="_Toc526147848"/>
      <w:bookmarkStart w:id="1363" w:name="_Toc526234326"/>
      <w:bookmarkStart w:id="1364" w:name="_Toc532725208"/>
      <w:r w:rsidRPr="0049492A">
        <w:t>Bedömning av myndigheternas lokalbehov</w:t>
      </w:r>
      <w:bookmarkEnd w:id="1355"/>
      <w:bookmarkEnd w:id="1356"/>
      <w:bookmarkEnd w:id="1357"/>
      <w:bookmarkEnd w:id="1358"/>
      <w:bookmarkEnd w:id="1359"/>
      <w:bookmarkEnd w:id="1360"/>
      <w:bookmarkEnd w:id="1361"/>
      <w:bookmarkEnd w:id="1362"/>
      <w:bookmarkEnd w:id="1363"/>
      <w:bookmarkEnd w:id="1364"/>
    </w:p>
    <w:p w:rsidR="008D3479" w:rsidRPr="0049492A" w:rsidRDefault="008D3479">
      <w:pPr>
        <w:pBdr>
          <w:top w:val="single" w:sz="4" w:space="1" w:color="auto"/>
          <w:left w:val="single" w:sz="4" w:space="4" w:color="auto"/>
          <w:bottom w:val="single" w:sz="4" w:space="1" w:color="auto"/>
          <w:right w:val="single" w:sz="4" w:space="4" w:color="auto"/>
        </w:pBdr>
        <w:jc w:val="left"/>
      </w:pPr>
      <w:r w:rsidRPr="0049492A">
        <w:rPr>
          <w:b/>
        </w:rPr>
        <w:t>Förslag</w:t>
      </w:r>
      <w:r w:rsidRPr="0049492A">
        <w:t>: Revisorerna föreslår att regeringen i budgetprocessen beaktar mö</w:t>
      </w:r>
      <w:r w:rsidRPr="0049492A">
        <w:t>j</w:t>
      </w:r>
      <w:r w:rsidRPr="0049492A">
        <w:t xml:space="preserve">ligheter till effektiviseringar i  myndigheters lokalutnyttjande. </w:t>
      </w:r>
    </w:p>
    <w:p w:rsidR="008D3479" w:rsidRPr="0049492A" w:rsidRDefault="008D3479">
      <w:r w:rsidRPr="0049492A">
        <w:t>När myndigheterna övertog ansvaret för sin lokalförsörjning justerades deras anslag så att de skulle täcka lokalkostnaderna. För myndigheter i generella kontorslokaler baserades lokalkostnadsandelen av anslaget bl.a. på lokalyta per anställd och på bedömd marknadshyra i den aktuella regionen. För my</w:t>
      </w:r>
      <w:r w:rsidRPr="0049492A">
        <w:t>n</w:t>
      </w:r>
      <w:r w:rsidRPr="0049492A">
        <w:t xml:space="preserve">digheter i ändamålslokaler användes den faktiska hyreskostnaden som bas för budgetering. </w:t>
      </w:r>
    </w:p>
    <w:p w:rsidR="008D3479" w:rsidRPr="0049492A" w:rsidRDefault="008D3479">
      <w:pPr>
        <w:pStyle w:val="Normaltindrag"/>
      </w:pPr>
      <w:r w:rsidRPr="0049492A">
        <w:t>Myndigheternas lokalbehov prövades inte av regeringen när basbudget</w:t>
      </w:r>
      <w:r w:rsidRPr="0049492A">
        <w:t>e</w:t>
      </w:r>
      <w:r w:rsidRPr="0049492A">
        <w:t>ringen för lokalbehov och lokalkostnader gjordes. Anslaget har efter sy-stemets införande justerats genom prisomräkning av lokalkostnaderna för föregående år. En konsekvens av systemet är att de myndigheter som hade höga lokalkostnader på grund av lokaldimensionering eller läge när basbu</w:t>
      </w:r>
      <w:r w:rsidRPr="0049492A">
        <w:t>d</w:t>
      </w:r>
      <w:r w:rsidRPr="0049492A">
        <w:t>geteringen gjordes gynnas av det i den fortsatta anslagstilldelningen. My</w:t>
      </w:r>
      <w:r w:rsidRPr="0049492A">
        <w:t>n</w:t>
      </w:r>
      <w:r w:rsidRPr="0049492A">
        <w:t>digheter som då hade små lokalkostnader missgynnas av motsvarande skäl i anslagstil</w:t>
      </w:r>
      <w:r w:rsidRPr="0049492A">
        <w:t>l</w:t>
      </w:r>
      <w:r w:rsidRPr="0049492A">
        <w:t xml:space="preserve">delningen. </w:t>
      </w:r>
    </w:p>
    <w:p w:rsidR="008D3479" w:rsidRPr="0049492A" w:rsidRDefault="008D3479">
      <w:pPr>
        <w:pStyle w:val="Normaltindrag"/>
      </w:pPr>
      <w:r w:rsidRPr="0049492A">
        <w:t>Statskontoret lade 1998 fram ett förslag på hur rege</w:t>
      </w:r>
      <w:r w:rsidRPr="0049492A">
        <w:t>ringens styrning av r</w:t>
      </w:r>
      <w:r w:rsidRPr="0049492A">
        <w:t>e</w:t>
      </w:r>
      <w:r w:rsidRPr="0049492A">
        <w:t>sursanvändningen skulle kunna stärkas genom ett utvecklat system för ba</w:t>
      </w:r>
      <w:r w:rsidRPr="0049492A">
        <w:t>s</w:t>
      </w:r>
      <w:r w:rsidRPr="0049492A">
        <w:t>budgetering av lokalbehov och lokalkostnader för nya eller omstrukturerade myndigheter. En bedömning av alla myndigheters lokalbehov med avseende på area och läge borde ha gjorts vid systemets införande, enligt revisorernas uppfat</w:t>
      </w:r>
      <w:r w:rsidRPr="0049492A">
        <w:t>t</w:t>
      </w:r>
      <w:r w:rsidRPr="0049492A">
        <w:t>ning.</w:t>
      </w:r>
    </w:p>
    <w:p w:rsidR="008D3479" w:rsidRPr="0049492A" w:rsidRDefault="008D3479">
      <w:pPr>
        <w:pStyle w:val="Normaltindrag"/>
      </w:pPr>
      <w:r w:rsidRPr="0049492A">
        <w:t>Mot bakgrund av anslagsberäkningens konsekvenser är det motiverat att regeringen uppmärksammar myndigheternas nyttjande av lokaler i enskilda budgetdialoger. Revisorerna föreslår dä</w:t>
      </w:r>
      <w:r w:rsidRPr="0049492A">
        <w:t>rför att regeringen i budgetprocessen beaktar mö</w:t>
      </w:r>
      <w:r w:rsidRPr="0049492A">
        <w:t>j</w:t>
      </w:r>
      <w:r w:rsidRPr="0049492A">
        <w:t xml:space="preserve">ligheter till effektiviseringar i  myndigheters lokalutnyttjande.   </w:t>
      </w:r>
    </w:p>
    <w:p w:rsidR="008D3479" w:rsidRPr="0049492A" w:rsidRDefault="008D3479">
      <w:pPr>
        <w:pStyle w:val="Rubrik2-Utannumrering"/>
      </w:pPr>
      <w:bookmarkStart w:id="1365" w:name="_Toc515780847"/>
      <w:bookmarkStart w:id="1366" w:name="_Toc515855910"/>
      <w:bookmarkStart w:id="1367" w:name="_Toc515856012"/>
      <w:bookmarkStart w:id="1368" w:name="_Toc516536459"/>
      <w:bookmarkStart w:id="1369" w:name="_Toc516544611"/>
      <w:bookmarkStart w:id="1370" w:name="_Toc516545346"/>
      <w:bookmarkStart w:id="1371" w:name="_Toc516545479"/>
      <w:bookmarkStart w:id="1372" w:name="_Toc523215887"/>
      <w:bookmarkStart w:id="1373" w:name="_Toc524062503"/>
      <w:bookmarkStart w:id="1374" w:name="_Toc524081134"/>
      <w:bookmarkStart w:id="1375" w:name="_Toc524166803"/>
      <w:bookmarkStart w:id="1376" w:name="_Toc524168680"/>
      <w:bookmarkStart w:id="1377" w:name="_Toc524856405"/>
      <w:bookmarkStart w:id="1378" w:name="_Toc524926758"/>
      <w:bookmarkStart w:id="1379" w:name="_Toc526147849"/>
      <w:bookmarkStart w:id="1380" w:name="_Toc526234327"/>
      <w:bookmarkStart w:id="1381" w:name="_Toc532725209"/>
      <w:r w:rsidRPr="0049492A">
        <w:t>Regeringsförslaget ger ingen långsiktig lösning</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rsidR="008D3479" w:rsidRPr="0049492A" w:rsidRDefault="008D3479">
      <w:pPr>
        <w:pBdr>
          <w:top w:val="single" w:sz="4" w:space="1" w:color="auto"/>
          <w:left w:val="single" w:sz="4" w:space="4" w:color="auto"/>
          <w:bottom w:val="single" w:sz="4" w:space="1" w:color="auto"/>
          <w:right w:val="single" w:sz="4" w:space="4" w:color="auto"/>
        </w:pBdr>
      </w:pPr>
      <w:r w:rsidRPr="0049492A">
        <w:rPr>
          <w:b/>
        </w:rPr>
        <w:t>Förslag:</w:t>
      </w:r>
      <w:r w:rsidRPr="0049492A">
        <w:t xml:space="preserve"> Hyresgäster och förvaltare i ändamålsfastigheter bör ha möjlighet att samråda kring vilken hyressättning som ska gälla med ett statligt expert-organ, i de fall parterna inte når en överenskommelse genom förhan</w:t>
      </w:r>
      <w:r w:rsidRPr="0049492A">
        <w:t>d</w:t>
      </w:r>
      <w:r w:rsidRPr="0049492A">
        <w:t xml:space="preserve">lingar. </w:t>
      </w:r>
    </w:p>
    <w:p w:rsidR="008D3479" w:rsidRPr="0049492A" w:rsidRDefault="008D3479">
      <w:r w:rsidRPr="0049492A">
        <w:t>Revisorernas uppfattning är att regeringens förslag inte är konsekvent och därför inte långsiktigt hål</w:t>
      </w:r>
      <w:r w:rsidRPr="0049492A">
        <w:t>l</w:t>
      </w:r>
      <w:r w:rsidRPr="0049492A">
        <w:t xml:space="preserve">bart. </w:t>
      </w:r>
    </w:p>
    <w:p w:rsidR="008D3479" w:rsidRPr="0049492A" w:rsidRDefault="008D3479">
      <w:pPr>
        <w:pStyle w:val="Normaltindrag"/>
      </w:pPr>
      <w:r w:rsidRPr="0049492A">
        <w:t>Regeringen föreslår att kostnadshyra i stället för marknadshyra ska tillä</w:t>
      </w:r>
      <w:r w:rsidRPr="0049492A">
        <w:t>m</w:t>
      </w:r>
      <w:r w:rsidRPr="0049492A">
        <w:t>pas för fem kulturinstitutioner, vars huvudbyggnader skiljer sig från övriga ändamålsfastigheter på ett avgörande sätt. Huvudbyggnaderna för dessa fem institutioner har i hög grad formats för ändamålet, är symboler för kulturi</w:t>
      </w:r>
      <w:r w:rsidRPr="0049492A">
        <w:t>n</w:t>
      </w:r>
      <w:r w:rsidRPr="0049492A">
        <w:t>stitutionens verksamhet och utgör en del av stadsbilden, enligt den arbet</w:t>
      </w:r>
      <w:r w:rsidRPr="0049492A">
        <w:t>s</w:t>
      </w:r>
      <w:r w:rsidRPr="0049492A">
        <w:t xml:space="preserve">grupp inom Regeringskansliet som tagit fram förslaget. </w:t>
      </w:r>
    </w:p>
    <w:p w:rsidR="008D3479" w:rsidRPr="0049492A" w:rsidRDefault="008D3479">
      <w:pPr>
        <w:pStyle w:val="Normaltindrag"/>
      </w:pPr>
      <w:r w:rsidRPr="0049492A">
        <w:t>Enligt revisorernas bedömning är det möjligt att det inom det statliga fa</w:t>
      </w:r>
      <w:r w:rsidRPr="0049492A">
        <w:t>s</w:t>
      </w:r>
      <w:r w:rsidRPr="0049492A">
        <w:t>tighetsbeståndet finns fler fastigheter än dessa fem byggnader som är berätt</w:t>
      </w:r>
      <w:r w:rsidRPr="0049492A">
        <w:t>i</w:t>
      </w:r>
      <w:r w:rsidRPr="0049492A">
        <w:t>gade till kostnadshyra utifrån riksdagens uttalanden. Revisorerna anser att ett konsekvent system förutsätter tydliga kriterier för när kostnadshyra ska gälla och att dessa är generella för hela den statliga fastighetsförvaltningen. Rev</w:t>
      </w:r>
      <w:r w:rsidRPr="0049492A">
        <w:t>i</w:t>
      </w:r>
      <w:r w:rsidRPr="0049492A">
        <w:t>sorerna förutser dock att oenighet i bedömningar av fastigheter kan komma att uppstå, även om villkoren för hyressättning är tydliggjorda och hyresgä</w:t>
      </w:r>
      <w:r w:rsidRPr="0049492A">
        <w:t>s</w:t>
      </w:r>
      <w:r w:rsidRPr="0049492A">
        <w:t xml:space="preserve">tens rätt till förhandling om hyreskontraktets </w:t>
      </w:r>
      <w:r w:rsidRPr="0049492A">
        <w:t>utformning är stärkt i rege</w:t>
      </w:r>
      <w:r w:rsidRPr="0049492A">
        <w:t>r</w:t>
      </w:r>
      <w:r w:rsidRPr="0049492A">
        <w:t>ingsdire</w:t>
      </w:r>
      <w:r w:rsidRPr="0049492A">
        <w:t>k</w:t>
      </w:r>
      <w:r w:rsidRPr="0049492A">
        <w:t xml:space="preserve">tiven. </w:t>
      </w:r>
    </w:p>
    <w:p w:rsidR="008D3479" w:rsidRPr="0049492A" w:rsidRDefault="008D3479">
      <w:pPr>
        <w:pStyle w:val="Normaltindrag"/>
      </w:pPr>
      <w:r w:rsidRPr="0049492A">
        <w:t>Revisorerna anser därför att hyresgäster och förvaltare i ändamålsfasti</w:t>
      </w:r>
      <w:r w:rsidRPr="0049492A">
        <w:t>g</w:t>
      </w:r>
      <w:r w:rsidRPr="0049492A">
        <w:t>heter bör ha möjlighet att samråda med ett statligt expertorgan kring vilken hyressättning som ska gälla, i de fall parterna inte når en överenskommelse genom förhan</w:t>
      </w:r>
      <w:r w:rsidRPr="0049492A">
        <w:t>d</w:t>
      </w:r>
      <w:r w:rsidRPr="0049492A">
        <w:t xml:space="preserve">lingar. </w:t>
      </w:r>
    </w:p>
    <w:p w:rsidR="008D3479" w:rsidRPr="0049492A" w:rsidRDefault="008D3479">
      <w:pPr>
        <w:pStyle w:val="Normaltindrag"/>
      </w:pPr>
      <w:r w:rsidRPr="0049492A">
        <w:t>Revisorerna vill härvid påpeka att kostnadshyra inkluderar kapitalkostn</w:t>
      </w:r>
      <w:r w:rsidRPr="0049492A">
        <w:t>a</w:t>
      </w:r>
      <w:r w:rsidRPr="0049492A">
        <w:t>der. Om hyressättningen övergår från att vara marknadsmässig till att vara kostnadsbaserad kan omvärdering av fastigheter vara nödvändig. Det beror på att fastighetsvärderingen i många fall har gjorts utifrån marknadsmässiga hyresintäkter och att fastighetsvärdet har betydelse för kapitalkostnadernas storlek. Förändrade förutsättningar för myndigheten kan också komma att påverka myndighetens anslag.</w:t>
      </w:r>
    </w:p>
    <w:p w:rsidR="008D3479" w:rsidRPr="0049492A" w:rsidRDefault="008D3479">
      <w:pPr>
        <w:pStyle w:val="Rubrik1-Utannumrering"/>
      </w:pPr>
      <w:r w:rsidRPr="0049492A">
        <w:rPr>
          <w:sz w:val="19"/>
        </w:rPr>
        <w:br w:type="page"/>
      </w:r>
      <w:bookmarkStart w:id="1382" w:name="_Toc524166804"/>
      <w:bookmarkStart w:id="1383" w:name="_Toc524168681"/>
      <w:bookmarkStart w:id="1384" w:name="_Toc524856406"/>
      <w:bookmarkStart w:id="1385" w:name="_Toc524926759"/>
      <w:bookmarkStart w:id="1386" w:name="_Toc526147850"/>
      <w:bookmarkStart w:id="1387" w:name="_Toc526234328"/>
      <w:bookmarkStart w:id="1388" w:name="_Toc532725210"/>
      <w:r w:rsidRPr="0049492A">
        <w:t>Referenser</w:t>
      </w:r>
      <w:bookmarkEnd w:id="1382"/>
      <w:bookmarkEnd w:id="1383"/>
      <w:bookmarkEnd w:id="1384"/>
      <w:bookmarkEnd w:id="1385"/>
      <w:bookmarkEnd w:id="1386"/>
      <w:bookmarkEnd w:id="1387"/>
      <w:bookmarkEnd w:id="1388"/>
    </w:p>
    <w:p w:rsidR="008D3479" w:rsidRPr="0049492A" w:rsidRDefault="008D3479">
      <w:pPr>
        <w:pStyle w:val="Rubrik2-Utannumrering"/>
      </w:pPr>
      <w:bookmarkStart w:id="1389" w:name="_Toc524166805"/>
      <w:bookmarkStart w:id="1390" w:name="_Toc524168682"/>
      <w:bookmarkStart w:id="1391" w:name="_Toc524856407"/>
      <w:bookmarkStart w:id="1392" w:name="_Toc524926760"/>
      <w:bookmarkStart w:id="1393" w:name="_Toc526147851"/>
      <w:bookmarkStart w:id="1394" w:name="_Toc526234329"/>
      <w:bookmarkStart w:id="1395" w:name="_Toc532725211"/>
      <w:r w:rsidRPr="0049492A">
        <w:t>Intervjuer och övrig information</w:t>
      </w:r>
      <w:bookmarkEnd w:id="1389"/>
      <w:bookmarkEnd w:id="1390"/>
      <w:bookmarkEnd w:id="1391"/>
      <w:bookmarkEnd w:id="1392"/>
      <w:bookmarkEnd w:id="1393"/>
      <w:bookmarkEnd w:id="1394"/>
      <w:bookmarkEnd w:id="1395"/>
    </w:p>
    <w:p w:rsidR="008D3479" w:rsidRPr="0049492A" w:rsidRDefault="008D3479">
      <w:pPr>
        <w:jc w:val="left"/>
      </w:pPr>
      <w:r w:rsidRPr="0049492A">
        <w:t>Bylund, Curt, vd, Hahn, Hans, ekonomichef, Hallbeck, Sven-Eric, mar</w:t>
      </w:r>
      <w:r w:rsidRPr="0049492A">
        <w:t>k</w:t>
      </w:r>
      <w:r w:rsidRPr="0049492A">
        <w:t xml:space="preserve">nadschef, Specialfastigheter AB, 2001-03-29. </w:t>
      </w:r>
    </w:p>
    <w:p w:rsidR="008D3479" w:rsidRPr="0049492A" w:rsidRDefault="008D3479">
      <w:pPr>
        <w:jc w:val="left"/>
      </w:pPr>
      <w:r w:rsidRPr="0049492A">
        <w:t xml:space="preserve">Edmar, Desiré, museichef, Hallberg, Anna, ekonomichef, Sandberg, Lennart, driftschef, Naturhistoriska riksmuseet, 2000-10-23. </w:t>
      </w:r>
    </w:p>
    <w:p w:rsidR="008D3479" w:rsidRPr="0049492A" w:rsidRDefault="008D3479">
      <w:pPr>
        <w:jc w:val="left"/>
      </w:pPr>
      <w:r w:rsidRPr="0049492A">
        <w:t>Ganslandt, Klemens, ekonomiansvarig på byggnadsenheten, Lavesson, Lars, byggnadschef, Lunds universitet, 2001-04-03.</w:t>
      </w:r>
    </w:p>
    <w:p w:rsidR="008D3479" w:rsidRPr="0049492A" w:rsidRDefault="008D3479">
      <w:pPr>
        <w:jc w:val="left"/>
      </w:pPr>
      <w:r w:rsidRPr="0049492A">
        <w:t>Holgersson, Svante, chef för lokalförsörjningsenheten, Statskontoret,</w:t>
      </w:r>
    </w:p>
    <w:p w:rsidR="008D3479" w:rsidRPr="0049492A" w:rsidRDefault="008D3479">
      <w:pPr>
        <w:jc w:val="left"/>
      </w:pPr>
      <w:r w:rsidRPr="0049492A">
        <w:t xml:space="preserve">2001-03-07. </w:t>
      </w:r>
    </w:p>
    <w:p w:rsidR="008D3479" w:rsidRPr="0049492A" w:rsidRDefault="008D3479">
      <w:pPr>
        <w:jc w:val="left"/>
      </w:pPr>
      <w:r w:rsidRPr="0049492A">
        <w:t>Johansson, Richard, ställföreträdande GD, verksamhetsansvarig, Fastighet</w:t>
      </w:r>
      <w:r w:rsidRPr="0049492A">
        <w:t>s</w:t>
      </w:r>
      <w:r w:rsidRPr="0049492A">
        <w:t>verket, 2001-02-21.</w:t>
      </w:r>
    </w:p>
    <w:p w:rsidR="008D3479" w:rsidRPr="0049492A" w:rsidRDefault="008D3479">
      <w:pPr>
        <w:jc w:val="left"/>
      </w:pPr>
      <w:r w:rsidRPr="0049492A">
        <w:t xml:space="preserve">Jonasson, Lars, ekonomichef, Operan, 2000-10-27. </w:t>
      </w:r>
    </w:p>
    <w:p w:rsidR="008D3479" w:rsidRPr="0049492A" w:rsidRDefault="008D3479">
      <w:pPr>
        <w:jc w:val="left"/>
      </w:pPr>
      <w:r w:rsidRPr="0049492A">
        <w:t xml:space="preserve">Junhav, Urban, fastighetschef, Kriminalvårdsstyrelsen, 2001-05-07. </w:t>
      </w:r>
    </w:p>
    <w:p w:rsidR="008D3479" w:rsidRPr="0049492A" w:rsidRDefault="008D3479">
      <w:pPr>
        <w:jc w:val="left"/>
      </w:pPr>
      <w:r w:rsidRPr="0049492A">
        <w:t xml:space="preserve">Karlsson, Ragnar, chef för fastighetsavdelningen, Gihl H., Lars, chef för administrativa avdelningen, Wallin, Nils, sakkunnig på hyresfrågor och ekonomi, Fortifikationsverket 2001-02-13. </w:t>
      </w:r>
    </w:p>
    <w:p w:rsidR="008D3479" w:rsidRPr="0049492A" w:rsidRDefault="008D3479">
      <w:pPr>
        <w:jc w:val="left"/>
      </w:pPr>
      <w:r w:rsidRPr="0049492A">
        <w:t>Lundgren, Anders, administrativ chef, Gréen, Petter, finansdirektör, B</w:t>
      </w:r>
      <w:r w:rsidRPr="0049492A">
        <w:t>e</w:t>
      </w:r>
      <w:r w:rsidRPr="0049492A">
        <w:t>rendsson, Jaak, personaldirektör, Kungliga Tekniska Högskolan, 2001-04-09.</w:t>
      </w:r>
    </w:p>
    <w:p w:rsidR="008D3479" w:rsidRPr="0049492A" w:rsidRDefault="008D3479">
      <w:pPr>
        <w:jc w:val="left"/>
      </w:pPr>
      <w:r w:rsidRPr="0049492A">
        <w:t xml:space="preserve">Lönngren, Kerstin, planeringsdirektör, Södertörns högskola, 2001-03-28. </w:t>
      </w:r>
    </w:p>
    <w:p w:rsidR="008D3479" w:rsidRPr="0049492A" w:rsidRDefault="008D3479">
      <w:pPr>
        <w:jc w:val="left"/>
      </w:pPr>
      <w:r w:rsidRPr="0049492A">
        <w:t>Norell, Thomas, vice vd för koncernen, Karlsson, Lennart, vd för dotterbol</w:t>
      </w:r>
      <w:r w:rsidRPr="0049492A">
        <w:t>a</w:t>
      </w:r>
      <w:r w:rsidRPr="0049492A">
        <w:t xml:space="preserve">get i Stockholm, Akademiska Hus AB, 2001-03-16. </w:t>
      </w:r>
    </w:p>
    <w:p w:rsidR="008D3479" w:rsidRPr="0049492A" w:rsidRDefault="008D3479">
      <w:pPr>
        <w:jc w:val="left"/>
      </w:pPr>
      <w:r w:rsidRPr="0049492A">
        <w:t xml:space="preserve">Rigelius, Maths, drifts- och säkerhetschef, Sjöhistoriska riksmuseet,     </w:t>
      </w:r>
    </w:p>
    <w:p w:rsidR="008D3479" w:rsidRPr="0049492A" w:rsidRDefault="008D3479">
      <w:pPr>
        <w:jc w:val="left"/>
      </w:pPr>
      <w:r w:rsidRPr="0049492A">
        <w:t xml:space="preserve">2001-03-30. </w:t>
      </w:r>
    </w:p>
    <w:p w:rsidR="008D3479" w:rsidRPr="0049492A" w:rsidRDefault="008D3479">
      <w:pPr>
        <w:jc w:val="left"/>
      </w:pPr>
      <w:r w:rsidRPr="0049492A">
        <w:t>Rydén, Staffan, biträdande teaterchef, Unghanse, Karin, ekonomichef, Dr</w:t>
      </w:r>
      <w:r w:rsidRPr="0049492A">
        <w:t>a</w:t>
      </w:r>
      <w:r w:rsidRPr="0049492A">
        <w:t xml:space="preserve">maten, 2000-10-18. </w:t>
      </w:r>
    </w:p>
    <w:p w:rsidR="008D3479" w:rsidRPr="0049492A" w:rsidRDefault="008D3479">
      <w:pPr>
        <w:jc w:val="left"/>
      </w:pPr>
      <w:r w:rsidRPr="0049492A">
        <w:t>Viklund, Anders, departementssekreterare, Finansdepartementet,</w:t>
      </w:r>
    </w:p>
    <w:p w:rsidR="008D3479" w:rsidRPr="0049492A" w:rsidRDefault="008D3479">
      <w:pPr>
        <w:jc w:val="left"/>
      </w:pPr>
      <w:r w:rsidRPr="0049492A">
        <w:t xml:space="preserve">2001-03-27. </w:t>
      </w:r>
    </w:p>
    <w:p w:rsidR="008D3479" w:rsidRPr="0049492A" w:rsidRDefault="008D3479">
      <w:pPr>
        <w:jc w:val="left"/>
      </w:pPr>
      <w:r w:rsidRPr="0049492A">
        <w:t xml:space="preserve">Wallin, Per, ekonomidirektör, Statens institutionsstyrelse, 2001-04-11. </w:t>
      </w:r>
    </w:p>
    <w:p w:rsidR="008D3479" w:rsidRPr="0049492A" w:rsidRDefault="008D3479">
      <w:pPr>
        <w:jc w:val="left"/>
      </w:pPr>
      <w:r w:rsidRPr="0049492A">
        <w:t>Westerlund, Håkan, chef för fastighetsavdelningen, Försvarsmakten,</w:t>
      </w:r>
    </w:p>
    <w:p w:rsidR="008D3479" w:rsidRPr="0049492A" w:rsidRDefault="008D3479">
      <w:pPr>
        <w:jc w:val="left"/>
      </w:pPr>
      <w:r w:rsidRPr="0049492A">
        <w:t xml:space="preserve">2001-02-22.  </w:t>
      </w:r>
    </w:p>
    <w:p w:rsidR="008D3479" w:rsidRPr="0049492A" w:rsidRDefault="008D3479">
      <w:pPr>
        <w:pStyle w:val="Rubrik2-Utannumrering"/>
      </w:pPr>
      <w:bookmarkStart w:id="1396" w:name="_Toc524166806"/>
      <w:bookmarkStart w:id="1397" w:name="_Toc524168683"/>
      <w:bookmarkStart w:id="1398" w:name="_Toc524856408"/>
      <w:bookmarkStart w:id="1399" w:name="_Toc524926761"/>
      <w:bookmarkStart w:id="1400" w:name="_Toc526147852"/>
      <w:bookmarkStart w:id="1401" w:name="_Toc526234330"/>
      <w:bookmarkStart w:id="1402" w:name="_Toc532725212"/>
      <w:r w:rsidRPr="0049492A">
        <w:t>Skriftligt material</w:t>
      </w:r>
      <w:bookmarkEnd w:id="1396"/>
      <w:bookmarkEnd w:id="1397"/>
      <w:bookmarkEnd w:id="1398"/>
      <w:bookmarkEnd w:id="1399"/>
      <w:bookmarkEnd w:id="1400"/>
      <w:bookmarkEnd w:id="1401"/>
      <w:bookmarkEnd w:id="1402"/>
    </w:p>
    <w:p w:rsidR="008D3479" w:rsidRPr="0049492A" w:rsidRDefault="008D3479">
      <w:pPr>
        <w:jc w:val="left"/>
      </w:pPr>
      <w:r w:rsidRPr="0049492A">
        <w:t xml:space="preserve">Akademiska Hus AB 2001, </w:t>
      </w:r>
      <w:r w:rsidRPr="0049492A">
        <w:rPr>
          <w:i/>
        </w:rPr>
        <w:t>Årsredovisning 2000</w:t>
      </w:r>
      <w:r w:rsidRPr="0049492A">
        <w:t xml:space="preserve">. </w:t>
      </w:r>
    </w:p>
    <w:p w:rsidR="008D3479" w:rsidRPr="0049492A" w:rsidRDefault="008D3479">
      <w:pPr>
        <w:jc w:val="left"/>
      </w:pPr>
      <w:r w:rsidRPr="0049492A">
        <w:t xml:space="preserve">Finansutskottets betänkande 1990/91:FiU30, </w:t>
      </w:r>
      <w:r w:rsidRPr="0049492A">
        <w:rPr>
          <w:i/>
        </w:rPr>
        <w:t>Den ekonomiska politiken och slutlig budgetreglering för budgetåret 1991/92</w:t>
      </w:r>
      <w:r w:rsidRPr="0049492A">
        <w:t xml:space="preserve">. </w:t>
      </w:r>
    </w:p>
    <w:p w:rsidR="008D3479" w:rsidRPr="0049492A" w:rsidRDefault="008D3479">
      <w:pPr>
        <w:jc w:val="left"/>
      </w:pPr>
      <w:r w:rsidRPr="0049492A">
        <w:t xml:space="preserve">Finansutskottets betänkande 1991/92:FiU8, </w:t>
      </w:r>
      <w:r w:rsidRPr="0049492A">
        <w:rPr>
          <w:i/>
        </w:rPr>
        <w:t>Den statliga fastighetsförval</w:t>
      </w:r>
      <w:r w:rsidRPr="0049492A">
        <w:rPr>
          <w:i/>
        </w:rPr>
        <w:t>t</w:t>
      </w:r>
      <w:r w:rsidRPr="0049492A">
        <w:rPr>
          <w:i/>
        </w:rPr>
        <w:t>ningen och ombildningen av byggnadsstyrelsen, m.m</w:t>
      </w:r>
      <w:r w:rsidRPr="0049492A">
        <w:t xml:space="preserve">. </w:t>
      </w:r>
    </w:p>
    <w:p w:rsidR="008D3479" w:rsidRPr="0049492A" w:rsidRDefault="008D3479">
      <w:pPr>
        <w:jc w:val="left"/>
      </w:pPr>
      <w:r w:rsidRPr="0049492A">
        <w:t xml:space="preserve">Finansutskottets betänkande 1992/93:FiU8, </w:t>
      </w:r>
      <w:r w:rsidRPr="0049492A">
        <w:rPr>
          <w:i/>
        </w:rPr>
        <w:t>Ny organisation för förvaltning av statens fastigheter och lokaler, m.m</w:t>
      </w:r>
      <w:r w:rsidRPr="0049492A">
        <w:t>.</w:t>
      </w:r>
    </w:p>
    <w:p w:rsidR="008D3479" w:rsidRPr="0049492A" w:rsidRDefault="008D3479">
      <w:pPr>
        <w:jc w:val="left"/>
      </w:pPr>
      <w:r w:rsidRPr="0049492A">
        <w:t xml:space="preserve">Finansutskottets betänkande 1997/98:FiU25, </w:t>
      </w:r>
      <w:r w:rsidRPr="0049492A">
        <w:rPr>
          <w:i/>
        </w:rPr>
        <w:t>Statlig fastighetsförvaltning och lokalförsörjning, m.m</w:t>
      </w:r>
      <w:r w:rsidRPr="0049492A">
        <w:t xml:space="preserve">. </w:t>
      </w:r>
    </w:p>
    <w:p w:rsidR="008D3479" w:rsidRPr="0049492A" w:rsidRDefault="008D3479">
      <w:pPr>
        <w:rPr>
          <w:i/>
        </w:rPr>
      </w:pPr>
      <w:r w:rsidRPr="0049492A">
        <w:t xml:space="preserve">Finansutskottets betänkande 2000/01:FiU20, </w:t>
      </w:r>
      <w:r w:rsidRPr="0049492A">
        <w:rPr>
          <w:i/>
        </w:rPr>
        <w:t>Riktlinjer för den ekonomiska politiken, utgiftstak, skattefrågor m.m.</w:t>
      </w:r>
    </w:p>
    <w:p w:rsidR="008D3479" w:rsidRPr="0049492A" w:rsidRDefault="008D3479">
      <w:pPr>
        <w:jc w:val="left"/>
      </w:pPr>
      <w:r w:rsidRPr="0049492A">
        <w:t xml:space="preserve">Fortifikationsverket 2001, </w:t>
      </w:r>
      <w:r w:rsidRPr="0049492A">
        <w:rPr>
          <w:i/>
        </w:rPr>
        <w:t>Årsredovisning 2000</w:t>
      </w:r>
      <w:r w:rsidRPr="0049492A">
        <w:t xml:space="preserve">. </w:t>
      </w:r>
    </w:p>
    <w:p w:rsidR="008D3479" w:rsidRPr="0049492A" w:rsidRDefault="008D3479">
      <w:pPr>
        <w:jc w:val="left"/>
      </w:pPr>
      <w:r w:rsidRPr="0049492A">
        <w:t xml:space="preserve">Fortifikationsverket 2001, </w:t>
      </w:r>
      <w:r w:rsidRPr="0049492A">
        <w:rPr>
          <w:i/>
        </w:rPr>
        <w:t>Ny hyresmodell</w:t>
      </w:r>
      <w:r w:rsidRPr="0049492A">
        <w:t>, PM 19/01F.</w:t>
      </w:r>
    </w:p>
    <w:p w:rsidR="008D3479" w:rsidRPr="0049492A" w:rsidRDefault="008D3479">
      <w:pPr>
        <w:jc w:val="left"/>
      </w:pPr>
      <w:r w:rsidRPr="0049492A">
        <w:t xml:space="preserve">Kungliga Tekniska Högskolan och Chalmers tekniska högskola AB 2001, </w:t>
      </w:r>
      <w:r w:rsidRPr="0049492A">
        <w:rPr>
          <w:i/>
        </w:rPr>
        <w:t>PM beträffande Akademiska Hus hyressättning för högskolor och universitet</w:t>
      </w:r>
      <w:r w:rsidRPr="0049492A">
        <w:t xml:space="preserve">, 2001-02-09. </w:t>
      </w:r>
    </w:p>
    <w:p w:rsidR="008D3479" w:rsidRPr="0049492A" w:rsidRDefault="008D3479">
      <w:pPr>
        <w:jc w:val="left"/>
      </w:pPr>
      <w:r w:rsidRPr="0049492A">
        <w:t xml:space="preserve">Regeringens proposition 1986/87:99, </w:t>
      </w:r>
      <w:r w:rsidRPr="0049492A">
        <w:rPr>
          <w:i/>
        </w:rPr>
        <w:t>Ledningen av den statliga förvaltnin</w:t>
      </w:r>
      <w:r w:rsidRPr="0049492A">
        <w:rPr>
          <w:i/>
        </w:rPr>
        <w:t>g</w:t>
      </w:r>
      <w:r w:rsidRPr="0049492A">
        <w:rPr>
          <w:i/>
        </w:rPr>
        <w:t>en</w:t>
      </w:r>
      <w:r w:rsidRPr="0049492A">
        <w:t xml:space="preserve">. </w:t>
      </w:r>
    </w:p>
    <w:p w:rsidR="008D3479" w:rsidRPr="0049492A" w:rsidRDefault="008D3479">
      <w:pPr>
        <w:jc w:val="left"/>
      </w:pPr>
      <w:r w:rsidRPr="0049492A">
        <w:t xml:space="preserve">Regeringens proposition 1990/91:100, </w:t>
      </w:r>
      <w:r w:rsidRPr="0049492A">
        <w:rPr>
          <w:i/>
        </w:rPr>
        <w:t>Budgetpropositionen för budgetåret 1991/92</w:t>
      </w:r>
      <w:r w:rsidRPr="0049492A">
        <w:t xml:space="preserve">. </w:t>
      </w:r>
    </w:p>
    <w:p w:rsidR="008D3479" w:rsidRPr="0049492A" w:rsidRDefault="008D3479">
      <w:pPr>
        <w:jc w:val="left"/>
      </w:pPr>
      <w:r w:rsidRPr="0049492A">
        <w:t xml:space="preserve">Regeringens proposition 1990/91:150, </w:t>
      </w:r>
      <w:r w:rsidRPr="0049492A">
        <w:rPr>
          <w:i/>
        </w:rPr>
        <w:t>Kompletteringspropositionen</w:t>
      </w:r>
      <w:r w:rsidRPr="0049492A">
        <w:t>.</w:t>
      </w:r>
    </w:p>
    <w:p w:rsidR="008D3479" w:rsidRPr="0049492A" w:rsidRDefault="008D3479">
      <w:pPr>
        <w:jc w:val="left"/>
        <w:rPr>
          <w:i/>
        </w:rPr>
      </w:pPr>
      <w:r w:rsidRPr="0049492A">
        <w:t xml:space="preserve">Regeringens proposition 1991/92:44, </w:t>
      </w:r>
      <w:r w:rsidRPr="0049492A">
        <w:rPr>
          <w:i/>
        </w:rPr>
        <w:t>Om riktlinjer för den statliga fasti</w:t>
      </w:r>
      <w:r w:rsidRPr="0049492A">
        <w:rPr>
          <w:i/>
        </w:rPr>
        <w:t>g</w:t>
      </w:r>
      <w:r w:rsidRPr="0049492A">
        <w:rPr>
          <w:i/>
        </w:rPr>
        <w:t>hetsfö</w:t>
      </w:r>
      <w:r w:rsidRPr="0049492A">
        <w:rPr>
          <w:i/>
        </w:rPr>
        <w:t>r</w:t>
      </w:r>
      <w:r w:rsidRPr="0049492A">
        <w:rPr>
          <w:i/>
        </w:rPr>
        <w:t>valtningen och ombildningen av byggnadsstyrelsen, m.m.</w:t>
      </w:r>
    </w:p>
    <w:p w:rsidR="008D3479" w:rsidRPr="0049492A" w:rsidRDefault="008D3479">
      <w:pPr>
        <w:jc w:val="left"/>
      </w:pPr>
      <w:r w:rsidRPr="0049492A">
        <w:t xml:space="preserve">Regeringens proposition 1993/94:150, </w:t>
      </w:r>
      <w:r w:rsidRPr="0049492A">
        <w:rPr>
          <w:i/>
        </w:rPr>
        <w:t>Kompletteringspropositionen</w:t>
      </w:r>
      <w:r w:rsidRPr="0049492A">
        <w:t xml:space="preserve">,       bilaga 1. </w:t>
      </w:r>
    </w:p>
    <w:p w:rsidR="008D3479" w:rsidRPr="0049492A" w:rsidRDefault="008D3479">
      <w:pPr>
        <w:jc w:val="left"/>
      </w:pPr>
      <w:r w:rsidRPr="0049492A">
        <w:t xml:space="preserve">Regeringens proposition 1997/98:137, </w:t>
      </w:r>
      <w:r w:rsidRPr="0049492A">
        <w:rPr>
          <w:i/>
        </w:rPr>
        <w:t>Förvaltning av statens fastigheter och statliga myndigheters lokalförsörjning, m.m</w:t>
      </w:r>
      <w:r w:rsidRPr="0049492A">
        <w:t xml:space="preserve">. </w:t>
      </w:r>
    </w:p>
    <w:p w:rsidR="008D3479" w:rsidRPr="0049492A" w:rsidRDefault="008D3479">
      <w:pPr>
        <w:jc w:val="left"/>
      </w:pPr>
      <w:r w:rsidRPr="0049492A">
        <w:t xml:space="preserve">Regeringens proposition 2000/01:100, </w:t>
      </w:r>
      <w:r w:rsidRPr="0049492A">
        <w:rPr>
          <w:i/>
        </w:rPr>
        <w:t>2001 års ekonomiska vårpropos</w:t>
      </w:r>
      <w:r w:rsidRPr="0049492A">
        <w:rPr>
          <w:i/>
        </w:rPr>
        <w:t>i</w:t>
      </w:r>
      <w:r w:rsidRPr="0049492A">
        <w:rPr>
          <w:i/>
        </w:rPr>
        <w:t>tion</w:t>
      </w:r>
      <w:r w:rsidRPr="0049492A">
        <w:t xml:space="preserve">. </w:t>
      </w:r>
    </w:p>
    <w:p w:rsidR="008D3479" w:rsidRPr="0049492A" w:rsidRDefault="008D3479">
      <w:pPr>
        <w:jc w:val="left"/>
      </w:pPr>
      <w:r w:rsidRPr="0049492A">
        <w:t xml:space="preserve">Regeringskansliet 2001, </w:t>
      </w:r>
      <w:r w:rsidRPr="0049492A">
        <w:rPr>
          <w:i/>
        </w:rPr>
        <w:t>Översyn av hyressättningen i vissa statliga änd</w:t>
      </w:r>
      <w:r w:rsidRPr="0049492A">
        <w:rPr>
          <w:i/>
        </w:rPr>
        <w:t>a</w:t>
      </w:r>
      <w:r w:rsidRPr="0049492A">
        <w:rPr>
          <w:i/>
        </w:rPr>
        <w:t>målsfastigheter</w:t>
      </w:r>
      <w:r w:rsidRPr="0049492A">
        <w:t xml:space="preserve">. Rapport 2001-02-16. </w:t>
      </w:r>
    </w:p>
    <w:p w:rsidR="008D3479" w:rsidRPr="0049492A" w:rsidRDefault="008D3479">
      <w:pPr>
        <w:jc w:val="left"/>
      </w:pPr>
      <w:r w:rsidRPr="0049492A">
        <w:t xml:space="preserve">Riksdagens revisorer 1996, </w:t>
      </w:r>
      <w:r w:rsidRPr="0049492A">
        <w:rPr>
          <w:i/>
        </w:rPr>
        <w:t>Myndigheternas lokalförsörjning</w:t>
      </w:r>
      <w:r w:rsidRPr="0049492A">
        <w:t>, rapport 1995/96:4.</w:t>
      </w:r>
    </w:p>
    <w:p w:rsidR="008D3479" w:rsidRPr="0049492A" w:rsidRDefault="008D3479">
      <w:pPr>
        <w:jc w:val="left"/>
      </w:pPr>
      <w:r w:rsidRPr="0049492A">
        <w:t xml:space="preserve">Riksdagens revisorer 1996, </w:t>
      </w:r>
      <w:r w:rsidRPr="0049492A">
        <w:rPr>
          <w:i/>
        </w:rPr>
        <w:t>Myndigheternas lokalförsörjning</w:t>
      </w:r>
      <w:r w:rsidRPr="0049492A">
        <w:t xml:space="preserve">. Förslag till riksdagen 1995/96:RR11. </w:t>
      </w:r>
    </w:p>
    <w:p w:rsidR="008D3479" w:rsidRPr="0049492A" w:rsidRDefault="008D3479">
      <w:pPr>
        <w:jc w:val="left"/>
      </w:pPr>
      <w:r w:rsidRPr="0049492A">
        <w:t xml:space="preserve">Riksdagens revisorer 2000, </w:t>
      </w:r>
      <w:r w:rsidRPr="0049492A">
        <w:rPr>
          <w:i/>
        </w:rPr>
        <w:t>Kulturinstitutionernas hyror</w:t>
      </w:r>
      <w:r w:rsidRPr="0049492A">
        <w:t>, förstudie 2000/01:12.</w:t>
      </w:r>
    </w:p>
    <w:p w:rsidR="008D3479" w:rsidRPr="0049492A" w:rsidRDefault="008D3479">
      <w:pPr>
        <w:jc w:val="left"/>
      </w:pPr>
      <w:r w:rsidRPr="0049492A">
        <w:t xml:space="preserve">SOU 1996:187, </w:t>
      </w:r>
      <w:r w:rsidRPr="0049492A">
        <w:rPr>
          <w:i/>
        </w:rPr>
        <w:t>Statens ändamålsfastigheter, Princip för förvaltning och hyressättning</w:t>
      </w:r>
      <w:r w:rsidRPr="0049492A">
        <w:t>, Delbetänkande av utredningen om utvärderingen av Byg</w:t>
      </w:r>
      <w:r w:rsidRPr="0049492A">
        <w:t>g</w:t>
      </w:r>
      <w:r w:rsidRPr="0049492A">
        <w:t xml:space="preserve">nadsstyrelsens ombildning m.m. </w:t>
      </w:r>
    </w:p>
    <w:p w:rsidR="008D3479" w:rsidRPr="0049492A" w:rsidRDefault="008D3479">
      <w:pPr>
        <w:jc w:val="left"/>
      </w:pPr>
      <w:r w:rsidRPr="0049492A">
        <w:t xml:space="preserve">SOU 1997:96, </w:t>
      </w:r>
      <w:r w:rsidRPr="0049492A">
        <w:rPr>
          <w:i/>
        </w:rPr>
        <w:t>Lokalförsörjning och fastighetsägande, En utvärdering av statens fastighetsorganisation</w:t>
      </w:r>
      <w:r w:rsidRPr="0049492A">
        <w:t>, slutbetänkande av utredningen om utvärd</w:t>
      </w:r>
      <w:r w:rsidRPr="0049492A">
        <w:t>e</w:t>
      </w:r>
      <w:r w:rsidRPr="0049492A">
        <w:t xml:space="preserve">ring av Byggnadsstyrelsens ombildning. </w:t>
      </w:r>
    </w:p>
    <w:p w:rsidR="008D3479" w:rsidRPr="0049492A" w:rsidRDefault="008D3479">
      <w:pPr>
        <w:jc w:val="left"/>
      </w:pPr>
      <w:r w:rsidRPr="0049492A">
        <w:t xml:space="preserve">SOU 2000:82, </w:t>
      </w:r>
      <w:r w:rsidRPr="0049492A">
        <w:rPr>
          <w:i/>
        </w:rPr>
        <w:t>Högskolans styrning – en utvärdering</w:t>
      </w:r>
      <w:r w:rsidRPr="0049492A">
        <w:t>. Betänkande av utre</w:t>
      </w:r>
      <w:r w:rsidRPr="0049492A">
        <w:t>d</w:t>
      </w:r>
      <w:r w:rsidRPr="0049492A">
        <w:t xml:space="preserve">ningen högskolan – en utvärdering.  </w:t>
      </w:r>
    </w:p>
    <w:p w:rsidR="008D3479" w:rsidRPr="0049492A" w:rsidRDefault="008D3479">
      <w:pPr>
        <w:jc w:val="left"/>
      </w:pPr>
      <w:r w:rsidRPr="0049492A">
        <w:t xml:space="preserve">Statens fastighetsverk 2001, </w:t>
      </w:r>
      <w:r w:rsidRPr="0049492A">
        <w:rPr>
          <w:i/>
        </w:rPr>
        <w:t>Årsredovisning 2000</w:t>
      </w:r>
      <w:r w:rsidRPr="0049492A">
        <w:t>.</w:t>
      </w:r>
    </w:p>
    <w:p w:rsidR="008D3479" w:rsidRPr="0049492A" w:rsidRDefault="008D3479">
      <w:pPr>
        <w:jc w:val="left"/>
      </w:pPr>
      <w:r w:rsidRPr="0049492A">
        <w:t xml:space="preserve">Statens lokalförsörjningsverk 1996, </w:t>
      </w:r>
      <w:r w:rsidRPr="0049492A">
        <w:rPr>
          <w:i/>
        </w:rPr>
        <w:t>Hyressättning i ändamålsfastigheter m.m.</w:t>
      </w:r>
      <w:r w:rsidRPr="0049492A">
        <w:t xml:space="preserve"> Rapport nr 1996:23.</w:t>
      </w:r>
    </w:p>
    <w:p w:rsidR="008D3479" w:rsidRPr="0049492A" w:rsidRDefault="008D3479">
      <w:pPr>
        <w:jc w:val="left"/>
      </w:pPr>
      <w:r w:rsidRPr="0049492A">
        <w:t>Statens lokalförsörjningsverk 1996, skrivelse till regeringen, dnr 36-54/1996.</w:t>
      </w:r>
    </w:p>
    <w:p w:rsidR="008D3479" w:rsidRPr="0049492A" w:rsidRDefault="008D3479">
      <w:pPr>
        <w:jc w:val="left"/>
      </w:pPr>
      <w:r w:rsidRPr="0049492A">
        <w:t xml:space="preserve">Specialfastigheter AB 2001, </w:t>
      </w:r>
      <w:r w:rsidRPr="0049492A">
        <w:rPr>
          <w:i/>
        </w:rPr>
        <w:t>Årsredovisning 2000</w:t>
      </w:r>
      <w:r w:rsidRPr="0049492A">
        <w:t xml:space="preserve">. </w:t>
      </w:r>
    </w:p>
    <w:p w:rsidR="008D3479" w:rsidRPr="0049492A" w:rsidRDefault="008D3479">
      <w:pPr>
        <w:jc w:val="left"/>
      </w:pPr>
      <w:r w:rsidRPr="0049492A">
        <w:t xml:space="preserve">Specialfastigheter AB 2000, </w:t>
      </w:r>
      <w:r w:rsidRPr="0049492A">
        <w:rPr>
          <w:i/>
        </w:rPr>
        <w:t>Årsredovisning 1999</w:t>
      </w:r>
      <w:r w:rsidRPr="0049492A">
        <w:t xml:space="preserve">. </w:t>
      </w:r>
    </w:p>
    <w:p w:rsidR="008D3479" w:rsidRPr="0049492A" w:rsidRDefault="008D3479">
      <w:pPr>
        <w:jc w:val="left"/>
      </w:pPr>
      <w:r w:rsidRPr="0049492A">
        <w:t xml:space="preserve">Statens fastighetsverk 2001, </w:t>
      </w:r>
      <w:r w:rsidRPr="0049492A">
        <w:rPr>
          <w:i/>
        </w:rPr>
        <w:t>Driftkostnader år 1998, 1999, 2000</w:t>
      </w:r>
      <w:r w:rsidRPr="0049492A">
        <w:t>.</w:t>
      </w:r>
    </w:p>
    <w:p w:rsidR="008D3479" w:rsidRPr="0049492A" w:rsidRDefault="008D3479">
      <w:pPr>
        <w:jc w:val="left"/>
      </w:pPr>
      <w:r w:rsidRPr="0049492A">
        <w:t xml:space="preserve"> PM 2001-04-25. </w:t>
      </w:r>
    </w:p>
    <w:p w:rsidR="008D3479" w:rsidRPr="0049492A" w:rsidRDefault="008D3479">
      <w:pPr>
        <w:jc w:val="left"/>
      </w:pPr>
      <w:r w:rsidRPr="0049492A">
        <w:t xml:space="preserve">Statskontoret 1998, </w:t>
      </w:r>
      <w:r w:rsidRPr="0049492A">
        <w:rPr>
          <w:i/>
        </w:rPr>
        <w:t>Regeringens styrning och kontroll av den statliga loka</w:t>
      </w:r>
      <w:r w:rsidRPr="0049492A">
        <w:rPr>
          <w:i/>
        </w:rPr>
        <w:t>l</w:t>
      </w:r>
      <w:r w:rsidRPr="0049492A">
        <w:rPr>
          <w:i/>
        </w:rPr>
        <w:t>försörjningen</w:t>
      </w:r>
      <w:r w:rsidRPr="0049492A">
        <w:t xml:space="preserve">. Rapport 1998:31. </w:t>
      </w:r>
    </w:p>
    <w:p w:rsidR="008D3479" w:rsidRPr="0049492A" w:rsidRDefault="008D3479">
      <w:pPr>
        <w:jc w:val="left"/>
      </w:pPr>
      <w:r w:rsidRPr="0049492A">
        <w:t xml:space="preserve">Statskontoret 2000 a, </w:t>
      </w:r>
      <w:r w:rsidRPr="0049492A">
        <w:rPr>
          <w:i/>
        </w:rPr>
        <w:t xml:space="preserve">Sammanställning av hyreskostnader och lokalarea för vissa myndigheter och institutioner inom Kulturdepartementets område, </w:t>
      </w:r>
      <w:r w:rsidRPr="0049492A">
        <w:t>2000-05-04.</w:t>
      </w:r>
    </w:p>
    <w:p w:rsidR="008D3479" w:rsidRPr="0049492A" w:rsidRDefault="008D3479">
      <w:pPr>
        <w:jc w:val="left"/>
      </w:pPr>
      <w:r w:rsidRPr="0049492A">
        <w:t xml:space="preserve">Statskontoret 2000 b, </w:t>
      </w:r>
      <w:r w:rsidRPr="0049492A">
        <w:rPr>
          <w:i/>
        </w:rPr>
        <w:t>Redovisning av underlag för prisomräkning av loka</w:t>
      </w:r>
      <w:r w:rsidRPr="0049492A">
        <w:rPr>
          <w:i/>
        </w:rPr>
        <w:t>l</w:t>
      </w:r>
      <w:r w:rsidRPr="0049492A">
        <w:rPr>
          <w:i/>
        </w:rPr>
        <w:t>kostnadsandelen i anslagsbaserna för 2001</w:t>
      </w:r>
      <w:r w:rsidRPr="0049492A">
        <w:t xml:space="preserve">, PM 2000-01-28. </w:t>
      </w:r>
    </w:p>
    <w:p w:rsidR="008D3479" w:rsidRPr="0049492A" w:rsidRDefault="008D3479">
      <w:pPr>
        <w:jc w:val="left"/>
      </w:pPr>
      <w:r w:rsidRPr="0049492A">
        <w:t xml:space="preserve">Statskontoret 2001, </w:t>
      </w:r>
      <w:r w:rsidRPr="0049492A">
        <w:rPr>
          <w:i/>
        </w:rPr>
        <w:t>Redovisning av underlag för prisomräkning av loka</w:t>
      </w:r>
      <w:r w:rsidRPr="0049492A">
        <w:rPr>
          <w:i/>
        </w:rPr>
        <w:t>l</w:t>
      </w:r>
      <w:r w:rsidRPr="0049492A">
        <w:rPr>
          <w:i/>
        </w:rPr>
        <w:t>kostnadsandelen i anslagsbaserna för budgetåret 2002</w:t>
      </w:r>
      <w:r w:rsidRPr="0049492A">
        <w:t>, bilaga 3,</w:t>
      </w:r>
    </w:p>
    <w:p w:rsidR="008D3479" w:rsidRPr="0049492A" w:rsidRDefault="008D3479">
      <w:pPr>
        <w:jc w:val="left"/>
      </w:pPr>
      <w:r w:rsidRPr="0049492A">
        <w:t xml:space="preserve">PM 2001-02-29. </w:t>
      </w:r>
    </w:p>
    <w:p w:rsidR="008D3479" w:rsidRPr="0049492A" w:rsidRDefault="008D3479">
      <w:pPr>
        <w:pStyle w:val="Rubrik2-Utannumrering"/>
      </w:pPr>
      <w:bookmarkStart w:id="1403" w:name="_Toc524166807"/>
      <w:bookmarkStart w:id="1404" w:name="_Toc524168684"/>
      <w:bookmarkStart w:id="1405" w:name="_Toc524856409"/>
      <w:bookmarkStart w:id="1406" w:name="_Toc524926762"/>
      <w:bookmarkStart w:id="1407" w:name="_Toc526147853"/>
      <w:bookmarkStart w:id="1408" w:name="_Toc526234331"/>
      <w:bookmarkStart w:id="1409" w:name="_Toc532725213"/>
      <w:r w:rsidRPr="0049492A">
        <w:t>Förordningar</w:t>
      </w:r>
      <w:bookmarkEnd w:id="1403"/>
      <w:bookmarkEnd w:id="1404"/>
      <w:bookmarkEnd w:id="1405"/>
      <w:bookmarkEnd w:id="1406"/>
      <w:bookmarkEnd w:id="1407"/>
      <w:bookmarkEnd w:id="1408"/>
      <w:bookmarkEnd w:id="1409"/>
    </w:p>
    <w:p w:rsidR="008D3479" w:rsidRPr="0049492A" w:rsidRDefault="008D3479">
      <w:pPr>
        <w:jc w:val="left"/>
      </w:pPr>
      <w:r w:rsidRPr="0049492A">
        <w:t xml:space="preserve">Förordning (1993:527) om förvaltning av statliga myndigheter. </w:t>
      </w:r>
    </w:p>
    <w:p w:rsidR="008D3479" w:rsidRPr="0049492A" w:rsidRDefault="008D3479">
      <w:pPr>
        <w:jc w:val="left"/>
      </w:pPr>
      <w:r w:rsidRPr="0049492A">
        <w:t>Förordning (1993:528) om statliga myndigheters lokalförsörjning.</w:t>
      </w:r>
    </w:p>
    <w:p w:rsidR="008D3479" w:rsidRPr="0049492A" w:rsidRDefault="008D3479">
      <w:pPr>
        <w:jc w:val="left"/>
      </w:pPr>
      <w:r w:rsidRPr="0049492A">
        <w:t>Förordning (1996:102) med instruktion för Fortifikationsverket.</w:t>
      </w:r>
    </w:p>
    <w:p w:rsidR="008D3479" w:rsidRPr="0049492A" w:rsidRDefault="008D3479">
      <w:pPr>
        <w:jc w:val="left"/>
      </w:pPr>
      <w:r w:rsidRPr="0049492A">
        <w:t>Förordning (1996:1188) Kapitalförsörjningsförordningen med föreskrifter och allmänna råd.</w:t>
      </w:r>
    </w:p>
    <w:p w:rsidR="008D3479" w:rsidRPr="0049492A" w:rsidRDefault="008D3479">
      <w:pPr>
        <w:jc w:val="left"/>
      </w:pPr>
      <w:r w:rsidRPr="0049492A">
        <w:t>Förordning</w:t>
      </w:r>
      <w:bookmarkStart w:id="1410" w:name="_Toc514560646"/>
      <w:bookmarkStart w:id="1411" w:name="_Toc515780691"/>
      <w:bookmarkStart w:id="1412" w:name="_Toc521379445"/>
      <w:bookmarkStart w:id="1413" w:name="_Toc524061659"/>
      <w:bookmarkStart w:id="1414" w:name="_Toc524159298"/>
      <w:bookmarkStart w:id="1415" w:name="_Toc524166579"/>
      <w:bookmarkStart w:id="1416" w:name="_Toc524168685"/>
      <w:bookmarkStart w:id="1417" w:name="_Toc524856410"/>
      <w:bookmarkStart w:id="1418" w:name="_Toc524926763"/>
      <w:bookmarkStart w:id="1419" w:name="_Toc526147854"/>
      <w:bookmarkStart w:id="1420" w:name="_Toc526234332"/>
      <w:r w:rsidRPr="0049492A">
        <w:t xml:space="preserve"> (1996:1189) Anslagsförordning.</w:t>
      </w:r>
    </w:p>
    <w:p w:rsidR="008D3479" w:rsidRPr="0049492A" w:rsidRDefault="008D3479">
      <w:pPr>
        <w:pStyle w:val="Rubrik1-Utannumrering"/>
        <w:sectPr w:rsidR="00000000" w:rsidRPr="0049492A">
          <w:headerReference w:type="default" r:id="rId20"/>
          <w:footerReference w:type="default" r:id="rId21"/>
          <w:pgSz w:w="11906" w:h="16838" w:code="9"/>
          <w:pgMar w:top="567" w:right="4876" w:bottom="4508" w:left="1134" w:header="227" w:footer="227" w:gutter="0"/>
          <w:cols w:space="720"/>
        </w:sectPr>
      </w:pPr>
    </w:p>
    <w:p w:rsidR="008D3479" w:rsidRPr="0049492A" w:rsidRDefault="008D3479"/>
    <w:p w:rsidR="008D3479" w:rsidRPr="0049492A" w:rsidRDefault="008D3479">
      <w:pPr>
        <w:pStyle w:val="Rubrik1-Utannumrering"/>
        <w:spacing w:before="0"/>
      </w:pPr>
      <w:bookmarkStart w:id="1421" w:name="_Toc532725214"/>
      <w:r w:rsidRPr="0049492A">
        <w:t>Bilaga 1 Definitioner och teorier</w:t>
      </w:r>
      <w:bookmarkEnd w:id="1416"/>
      <w:bookmarkEnd w:id="1417"/>
      <w:bookmarkEnd w:id="1418"/>
      <w:bookmarkEnd w:id="1419"/>
      <w:bookmarkEnd w:id="1420"/>
      <w:bookmarkEnd w:id="1421"/>
    </w:p>
    <w:p w:rsidR="008D3479" w:rsidRPr="0049492A" w:rsidRDefault="008D3479">
      <w:pPr>
        <w:pStyle w:val="Rubrik2-Utannumrering"/>
      </w:pPr>
      <w:bookmarkStart w:id="1422" w:name="_Toc524168686"/>
      <w:bookmarkStart w:id="1423" w:name="_Toc524856411"/>
      <w:bookmarkStart w:id="1424" w:name="_Toc524926764"/>
      <w:bookmarkStart w:id="1425" w:name="_Toc526147855"/>
      <w:bookmarkStart w:id="1426" w:name="_Toc526234333"/>
      <w:bookmarkStart w:id="1427" w:name="_Toc532725215"/>
      <w:r w:rsidRPr="0049492A">
        <w:t>Sammanfattning</w:t>
      </w:r>
      <w:bookmarkEnd w:id="1410"/>
      <w:bookmarkEnd w:id="1411"/>
      <w:bookmarkEnd w:id="1412"/>
      <w:bookmarkEnd w:id="1413"/>
      <w:bookmarkEnd w:id="1414"/>
      <w:bookmarkEnd w:id="1415"/>
      <w:bookmarkEnd w:id="1422"/>
      <w:bookmarkEnd w:id="1423"/>
      <w:bookmarkEnd w:id="1424"/>
      <w:bookmarkEnd w:id="1425"/>
      <w:bookmarkEnd w:id="1426"/>
      <w:bookmarkEnd w:id="1427"/>
    </w:p>
    <w:p w:rsidR="008D3479" w:rsidRPr="0049492A" w:rsidRDefault="008D3479">
      <w:r w:rsidRPr="0049492A">
        <w:t xml:space="preserve">I denna bilaga definieras ett antal begrepp som förekommit i rapporten </w:t>
      </w:r>
      <w:bookmarkStart w:id="1428" w:name="_Toc514560647"/>
      <w:bookmarkStart w:id="1429" w:name="_Toc515780692"/>
      <w:r w:rsidRPr="0049492A">
        <w:t>på ett mer utförligt sätt. Begre</w:t>
      </w:r>
      <w:r w:rsidRPr="0049492A">
        <w:t>p</w:t>
      </w:r>
      <w:r w:rsidRPr="0049492A">
        <w:t>pen som behandlas är:</w:t>
      </w:r>
    </w:p>
    <w:p w:rsidR="008D3479" w:rsidRPr="0049492A" w:rsidRDefault="008D3479">
      <w:pPr>
        <w:pStyle w:val="Normaltindrag"/>
        <w:numPr>
          <w:ilvl w:val="0"/>
          <w:numId w:val="51"/>
        </w:numPr>
        <w:ind w:left="530"/>
      </w:pPr>
      <w:r w:rsidRPr="0049492A">
        <w:t>Självkostnadshyra</w:t>
      </w:r>
    </w:p>
    <w:p w:rsidR="008D3479" w:rsidRPr="0049492A" w:rsidRDefault="008D3479">
      <w:pPr>
        <w:pStyle w:val="Normaltindrag"/>
        <w:numPr>
          <w:ilvl w:val="0"/>
          <w:numId w:val="51"/>
        </w:numPr>
        <w:ind w:left="530"/>
      </w:pPr>
      <w:r w:rsidRPr="0049492A">
        <w:t>Avkastningskrav</w:t>
      </w:r>
    </w:p>
    <w:p w:rsidR="008D3479" w:rsidRPr="0049492A" w:rsidRDefault="008D3479">
      <w:pPr>
        <w:pStyle w:val="Normaltindrag"/>
        <w:numPr>
          <w:ilvl w:val="0"/>
          <w:numId w:val="51"/>
        </w:numPr>
        <w:ind w:left="530"/>
      </w:pPr>
      <w:r w:rsidRPr="0049492A">
        <w:t>Avkastningsunderlag och fastighetsvärdering</w:t>
      </w:r>
    </w:p>
    <w:p w:rsidR="008D3479" w:rsidRPr="0049492A" w:rsidRDefault="008D3479">
      <w:pPr>
        <w:pStyle w:val="Normaltindrag"/>
        <w:numPr>
          <w:ilvl w:val="0"/>
          <w:numId w:val="51"/>
        </w:numPr>
        <w:ind w:left="530"/>
      </w:pPr>
      <w:r w:rsidRPr="0049492A">
        <w:t>Avskrivningar</w:t>
      </w:r>
    </w:p>
    <w:p w:rsidR="008D3479" w:rsidRPr="0049492A" w:rsidRDefault="008D3479">
      <w:pPr>
        <w:pStyle w:val="Normaltindrag"/>
        <w:numPr>
          <w:ilvl w:val="0"/>
          <w:numId w:val="51"/>
        </w:numPr>
        <w:ind w:left="530"/>
      </w:pPr>
      <w:r w:rsidRPr="0049492A">
        <w:t>Balanshyra</w:t>
      </w:r>
    </w:p>
    <w:p w:rsidR="008D3479" w:rsidRPr="0049492A" w:rsidRDefault="008D3479">
      <w:pPr>
        <w:pStyle w:val="Normaltindrag"/>
        <w:numPr>
          <w:ilvl w:val="0"/>
          <w:numId w:val="51"/>
        </w:numPr>
        <w:ind w:left="530"/>
      </w:pPr>
      <w:r w:rsidRPr="0049492A">
        <w:t>Risk- och ansvarsfördelning</w:t>
      </w:r>
    </w:p>
    <w:p w:rsidR="008D3479" w:rsidRPr="0049492A" w:rsidRDefault="008D3479">
      <w:pPr>
        <w:pStyle w:val="Normaltindrag"/>
        <w:numPr>
          <w:ilvl w:val="0"/>
          <w:numId w:val="51"/>
        </w:numPr>
        <w:ind w:left="530"/>
      </w:pPr>
      <w:r w:rsidRPr="0049492A">
        <w:t>Förvaltnings- och underhållsplan</w:t>
      </w:r>
    </w:p>
    <w:p w:rsidR="008D3479" w:rsidRPr="0049492A" w:rsidRDefault="008D3479">
      <w:pPr>
        <w:pStyle w:val="Rubrik2-Utannumrering"/>
      </w:pPr>
      <w:bookmarkStart w:id="1430" w:name="_Toc521379446"/>
      <w:bookmarkStart w:id="1431" w:name="_Toc524061660"/>
      <w:bookmarkStart w:id="1432" w:name="_Toc524159299"/>
      <w:bookmarkStart w:id="1433" w:name="_Toc524166580"/>
      <w:bookmarkStart w:id="1434" w:name="_Toc524168687"/>
      <w:bookmarkStart w:id="1435" w:name="_Toc524856412"/>
      <w:bookmarkStart w:id="1436" w:name="_Toc524926765"/>
      <w:bookmarkStart w:id="1437" w:name="_Toc526147856"/>
      <w:bookmarkStart w:id="1438" w:name="_Toc526234334"/>
      <w:bookmarkStart w:id="1439" w:name="_Toc532725216"/>
      <w:r w:rsidRPr="0049492A">
        <w:t>Def</w:t>
      </w:r>
      <w:r w:rsidRPr="0049492A">
        <w:t>i</w:t>
      </w:r>
      <w:r w:rsidRPr="0049492A">
        <w:t>nitioner och teorier</w:t>
      </w:r>
      <w:bookmarkEnd w:id="1428"/>
      <w:bookmarkEnd w:id="1429"/>
      <w:bookmarkEnd w:id="1430"/>
      <w:bookmarkEnd w:id="1431"/>
      <w:bookmarkEnd w:id="1432"/>
      <w:bookmarkEnd w:id="1433"/>
      <w:bookmarkEnd w:id="1434"/>
      <w:bookmarkEnd w:id="1435"/>
      <w:bookmarkEnd w:id="1436"/>
      <w:bookmarkEnd w:id="1437"/>
      <w:bookmarkEnd w:id="1438"/>
      <w:bookmarkEnd w:id="1439"/>
    </w:p>
    <w:p w:rsidR="008D3479" w:rsidRPr="0049492A" w:rsidRDefault="008D3479">
      <w:pPr>
        <w:rPr>
          <w:b/>
        </w:rPr>
      </w:pPr>
      <w:r w:rsidRPr="0049492A">
        <w:t>Många av termerna som används i fastighetsekonomiska sammanhang kan tolkas på olika sätt. För att kunna diskutera frågorna är det viktigt att inn</w:t>
      </w:r>
      <w:r w:rsidRPr="0049492A">
        <w:t>e</w:t>
      </w:r>
      <w:r w:rsidRPr="0049492A">
        <w:t>börden av olika begrepp är tydlig. Det är också relevant att se hur olika ko</w:t>
      </w:r>
      <w:r w:rsidRPr="0049492A">
        <w:t>m</w:t>
      </w:r>
      <w:r w:rsidRPr="0049492A">
        <w:t>ponenter och funktioner hänger ihop. Nedan följer ett mer ingående reson</w:t>
      </w:r>
      <w:r w:rsidRPr="0049492A">
        <w:t>e</w:t>
      </w:r>
      <w:r w:rsidRPr="0049492A">
        <w:t xml:space="preserve">mang kring ett antal begrepp som förekommit i rapporten. </w:t>
      </w:r>
    </w:p>
    <w:p w:rsidR="008D3479" w:rsidRPr="0049492A" w:rsidRDefault="008D3479">
      <w:pPr>
        <w:pStyle w:val="Rubrik3-Utannumrering"/>
      </w:pPr>
      <w:bookmarkStart w:id="1440" w:name="_Toc514560649"/>
      <w:bookmarkStart w:id="1441" w:name="_Toc515780694"/>
      <w:bookmarkStart w:id="1442" w:name="_Toc521379447"/>
      <w:bookmarkStart w:id="1443" w:name="_Toc524061661"/>
      <w:bookmarkStart w:id="1444" w:name="_Toc524159300"/>
      <w:bookmarkStart w:id="1445" w:name="_Toc524166581"/>
      <w:bookmarkStart w:id="1446" w:name="_Toc524168688"/>
      <w:bookmarkStart w:id="1447" w:name="_Toc524856413"/>
      <w:bookmarkStart w:id="1448" w:name="_Toc524926766"/>
      <w:bookmarkStart w:id="1449" w:name="_Toc526147857"/>
      <w:bookmarkStart w:id="1450" w:name="_Toc526234335"/>
      <w:r w:rsidRPr="0049492A">
        <w:t>Självkostnadshyra</w:t>
      </w:r>
      <w:bookmarkEnd w:id="1440"/>
      <w:bookmarkEnd w:id="1441"/>
      <w:bookmarkEnd w:id="1442"/>
      <w:bookmarkEnd w:id="1443"/>
      <w:bookmarkEnd w:id="1444"/>
      <w:bookmarkEnd w:id="1445"/>
      <w:bookmarkEnd w:id="1446"/>
      <w:bookmarkEnd w:id="1447"/>
      <w:bookmarkEnd w:id="1448"/>
      <w:bookmarkEnd w:id="1449"/>
      <w:bookmarkEnd w:id="1450"/>
    </w:p>
    <w:p w:rsidR="008D3479" w:rsidRPr="0049492A" w:rsidRDefault="008D3479">
      <w:r w:rsidRPr="0049492A">
        <w:t>I en s.k. självkostnadshyra är hyran kostnadsbaserad. Intäkterna för en fa</w:t>
      </w:r>
      <w:r w:rsidRPr="0049492A">
        <w:t>s</w:t>
      </w:r>
      <w:r w:rsidRPr="0049492A">
        <w:t>tighetsförvaltning med självkostnadshyra motsvarar kostnaderna för fasti</w:t>
      </w:r>
      <w:r w:rsidRPr="0049492A">
        <w:t>g</w:t>
      </w:r>
      <w:r w:rsidRPr="0049492A">
        <w:t>hetsförvaltningen. En självkostnadshyra behöver inte innebära att hyran exakt motsvarar kostnaden för fastigheten under året. En självkostnadshyra kan beräknas genom schabloner och erfarenhetsvärden. Begreppets innebörd kan vara olika och den praktiska tillämpningen varierar, enligt en rapport från Kommunförbu</w:t>
      </w:r>
      <w:r w:rsidRPr="0049492A">
        <w:t>n</w:t>
      </w:r>
      <w:r w:rsidRPr="0049492A">
        <w:t>det.</w:t>
      </w:r>
      <w:r w:rsidRPr="0049492A">
        <w:rPr>
          <w:rStyle w:val="Fotnotsreferens"/>
        </w:rPr>
        <w:footnoteReference w:id="103"/>
      </w:r>
    </w:p>
    <w:p w:rsidR="008D3479" w:rsidRPr="0049492A" w:rsidRDefault="008D3479">
      <w:pPr>
        <w:pStyle w:val="Normaltindrag"/>
      </w:pPr>
      <w:r w:rsidRPr="0049492A">
        <w:t>En kostnadsbaserad hyra ska täcka alla kostnader som hör samman med verksamheten inklusive ett avkastningskrav på fastighetens kapitalvärde. Fastighetsförvaltningens intäkter måste täcka kostnader för drift, underhåll, administration och eventuellt värme, elektricitet, vatten, etc. Intäkterna måste också täcka det minimikrav som ägaren ställt på kapitalavkastning, nämligen räntan på anskaffningskostnaden för fastigheten samt reinvesteringar i fa</w:t>
      </w:r>
      <w:r w:rsidRPr="0049492A">
        <w:t>s</w:t>
      </w:r>
      <w:r w:rsidRPr="0049492A">
        <w:t>tigheten så att den behåller sitt vä</w:t>
      </w:r>
      <w:r w:rsidRPr="0049492A">
        <w:t>r</w:t>
      </w:r>
      <w:r w:rsidRPr="0049492A">
        <w:t xml:space="preserve">de. </w:t>
      </w:r>
    </w:p>
    <w:p w:rsidR="008D3479" w:rsidRPr="0049492A" w:rsidRDefault="008D3479">
      <w:pPr>
        <w:pStyle w:val="Normaltindrag"/>
      </w:pPr>
    </w:p>
    <w:p w:rsidR="008D3479" w:rsidRPr="0049492A" w:rsidRDefault="008D3479">
      <w:pPr>
        <w:pStyle w:val="Normaltindrag"/>
      </w:pPr>
    </w:p>
    <w:p w:rsidR="008D3479" w:rsidRPr="0049492A" w:rsidRDefault="008D3479">
      <w:pPr>
        <w:pStyle w:val="Normaltindrag"/>
      </w:pPr>
      <w:r w:rsidRPr="0049492A">
        <w:t>En kostnadsbaserad hyra kan vara</w:t>
      </w:r>
      <w:r w:rsidRPr="0049492A">
        <w:rPr>
          <w:rStyle w:val="Fotnotsreferens"/>
        </w:rPr>
        <w:footnoteReference w:id="104"/>
      </w:r>
      <w:r w:rsidRPr="0049492A">
        <w:t>:</w:t>
      </w:r>
    </w:p>
    <w:p w:rsidR="008D3479" w:rsidRPr="0049492A" w:rsidRDefault="008D3479">
      <w:pPr>
        <w:pStyle w:val="Normaltindrag"/>
        <w:numPr>
          <w:ilvl w:val="0"/>
          <w:numId w:val="29"/>
        </w:numPr>
      </w:pPr>
      <w:r w:rsidRPr="0049492A">
        <w:t>utjämnad, så att kostnaderna är omfördelade under kontraktstiden. En sådan hyra kallas balanshyra och den förutsätter långa kontraktstider. Bruksvärdeshyra är också en utjämnad kostnadshyra. Det innebär att hyran speglar hyresgästens värde av fastigheten. Bruksvärdeshyran för en äldre fastighet som inte har så höga kapitalkostnader blir högre än om kostnadshyran berä</w:t>
      </w:r>
      <w:r w:rsidRPr="0049492A">
        <w:t>k</w:t>
      </w:r>
      <w:r w:rsidRPr="0049492A">
        <w:t xml:space="preserve">nas exakt, </w:t>
      </w:r>
    </w:p>
    <w:p w:rsidR="008D3479" w:rsidRPr="0049492A" w:rsidRDefault="008D3479">
      <w:pPr>
        <w:pStyle w:val="Normaltindrag"/>
        <w:numPr>
          <w:ilvl w:val="0"/>
          <w:numId w:val="29"/>
        </w:numPr>
      </w:pPr>
      <w:r w:rsidRPr="0049492A">
        <w:t>exakt kostnadshyra. Hyran baseras då på fastighetens exakta kostn</w:t>
      </w:r>
      <w:r w:rsidRPr="0049492A">
        <w:t>a</w:t>
      </w:r>
      <w:r w:rsidRPr="0049492A">
        <w:t>der för drift och underhåll och kan variera kraftigt från år till år.</w:t>
      </w:r>
    </w:p>
    <w:p w:rsidR="008D3479" w:rsidRPr="0049492A" w:rsidRDefault="008D3479">
      <w:pPr>
        <w:pStyle w:val="Rubrik3-Utannumrering"/>
      </w:pPr>
      <w:bookmarkStart w:id="1451" w:name="_Toc514560650"/>
      <w:bookmarkStart w:id="1452" w:name="_Toc515780695"/>
      <w:bookmarkStart w:id="1453" w:name="_Toc521379448"/>
      <w:bookmarkStart w:id="1454" w:name="_Toc524061662"/>
      <w:bookmarkStart w:id="1455" w:name="_Toc524159301"/>
      <w:bookmarkStart w:id="1456" w:name="_Toc524166582"/>
      <w:bookmarkStart w:id="1457" w:name="_Toc524168689"/>
      <w:bookmarkStart w:id="1458" w:name="_Toc524856414"/>
      <w:bookmarkStart w:id="1459" w:name="_Toc524926767"/>
      <w:bookmarkStart w:id="1460" w:name="_Toc526147858"/>
      <w:bookmarkStart w:id="1461" w:name="_Toc526234336"/>
      <w:r w:rsidRPr="0049492A">
        <w:t>Avkastningskrav</w:t>
      </w:r>
      <w:bookmarkEnd w:id="1451"/>
      <w:bookmarkEnd w:id="1452"/>
      <w:bookmarkEnd w:id="1453"/>
      <w:bookmarkEnd w:id="1454"/>
      <w:bookmarkEnd w:id="1455"/>
      <w:bookmarkEnd w:id="1456"/>
      <w:bookmarkEnd w:id="1457"/>
      <w:bookmarkEnd w:id="1458"/>
      <w:bookmarkEnd w:id="1459"/>
      <w:bookmarkEnd w:id="1460"/>
      <w:bookmarkEnd w:id="1461"/>
    </w:p>
    <w:p w:rsidR="008D3479" w:rsidRPr="0049492A" w:rsidRDefault="008D3479">
      <w:r w:rsidRPr="0049492A">
        <w:t>Direktavkastning mäts som kvoten mellan årets driftnetto (intäkter–kostn</w:t>
      </w:r>
      <w:r w:rsidRPr="0049492A">
        <w:t>a</w:t>
      </w:r>
      <w:r w:rsidRPr="0049492A">
        <w:t xml:space="preserve">der) och kapitalvärdet. Om också förändringen av kapitalvärdet inkluderas får man den totala förräntningen. Ett </w:t>
      </w:r>
      <w:r w:rsidRPr="0049492A">
        <w:rPr>
          <w:i/>
        </w:rPr>
        <w:t>avkastningskrav</w:t>
      </w:r>
      <w:r w:rsidRPr="0049492A">
        <w:t xml:space="preserve"> (realräntekrav + infl</w:t>
      </w:r>
      <w:r w:rsidRPr="0049492A">
        <w:t>a</w:t>
      </w:r>
      <w:r w:rsidRPr="0049492A">
        <w:t>tionskompensation + riskpremie) används för att styra och utvärdera en ver</w:t>
      </w:r>
      <w:r w:rsidRPr="0049492A">
        <w:t>k</w:t>
      </w:r>
      <w:r w:rsidRPr="0049492A">
        <w:t>samhet. Det finns emellertid problem med att låta avkastning mäta effektiv</w:t>
      </w:r>
      <w:r w:rsidRPr="0049492A">
        <w:t>i</w:t>
      </w:r>
      <w:r w:rsidRPr="0049492A">
        <w:t>tet i ett offentligt fastighetsbolag:</w:t>
      </w:r>
    </w:p>
    <w:p w:rsidR="008D3479" w:rsidRPr="0049492A" w:rsidRDefault="008D3479">
      <w:pPr>
        <w:pStyle w:val="Normaltindrag"/>
        <w:numPr>
          <w:ilvl w:val="0"/>
          <w:numId w:val="29"/>
        </w:numPr>
      </w:pPr>
      <w:r w:rsidRPr="0049492A">
        <w:t>hyrorna för många ändamålsfastigheter är satta internt och inte på en fung</w:t>
      </w:r>
      <w:r w:rsidRPr="0049492A">
        <w:t>e</w:t>
      </w:r>
      <w:r w:rsidRPr="0049492A">
        <w:t>rande marknad,</w:t>
      </w:r>
    </w:p>
    <w:p w:rsidR="008D3479" w:rsidRPr="0049492A" w:rsidRDefault="008D3479">
      <w:pPr>
        <w:pStyle w:val="Normaltindrag"/>
        <w:numPr>
          <w:ilvl w:val="0"/>
          <w:numId w:val="29"/>
        </w:numPr>
      </w:pPr>
      <w:r w:rsidRPr="0049492A">
        <w:t>det avkastningspliktiga kapitalet ökar av en investering men inte av underhåll, och klassificering av vad som är investering respektive u</w:t>
      </w:r>
      <w:r w:rsidRPr="0049492A">
        <w:t>n</w:t>
      </w:r>
      <w:r w:rsidRPr="0049492A">
        <w:t>derhåll kan variera,</w:t>
      </w:r>
    </w:p>
    <w:p w:rsidR="008D3479" w:rsidRPr="0049492A" w:rsidRDefault="008D3479">
      <w:pPr>
        <w:pStyle w:val="Normaltindrag"/>
        <w:numPr>
          <w:ilvl w:val="0"/>
          <w:numId w:val="29"/>
        </w:numPr>
      </w:pPr>
      <w:r w:rsidRPr="0049492A">
        <w:t>subjektiva värderingsprocesser när fastigheterna värderades,</w:t>
      </w:r>
    </w:p>
    <w:p w:rsidR="008D3479" w:rsidRPr="0049492A" w:rsidRDefault="008D3479">
      <w:pPr>
        <w:pStyle w:val="Normaltindrag"/>
        <w:numPr>
          <w:ilvl w:val="0"/>
          <w:numId w:val="29"/>
        </w:numPr>
      </w:pPr>
      <w:r w:rsidRPr="0049492A">
        <w:t>efterfrågan på fastigheterna kan ha utvecklats på ett sätt som fasti</w:t>
      </w:r>
      <w:r w:rsidRPr="0049492A">
        <w:t>g</w:t>
      </w:r>
      <w:r w:rsidRPr="0049492A">
        <w:t>hetsbolaget inte kunnat styra.</w:t>
      </w:r>
      <w:r w:rsidRPr="0049492A">
        <w:rPr>
          <w:rStyle w:val="Fotnotsreferens"/>
        </w:rPr>
        <w:footnoteReference w:id="105"/>
      </w:r>
    </w:p>
    <w:p w:rsidR="008D3479" w:rsidRPr="0049492A" w:rsidRDefault="008D3479">
      <w:pPr>
        <w:pStyle w:val="Normaltindrag"/>
      </w:pPr>
      <w:r w:rsidRPr="0049492A">
        <w:t>Regeringen fastställer varje år det avkastningskrav (statens avkastning</w:t>
      </w:r>
      <w:r w:rsidRPr="0049492A">
        <w:t>s</w:t>
      </w:r>
      <w:r w:rsidRPr="0049492A">
        <w:t>ränta) som ska gälla för avkastningspliktigt kapital. Avkastningskravet b</w:t>
      </w:r>
      <w:r w:rsidRPr="0049492A">
        <w:t>e</w:t>
      </w:r>
      <w:r w:rsidRPr="0049492A">
        <w:t>stäms av statens utlåningsränta</w:t>
      </w:r>
      <w:r w:rsidRPr="0049492A">
        <w:rPr>
          <w:rStyle w:val="Fotnotsreferens"/>
        </w:rPr>
        <w:footnoteReference w:id="106"/>
      </w:r>
      <w:r w:rsidRPr="0049492A">
        <w:t xml:space="preserve"> samt av en riskpremie. Riskpremien som staten valt att använda för bolag och verk som förvaltar ändamålsfastigheter är 2,5 procent för år 2001.</w:t>
      </w:r>
      <w:r w:rsidRPr="0049492A">
        <w:rPr>
          <w:rStyle w:val="Fotnotsreferens"/>
        </w:rPr>
        <w:footnoteReference w:id="107"/>
      </w:r>
    </w:p>
    <w:p w:rsidR="008D3479" w:rsidRPr="0049492A" w:rsidRDefault="008D3479">
      <w:pPr>
        <w:pStyle w:val="Normaltindrag"/>
      </w:pPr>
      <w:r w:rsidRPr="0049492A">
        <w:t xml:space="preserve">Riskfördelningen mellan hyresgäst och fastighetsägare påverkar vad som är ett rimligt avkastningskrav. Ju högre risk fastighetsägaren tar i en invest-ering desto högre avkastning vill fastighetsägaren ha. </w:t>
      </w:r>
    </w:p>
    <w:p w:rsidR="008D3479" w:rsidRPr="0049492A" w:rsidRDefault="008D3479">
      <w:pPr>
        <w:pStyle w:val="Normaltindrag"/>
      </w:pPr>
      <w:r w:rsidRPr="0049492A">
        <w:t>Överskott eller underskott i fastighetsförvaltningen som avviker från k</w:t>
      </w:r>
      <w:r w:rsidRPr="0049492A">
        <w:t>a</w:t>
      </w:r>
      <w:r w:rsidRPr="0049492A">
        <w:t>pitalavkastningskravet får inte disponeras fritt av myndigheten. Om ett a</w:t>
      </w:r>
      <w:r w:rsidRPr="0049492A">
        <w:t>c</w:t>
      </w:r>
      <w:r w:rsidRPr="0049492A">
        <w:t>kumulerat överskott uppgår till mer än 10 procent av verksamhetens omsät</w:t>
      </w:r>
      <w:r w:rsidRPr="0049492A">
        <w:t>t</w:t>
      </w:r>
      <w:r w:rsidRPr="0049492A">
        <w:t>ning ska förslag om hur det ska disponeras lämnas till regeringen.</w:t>
      </w:r>
      <w:r w:rsidRPr="0049492A">
        <w:rPr>
          <w:rStyle w:val="Fotnotsreferens"/>
        </w:rPr>
        <w:footnoteReference w:id="108"/>
      </w:r>
      <w:r w:rsidRPr="0049492A">
        <w:t xml:space="preserve">  </w:t>
      </w:r>
    </w:p>
    <w:p w:rsidR="008D3479" w:rsidRPr="0049492A" w:rsidRDefault="008D3479">
      <w:pPr>
        <w:pStyle w:val="Rubrik3-Utannumrering"/>
      </w:pPr>
      <w:bookmarkStart w:id="1462" w:name="_Toc514560651"/>
      <w:bookmarkStart w:id="1463" w:name="_Toc515780696"/>
      <w:bookmarkStart w:id="1464" w:name="_Toc521379449"/>
      <w:bookmarkStart w:id="1465" w:name="_Toc524061663"/>
      <w:bookmarkStart w:id="1466" w:name="_Toc524159302"/>
      <w:bookmarkStart w:id="1467" w:name="_Toc524166583"/>
      <w:bookmarkStart w:id="1468" w:name="_Toc524168690"/>
      <w:bookmarkStart w:id="1469" w:name="_Toc524856415"/>
      <w:bookmarkStart w:id="1470" w:name="_Toc524926768"/>
      <w:bookmarkStart w:id="1471" w:name="_Toc526147859"/>
      <w:bookmarkStart w:id="1472" w:name="_Toc526234337"/>
      <w:r w:rsidRPr="0049492A">
        <w:t>Avkastningsunderlag och fastighetsvärdering</w:t>
      </w:r>
      <w:bookmarkEnd w:id="1462"/>
      <w:bookmarkEnd w:id="1463"/>
      <w:bookmarkEnd w:id="1464"/>
      <w:bookmarkEnd w:id="1465"/>
      <w:bookmarkEnd w:id="1466"/>
      <w:bookmarkEnd w:id="1467"/>
      <w:bookmarkEnd w:id="1468"/>
      <w:bookmarkEnd w:id="1469"/>
      <w:bookmarkEnd w:id="1470"/>
      <w:bookmarkEnd w:id="1471"/>
      <w:bookmarkEnd w:id="1472"/>
    </w:p>
    <w:p w:rsidR="008D3479" w:rsidRPr="0049492A" w:rsidRDefault="008D3479">
      <w:r w:rsidRPr="0049492A">
        <w:t>Staten vill ha avkastning på sitt kapital. Men vad är det egentligen som ska generera avkastning? I samband med fastighetsreformen värderades alla fastigheter som överfördes till de nya statliga bolagen och verken. Detta bokförda värde motsvarar det avkastningspliktiga statskapitalet. Det bokfö</w:t>
      </w:r>
      <w:r w:rsidRPr="0049492A">
        <w:t>r</w:t>
      </w:r>
      <w:r w:rsidRPr="0049492A">
        <w:t>da värdet är tänkt att spegla anskaffningskostnaden och vad man vid anskaf</w:t>
      </w:r>
      <w:r w:rsidRPr="0049492A">
        <w:t>f</w:t>
      </w:r>
      <w:r w:rsidRPr="0049492A">
        <w:t>ningstillfället hade för uppfattning om den ekonomiska livslängden för byggnaden. Värdenivån enligt bokföringen kan sakna koppling till såväl värdet i användning som värdet på fastighetsmarknaden. Det är väsentligt att precisera vad det bokförda värdet ska spegla, ett värde i fortsatt användning eller ett marknadsvärde.</w:t>
      </w:r>
      <w:r w:rsidRPr="0049492A">
        <w:rPr>
          <w:rStyle w:val="Fotnotsreferens"/>
        </w:rPr>
        <w:footnoteReference w:id="109"/>
      </w:r>
      <w:r w:rsidRPr="0049492A">
        <w:t xml:space="preserve"> Det bokförda värdet beror på hur värderingen av tillgångarna är gjord.</w:t>
      </w:r>
    </w:p>
    <w:p w:rsidR="008D3479" w:rsidRPr="0049492A" w:rsidRDefault="008D3479">
      <w:pPr>
        <w:pStyle w:val="Rubrik4-Utannumrering"/>
      </w:pPr>
      <w:bookmarkStart w:id="1473" w:name="_Toc524061664"/>
      <w:r w:rsidRPr="0049492A">
        <w:t>Värdet på marknaden</w:t>
      </w:r>
      <w:bookmarkEnd w:id="1473"/>
    </w:p>
    <w:p w:rsidR="008D3479" w:rsidRPr="0049492A" w:rsidRDefault="008D3479">
      <w:r w:rsidRPr="0049492A">
        <w:t>Marknadsvärdet definieras som det pris som kan förväntas om fastigheten bjuds ut på den öppna fastighetsmarknaden givet en för objektet normal marknadsföringstid. Marknadsvärdet utgör ett bytesvärde på fastighetsmar</w:t>
      </w:r>
      <w:r w:rsidRPr="0049492A">
        <w:t>k</w:t>
      </w:r>
      <w:r w:rsidRPr="0049492A">
        <w:t>naden. En förutsättning för ett bytesvärde är att det finns en alternativ a</w:t>
      </w:r>
      <w:r w:rsidRPr="0049492A">
        <w:t>n</w:t>
      </w:r>
      <w:r w:rsidRPr="0049492A">
        <w:t xml:space="preserve">vändning som ger en hyra, vilken täcker de förväntade kostnaderna för drift och underhåll, dvs. att fastigheten ger ett positivt driftnetto. </w:t>
      </w:r>
    </w:p>
    <w:p w:rsidR="008D3479" w:rsidRPr="0049492A" w:rsidRDefault="008D3479">
      <w:pPr>
        <w:pStyle w:val="Normaltindrag"/>
      </w:pPr>
      <w:r w:rsidRPr="0049492A">
        <w:t>Den traditionella metoden för att värdera verksamhetsfastigheter för vilka det inte finns några relevanta marknadspriser är att utgå från produktion</w:t>
      </w:r>
      <w:r w:rsidRPr="0049492A">
        <w:t>s</w:t>
      </w:r>
      <w:r w:rsidRPr="0049492A">
        <w:t>kostnaden. När de statliga ändamålsfastigheterna skulle värderas i samband med fastighetsreformen var grundtanken att det skulle ske utifrån återa</w:t>
      </w:r>
      <w:r w:rsidRPr="0049492A">
        <w:t>n</w:t>
      </w:r>
      <w:r w:rsidRPr="0049492A">
        <w:t xml:space="preserve">skaffningsvärden, dvs. vad det skulle kosta att i nuet anskaffa en i avseende funktion likvärdig fastighet som den ursprungliga. Utifrån detta värde skulle avskrivningar göras efter ålder och bruk. Detta bedömdes dock som alltför besvärligt och kostsamt i många fall, vilket gjorde att alternativa metoder användes. </w:t>
      </w:r>
    </w:p>
    <w:p w:rsidR="008D3479" w:rsidRPr="0049492A" w:rsidRDefault="008D3479">
      <w:pPr>
        <w:pStyle w:val="Rubrik4-Utannumrering"/>
      </w:pPr>
      <w:bookmarkStart w:id="1474" w:name="_Toc524061665"/>
      <w:r w:rsidRPr="0049492A">
        <w:t>Kostnaden för att bygga nytt</w:t>
      </w:r>
      <w:bookmarkEnd w:id="1474"/>
    </w:p>
    <w:p w:rsidR="008D3479" w:rsidRPr="0049492A" w:rsidRDefault="008D3479">
      <w:r w:rsidRPr="0049492A">
        <w:t>Nyanskaffningskostnaden är kostnaden för att i nuet anskaffa en fastighet med dagens krav på funktioner och standard. Att skaffa en ny, modern, fa</w:t>
      </w:r>
      <w:r w:rsidRPr="0049492A">
        <w:t>s</w:t>
      </w:r>
      <w:r w:rsidRPr="0049492A">
        <w:t>tighet är alltid ett alternativ till att utnyttja egna äldre fastigheter eller inhyrda objekt. Förr eller senare måste dessutom alla fastighetsfunktioner bytas ut. Nyanskaffningskostnaden bedöms därför vara en intressant kapitalbas såväl vid invest</w:t>
      </w:r>
      <w:r w:rsidRPr="0049492A">
        <w:t>e</w:t>
      </w:r>
      <w:r w:rsidRPr="0049492A">
        <w:t xml:space="preserve">ringstillfället som under löpande förvaltning. </w:t>
      </w:r>
    </w:p>
    <w:p w:rsidR="008D3479" w:rsidRPr="0049492A" w:rsidRDefault="008D3479">
      <w:pPr>
        <w:pStyle w:val="Rubrik4-Utannumrering"/>
      </w:pPr>
      <w:bookmarkStart w:id="1475" w:name="_Toc524061666"/>
      <w:r w:rsidRPr="0049492A">
        <w:t>Historisk kostnad</w:t>
      </w:r>
      <w:bookmarkEnd w:id="1475"/>
    </w:p>
    <w:p w:rsidR="008D3479" w:rsidRPr="0049492A" w:rsidRDefault="008D3479">
      <w:r w:rsidRPr="0049492A">
        <w:t>Anskaffningskostnad (historisk anskaffningskostnad) avser den verkliga utgiften för förvärv av fastigheten. I anskaffningskostnaden ingår de samlade kostnaderna från den första idén fram till förvaltningsskedet. Anskaffning</w:t>
      </w:r>
      <w:r w:rsidRPr="0049492A">
        <w:t>s</w:t>
      </w:r>
      <w:r w:rsidRPr="0049492A">
        <w:t>kostnaden är relativt säker att räkna sig fram till i efterhand, men ett byg</w:t>
      </w:r>
      <w:r w:rsidRPr="0049492A">
        <w:t>g</w:t>
      </w:r>
      <w:r w:rsidRPr="0049492A">
        <w:t>projekt kan aldrig kostnadsberäknas med exakthet i förväg.</w:t>
      </w:r>
      <w:r w:rsidRPr="0049492A">
        <w:rPr>
          <w:rStyle w:val="Fotnotsreferens"/>
        </w:rPr>
        <w:footnoteReference w:id="110"/>
      </w:r>
    </w:p>
    <w:p w:rsidR="008D3479" w:rsidRPr="0049492A" w:rsidRDefault="008D3479">
      <w:pPr>
        <w:pStyle w:val="Rubrik4-Utannumrering"/>
      </w:pPr>
      <w:bookmarkStart w:id="1476" w:name="_Toc524061667"/>
      <w:r w:rsidRPr="0049492A">
        <w:t>Nyttan av fastigheten</w:t>
      </w:r>
      <w:bookmarkEnd w:id="1476"/>
    </w:p>
    <w:p w:rsidR="008D3479" w:rsidRPr="0049492A" w:rsidRDefault="008D3479">
      <w:r w:rsidRPr="0049492A">
        <w:t>I den privata sektorn har avkastningsvärdet fått en allt större tillämpning. Avkastningsvärdet uttrycker nyttan för verksamheten. Man är intresserad av att få veta ”vad är fastigheten värd för mig givet mina förutsättningar”. Fa</w:t>
      </w:r>
      <w:r w:rsidRPr="0049492A">
        <w:t>s</w:t>
      </w:r>
      <w:r w:rsidRPr="0049492A">
        <w:t>tighetens avkastningsvärde bedöms genom att framtida hyresintäkter ställs mot framtida kostnader. I den offentliga sektorn är avkastningsvärdet svårt att bedöma eftersom en äkta intäktssida saknas; den internt satta hyran är normalt inte relevant. Ofta görs ändå en bedömning av vad det är rimligt för fastighetsenheten att kunna förränta, vilket baseras på produktionskostnader, men också på en bedömning av framtida hyresintäkter och kostn</w:t>
      </w:r>
      <w:r w:rsidRPr="0049492A">
        <w:t>a</w:t>
      </w:r>
      <w:r w:rsidRPr="0049492A">
        <w:t>der.</w:t>
      </w:r>
      <w:r w:rsidRPr="0049492A">
        <w:rPr>
          <w:rStyle w:val="Fotnotsreferens"/>
        </w:rPr>
        <w:footnoteReference w:id="111"/>
      </w:r>
    </w:p>
    <w:p w:rsidR="008D3479" w:rsidRPr="0049492A" w:rsidRDefault="008D3479">
      <w:pPr>
        <w:pStyle w:val="Rubrik4-Utannumrering"/>
      </w:pPr>
      <w:bookmarkStart w:id="1477" w:name="_Toc524061668"/>
      <w:r w:rsidRPr="0049492A">
        <w:t>Särskild värdering av ändamålsfastighet?</w:t>
      </w:r>
      <w:bookmarkEnd w:id="1477"/>
    </w:p>
    <w:p w:rsidR="008D3479" w:rsidRPr="0049492A" w:rsidRDefault="008D3479">
      <w:r w:rsidRPr="0049492A">
        <w:t>Principiellt finns inga skillnader mellan att värdera en generell fastighet med en högavkastande alternativ användning och en ändamålsfastighet med b</w:t>
      </w:r>
      <w:r w:rsidRPr="0049492A">
        <w:t>e</w:t>
      </w:r>
      <w:r w:rsidRPr="0049492A">
        <w:t>gränsad alternativ användning. En skillnad är osäkerheten som är kopplad till ett bedömt marknadsvärde av ändamålsfastigheter med svag eller ingen marknad. Ett sätt att bedöma marknadsvärdet är att först bedöma ett sann</w:t>
      </w:r>
      <w:r w:rsidRPr="0049492A">
        <w:t>o</w:t>
      </w:r>
      <w:r w:rsidRPr="0049492A">
        <w:t>likt pris med avseende på den alternativa användningen och sedan dra av de kostnader som är nödvändiga för att uppnå denna alternativa användning.</w:t>
      </w:r>
      <w:r w:rsidRPr="0049492A">
        <w:rPr>
          <w:rStyle w:val="Fotnotsreferens"/>
        </w:rPr>
        <w:footnoteReference w:id="112"/>
      </w:r>
    </w:p>
    <w:p w:rsidR="008D3479" w:rsidRPr="0049492A" w:rsidRDefault="008D3479">
      <w:pPr>
        <w:pStyle w:val="Rubrik3-Utannumrering"/>
      </w:pPr>
      <w:bookmarkStart w:id="1478" w:name="_Toc514560652"/>
      <w:bookmarkStart w:id="1479" w:name="_Toc515780697"/>
      <w:bookmarkStart w:id="1480" w:name="_Toc521379450"/>
      <w:bookmarkStart w:id="1481" w:name="_Toc524061669"/>
      <w:bookmarkStart w:id="1482" w:name="_Toc524159303"/>
      <w:bookmarkStart w:id="1483" w:name="_Toc524166584"/>
      <w:bookmarkStart w:id="1484" w:name="_Toc524168691"/>
      <w:bookmarkStart w:id="1485" w:name="_Toc524856416"/>
      <w:bookmarkStart w:id="1486" w:name="_Toc524926769"/>
      <w:bookmarkStart w:id="1487" w:name="_Toc526147860"/>
      <w:bookmarkStart w:id="1488" w:name="_Toc526234338"/>
      <w:r w:rsidRPr="0049492A">
        <w:t>Avskrivningar</w:t>
      </w:r>
      <w:bookmarkEnd w:id="1478"/>
      <w:bookmarkEnd w:id="1479"/>
      <w:bookmarkEnd w:id="1480"/>
      <w:bookmarkEnd w:id="1481"/>
      <w:bookmarkEnd w:id="1482"/>
      <w:bookmarkEnd w:id="1483"/>
      <w:bookmarkEnd w:id="1484"/>
      <w:bookmarkEnd w:id="1485"/>
      <w:bookmarkEnd w:id="1486"/>
      <w:bookmarkEnd w:id="1487"/>
      <w:bookmarkEnd w:id="1488"/>
    </w:p>
    <w:p w:rsidR="008D3479" w:rsidRPr="0049492A" w:rsidRDefault="008D3479">
      <w:r w:rsidRPr="0049492A">
        <w:t>I en kostnadsbaserad hyra ska kapitalkostnaderna täcka avskrivningar, och hyran påverkas därmed av avskrivningarna. Avskrivning kan definieras som att utgiften för en anläggningstillgång successivt fördelas över det antal år som den används i verksamheten</w:t>
      </w:r>
      <w:r w:rsidRPr="0049492A">
        <w:rPr>
          <w:rStyle w:val="Fotnotsreferens"/>
        </w:rPr>
        <w:footnoteReference w:id="113"/>
      </w:r>
      <w:r w:rsidRPr="0049492A">
        <w:t>. Avskrivningar på byggnader ska spegla en fortlöpande resursförbrukning. Den årliga avskrivningen kopplas till den förväntade ekonomiska livslängden (avskrivningstiden) och det förlopp som kapitalvärdet förväntas anta över tiden (avskrivningsförloppet). Om en kalkyl görs för fastighetens hela kvarvarande ekonomiska livslängd kommer res</w:t>
      </w:r>
      <w:r w:rsidRPr="0049492A">
        <w:t>t</w:t>
      </w:r>
      <w:r w:rsidRPr="0049492A">
        <w:t xml:space="preserve">värdet att spegla ett markvärde, dvs. värdet av en byggrätt. </w:t>
      </w:r>
    </w:p>
    <w:p w:rsidR="008D3479" w:rsidRPr="0049492A" w:rsidRDefault="008D3479">
      <w:pPr>
        <w:pStyle w:val="Normaltindrag"/>
      </w:pPr>
      <w:r w:rsidRPr="0049492A">
        <w:t>Avskrivningarnas storlek hänger samman med återstående ekonomisk livslängd. Med stigande marknadsvärden för mar</w:t>
      </w:r>
      <w:r w:rsidRPr="0049492A">
        <w:t>ken i alternativ  användning konkurrerar marken med existerande användning. Stigande markvärden indikerar kortare ekonomiska livslängder. En verksamhet som utnyttjar fa</w:t>
      </w:r>
      <w:r w:rsidRPr="0049492A">
        <w:t>s</w:t>
      </w:r>
      <w:r w:rsidRPr="0049492A">
        <w:t>tigheter med kort livslängd måste generera högre nyttor för att vara motiv</w:t>
      </w:r>
      <w:r w:rsidRPr="0049492A">
        <w:t>e</w:t>
      </w:r>
      <w:r w:rsidRPr="0049492A">
        <w:t xml:space="preserve">rad jämfört med en verksamhet där fastigheterna har en längre livslängd. Man kan använda sig av s.k. komponentavskrivning, vilket innebär att olika delar av byggnaden får olika avskrivningstid beroende på faktisk ekonomisk livslängd. </w:t>
      </w:r>
      <w:r w:rsidRPr="0049492A">
        <w:rPr>
          <w:rStyle w:val="Fotnotsreferens"/>
        </w:rPr>
        <w:footnoteReference w:id="114"/>
      </w:r>
    </w:p>
    <w:p w:rsidR="008D3479" w:rsidRPr="0049492A" w:rsidRDefault="008D3479">
      <w:pPr>
        <w:pStyle w:val="Rubrik4-Utannumrering"/>
      </w:pPr>
      <w:bookmarkStart w:id="1489" w:name="_Toc524061670"/>
      <w:r w:rsidRPr="0049492A">
        <w:t>Samma avskrivning varje år</w:t>
      </w:r>
      <w:bookmarkEnd w:id="1489"/>
    </w:p>
    <w:p w:rsidR="008D3479" w:rsidRPr="0049492A" w:rsidRDefault="008D3479">
      <w:r w:rsidRPr="0049492A">
        <w:t>Nominell metod är den enklaste och bygger på rak avskrivning, dvs. att byggnaden skrivs av med ett nominellt lika stort belopp varje år av beräknad brukstid, samt aktuell nominell ränta på restvärdet. Denna metod innebär att hyreskostnaden sjunker för varje år, eftersom det icke avskrivna beloppet minskar. Den nominella metoden leder till stora initiala kostnader vilket kan leda till motvilja att investera. Om räntor och inflation fluktuerar kraftigt vid långa bruksvärdestider blir fördelningen av kapitalk</w:t>
      </w:r>
      <w:r w:rsidRPr="0049492A">
        <w:t>ostnaderna ojämn. Fö</w:t>
      </w:r>
      <w:r w:rsidRPr="0049492A">
        <w:t>r</w:t>
      </w:r>
      <w:r w:rsidRPr="0049492A">
        <w:t>loppet blir dock detsamma som för lån.</w:t>
      </w:r>
      <w:r w:rsidRPr="0049492A">
        <w:rPr>
          <w:rStyle w:val="Fotnotsreferens"/>
        </w:rPr>
        <w:footnoteReference w:id="115"/>
      </w:r>
    </w:p>
    <w:p w:rsidR="008D3479" w:rsidRPr="0049492A" w:rsidRDefault="008D3479">
      <w:pPr>
        <w:pStyle w:val="Rubrik3-Utannumrering"/>
      </w:pPr>
      <w:bookmarkStart w:id="1490" w:name="_Toc524061671"/>
      <w:bookmarkStart w:id="1491" w:name="_Toc524159304"/>
      <w:bookmarkStart w:id="1492" w:name="_Toc524166585"/>
      <w:bookmarkStart w:id="1493" w:name="_Toc524168692"/>
      <w:bookmarkStart w:id="1494" w:name="_Toc524856417"/>
      <w:bookmarkStart w:id="1495" w:name="_Toc524926770"/>
      <w:bookmarkStart w:id="1496" w:name="_Toc526147861"/>
      <w:bookmarkStart w:id="1497" w:name="_Toc526234339"/>
      <w:r w:rsidRPr="0049492A">
        <w:t>Balanshyra</w:t>
      </w:r>
      <w:bookmarkEnd w:id="1490"/>
      <w:bookmarkEnd w:id="1491"/>
      <w:bookmarkEnd w:id="1492"/>
      <w:bookmarkEnd w:id="1493"/>
      <w:bookmarkEnd w:id="1494"/>
      <w:bookmarkEnd w:id="1495"/>
      <w:bookmarkEnd w:id="1496"/>
      <w:bookmarkEnd w:id="1497"/>
    </w:p>
    <w:p w:rsidR="008D3479" w:rsidRPr="0049492A" w:rsidRDefault="008D3479">
      <w:r w:rsidRPr="0049492A">
        <w:t>Det är inte alltid så att den uträknade årskostnaden blir hyran i ett kostnad</w:t>
      </w:r>
      <w:r w:rsidRPr="0049492A">
        <w:t>s</w:t>
      </w:r>
      <w:r w:rsidRPr="0049492A">
        <w:t>baserat system. Hos vissa fastighetsförvaltare finns ett system för utjämning av hyran över kontraktstiden (s.k. balanshyra). Detta kan ses som en annu</w:t>
      </w:r>
      <w:r w:rsidRPr="0049492A">
        <w:t>i</w:t>
      </w:r>
      <w:r w:rsidRPr="0049492A">
        <w:t>tetsmodell för hyressättning. En real annuitetsmetod innebär till skillnad från den nominella metoden att kapitalkostnaderna är realt oförändrade under fastighetens ekonomiska livslängd. Avskrivningen är progressiv (ökar med tiden) och följer inte den normala bruksvärdesutvecklingen. Metoden är därför också känslig för eventuella felbedömningar av den ekono</w:t>
      </w:r>
      <w:r w:rsidRPr="0049492A">
        <w:t>miska liv</w:t>
      </w:r>
      <w:r w:rsidRPr="0049492A">
        <w:t>s</w:t>
      </w:r>
      <w:r w:rsidRPr="0049492A">
        <w:t xml:space="preserve">längden, då amorteringarna till stor del sker långt fram i tiden. </w:t>
      </w:r>
    </w:p>
    <w:p w:rsidR="008D3479" w:rsidRPr="0049492A" w:rsidRDefault="008D3479">
      <w:pPr>
        <w:pStyle w:val="Normaltindrag"/>
      </w:pPr>
      <w:r w:rsidRPr="0049492A">
        <w:t>Fördelarna med balanshyra är att man slipper de höga initiala kapitalkos</w:t>
      </w:r>
      <w:r w:rsidRPr="0049492A">
        <w:t>t</w:t>
      </w:r>
      <w:r w:rsidRPr="0049492A">
        <w:t>naderna, och investeringar missgynnas därför inte. Kostnaden för likvärdiga byggnader blir lika trots olika ålder. Denna balanshyresmetod innebär att under en inledande period är den årliga ”avskrivningen” som hyresgästen betalar lägre än den bokföringsmässiga avskrivningen. Det omvända gäller under hyresperiodens senare skeden. För ett större fastighetsbestånd som ligger i olika faser utjämnas detta i regel.</w:t>
      </w:r>
      <w:r w:rsidRPr="0049492A">
        <w:rPr>
          <w:rStyle w:val="Fotnotsreferens"/>
        </w:rPr>
        <w:footnoteReference w:id="116"/>
      </w:r>
    </w:p>
    <w:p w:rsidR="008D3479" w:rsidRPr="0049492A" w:rsidRDefault="008D3479">
      <w:pPr>
        <w:pStyle w:val="Normaltindrag"/>
      </w:pPr>
      <w:r w:rsidRPr="0049492A">
        <w:t>Balanshyra kan dock leda till felaktiga investeringsbeslut eftersom beta</w:t>
      </w:r>
      <w:r w:rsidRPr="0049492A">
        <w:t>l</w:t>
      </w:r>
      <w:r w:rsidRPr="0049492A">
        <w:t>ningarna skjuts på framtiden. Om byggnadens ekonomiska livslängd felb</w:t>
      </w:r>
      <w:r w:rsidRPr="0049492A">
        <w:t>e</w:t>
      </w:r>
      <w:r w:rsidRPr="0049492A">
        <w:t>döms kan metoden leda till stora restskulder. Balanshyra och real annuitet</w:t>
      </w:r>
      <w:r w:rsidRPr="0049492A">
        <w:t>s</w:t>
      </w:r>
      <w:r w:rsidRPr="0049492A">
        <w:t>metod kan således ge fel styreffekt på lokale</w:t>
      </w:r>
      <w:r w:rsidRPr="0049492A">
        <w:t>f</w:t>
      </w:r>
      <w:r w:rsidRPr="0049492A">
        <w:t>terfrågan.</w:t>
      </w:r>
      <w:r w:rsidRPr="0049492A">
        <w:rPr>
          <w:rStyle w:val="Fotnotsreferens"/>
        </w:rPr>
        <w:footnoteReference w:id="117"/>
      </w:r>
    </w:p>
    <w:p w:rsidR="008D3479" w:rsidRPr="0049492A" w:rsidRDefault="008D3479">
      <w:pPr>
        <w:pStyle w:val="Normaltindrag"/>
      </w:pPr>
      <w:r w:rsidRPr="0049492A">
        <w:t>Hur avskrivningsförloppen ser ut inom ramen för en viss ekonomisk liv</w:t>
      </w:r>
      <w:r w:rsidRPr="0049492A">
        <w:t>s</w:t>
      </w:r>
      <w:r w:rsidRPr="0049492A">
        <w:t xml:space="preserve">längd har betydelse i den mån en hyra är kopplad till förloppet. </w:t>
      </w:r>
    </w:p>
    <w:p w:rsidR="008D3479" w:rsidRPr="0049492A" w:rsidRDefault="008D3479">
      <w:pPr>
        <w:pStyle w:val="Rubrik3-Utannumrering"/>
      </w:pPr>
      <w:bookmarkStart w:id="1498" w:name="_Toc514560654"/>
      <w:bookmarkStart w:id="1499" w:name="_Toc515780699"/>
      <w:bookmarkStart w:id="1500" w:name="_Toc521379452"/>
      <w:bookmarkStart w:id="1501" w:name="_Toc524061672"/>
      <w:bookmarkStart w:id="1502" w:name="_Toc524159305"/>
      <w:bookmarkStart w:id="1503" w:name="_Toc524166586"/>
      <w:bookmarkStart w:id="1504" w:name="_Toc524168693"/>
      <w:bookmarkStart w:id="1505" w:name="_Toc524856418"/>
      <w:bookmarkStart w:id="1506" w:name="_Toc524926771"/>
      <w:bookmarkStart w:id="1507" w:name="_Toc526147862"/>
      <w:bookmarkStart w:id="1508" w:name="_Toc526234340"/>
      <w:r w:rsidRPr="0049492A">
        <w:t>Risk- och ansvarsfördelning</w:t>
      </w:r>
      <w:bookmarkEnd w:id="1498"/>
      <w:bookmarkEnd w:id="1499"/>
      <w:bookmarkEnd w:id="1500"/>
      <w:bookmarkEnd w:id="1501"/>
      <w:bookmarkEnd w:id="1502"/>
      <w:bookmarkEnd w:id="1503"/>
      <w:bookmarkEnd w:id="1504"/>
      <w:bookmarkEnd w:id="1505"/>
      <w:bookmarkEnd w:id="1506"/>
      <w:bookmarkEnd w:id="1507"/>
      <w:bookmarkEnd w:id="1508"/>
    </w:p>
    <w:p w:rsidR="008D3479" w:rsidRPr="0049492A" w:rsidRDefault="008D3479">
      <w:r w:rsidRPr="0049492A">
        <w:t>Riskfördelningen mellan hyresgäst och fastighetsägare måste regleras i ko</w:t>
      </w:r>
      <w:r w:rsidRPr="0049492A">
        <w:t>n</w:t>
      </w:r>
      <w:r w:rsidRPr="0049492A">
        <w:t xml:space="preserve">traktet. Det påverkar i sin tur vad som är ett rimligt avkastningskrav. </w:t>
      </w:r>
    </w:p>
    <w:p w:rsidR="008D3479" w:rsidRPr="0049492A" w:rsidRDefault="008D3479">
      <w:pPr>
        <w:pStyle w:val="Normaltindrag"/>
      </w:pPr>
      <w:r w:rsidRPr="0049492A">
        <w:t>Marknadsrisk innebär att den som bygger en fastighet för vanlig uthyrning löper risk att efterfrågan kan komma att sjunka, med vakanser och lägre hyror som följd. Förändringar i omvärlden, i värderingar och ekonomisk situation kan göra att statliga verksamheter i ändamålsfastigheter med liten alternativ användning behöver avvecklas, vilket innebär en risk för fasti</w:t>
      </w:r>
      <w:r w:rsidRPr="0049492A">
        <w:t>g</w:t>
      </w:r>
      <w:r w:rsidRPr="0049492A">
        <w:t>hetsförvaltaren. I hyreskontraktet måste också regleras vad som ska hända i avvecklingssituationer.</w:t>
      </w:r>
      <w:r w:rsidRPr="0049492A">
        <w:rPr>
          <w:rStyle w:val="Fotnotsreferens"/>
        </w:rPr>
        <w:footnoteReference w:id="118"/>
      </w:r>
    </w:p>
    <w:p w:rsidR="008D3479" w:rsidRPr="0049492A" w:rsidRDefault="008D3479">
      <w:pPr>
        <w:pStyle w:val="Normaltindrag"/>
      </w:pPr>
      <w:r w:rsidRPr="0049492A">
        <w:t>Risker är också kopplade till osäkerhet om framtida ränte- och inflation</w:t>
      </w:r>
      <w:r w:rsidRPr="0049492A">
        <w:t>s</w:t>
      </w:r>
      <w:r w:rsidRPr="0049492A">
        <w:t>utveckling. Ägaren finansierar normalt en stor del av byggnationen med lån, vars räntor kan svänga. Lånestrukturen och om hyran indexeras till räntan eller inte, påverkar hur stor denna risk är. Hyreskontraktets löptid och nom</w:t>
      </w:r>
      <w:r w:rsidRPr="0049492A">
        <w:t>i</w:t>
      </w:r>
      <w:r w:rsidRPr="0049492A">
        <w:t>nella lån påverkar inflationsrisken.</w:t>
      </w:r>
      <w:r w:rsidRPr="0049492A">
        <w:rPr>
          <w:rStyle w:val="Fotnotsreferens"/>
        </w:rPr>
        <w:footnoteReference w:id="119"/>
      </w:r>
      <w:r w:rsidRPr="0049492A">
        <w:t xml:space="preserve"> En annan risk är den tekniska risken; en viss typ av byggnadskonstruktion kanske inte har den tekniska livslängd som förutsätts eller kräver betydligt högre underhållskostnader än väntat. Enligt utredningen är det rimligt att fastighetsägaren bär denna risk. </w:t>
      </w:r>
    </w:p>
    <w:p w:rsidR="008D3479" w:rsidRPr="0049492A" w:rsidRDefault="008D3479">
      <w:pPr>
        <w:pStyle w:val="Rubrik4-Utannumrering"/>
      </w:pPr>
      <w:bookmarkStart w:id="1509" w:name="_Toc524061673"/>
      <w:r w:rsidRPr="0049492A">
        <w:t>Reglerad ansvarsfördelning</w:t>
      </w:r>
      <w:bookmarkEnd w:id="1509"/>
    </w:p>
    <w:p w:rsidR="008D3479" w:rsidRPr="0049492A" w:rsidRDefault="008D3479">
      <w:r w:rsidRPr="0049492A">
        <w:t>Ansvarsfördelning mellan hyresgäst och fastighetsägare måste regleras i kontraktet. Att tydligt klara ut ansvarsfördelning mellan parterna är nödvä</w:t>
      </w:r>
      <w:r w:rsidRPr="0049492A">
        <w:t>n</w:t>
      </w:r>
      <w:r w:rsidRPr="0049492A">
        <w:t>digt för att fastighetsförvaltning och fastighetsdrift ska kunna genomföras på ett strukturerat och effektivt sätt. Statsmakternas krav på de statliga fasti</w:t>
      </w:r>
      <w:r w:rsidRPr="0049492A">
        <w:t>g</w:t>
      </w:r>
      <w:r w:rsidRPr="0049492A">
        <w:t>hetsförvaltarna är bl.a. att fastigheternas värden tas till vara</w:t>
      </w:r>
      <w:r w:rsidRPr="0049492A">
        <w:rPr>
          <w:rStyle w:val="Fotnotsreferens"/>
        </w:rPr>
        <w:footnoteReference w:id="120"/>
      </w:r>
      <w:r w:rsidRPr="0049492A">
        <w:t xml:space="preserve"> och att ver</w:t>
      </w:r>
      <w:r w:rsidRPr="0049492A">
        <w:t>k</w:t>
      </w:r>
      <w:r w:rsidRPr="0049492A">
        <w:t>samheten bedrivs som ett stöd för den myndighet som brukar ändamålslok</w:t>
      </w:r>
      <w:r w:rsidRPr="0049492A">
        <w:t>a</w:t>
      </w:r>
      <w:r w:rsidRPr="0049492A">
        <w:t xml:space="preserve">lerna i sin verksamhet. </w:t>
      </w:r>
    </w:p>
    <w:p w:rsidR="008D3479" w:rsidRPr="0049492A" w:rsidRDefault="008D3479">
      <w:pPr>
        <w:pStyle w:val="Normaltindrag"/>
      </w:pPr>
      <w:r w:rsidRPr="0049492A">
        <w:t>Målet med uthyrningen är enligt statsmakterna att drift och underhåll ska genomföras på ett långsiktigt ekonomiskt och effektivt sätt och att brukarna ska vara nöjda med fastigheterna och deras skötsel. Åtgärder och aktiviteter som är nödvändiga för att fastighetsförvaltaren ska kunna bibehålla fasti</w:t>
      </w:r>
      <w:r w:rsidRPr="0049492A">
        <w:t>g</w:t>
      </w:r>
      <w:r w:rsidRPr="0049492A">
        <w:t xml:space="preserve">hetens värde ingår i hyran men vilka åtgärder det är, och nivå och omfång av dessa åtgärder, bör fastställas i hyreskontraktet. </w:t>
      </w:r>
    </w:p>
    <w:p w:rsidR="008D3479" w:rsidRPr="0049492A" w:rsidRDefault="008D3479">
      <w:pPr>
        <w:pStyle w:val="Normaltindrag"/>
      </w:pPr>
      <w:r w:rsidRPr="0049492A">
        <w:t>Vid nybyggnationer eller investeringar bör det göras tydligt i avtalet vem som ansvarar för kostnadsförändringar. Investeringskostnader är ofta svå</w:t>
      </w:r>
      <w:r w:rsidRPr="0049492A">
        <w:t>r</w:t>
      </w:r>
      <w:r w:rsidRPr="0049492A">
        <w:t>förutsägbara och incitamentent att hålla nere kostnaderna är svaga för fasti</w:t>
      </w:r>
      <w:r w:rsidRPr="0049492A">
        <w:t>g</w:t>
      </w:r>
      <w:r w:rsidRPr="0049492A">
        <w:t>hetsägaren, om inte ansvaret för kostnaderna är reglerat.</w:t>
      </w:r>
      <w:r w:rsidRPr="0049492A">
        <w:rPr>
          <w:rStyle w:val="Fotnotsreferens"/>
        </w:rPr>
        <w:footnoteReference w:id="121"/>
      </w:r>
    </w:p>
    <w:p w:rsidR="008D3479" w:rsidRPr="0049492A" w:rsidRDefault="008D3479">
      <w:pPr>
        <w:pStyle w:val="Rubrik3-Utannumrering"/>
      </w:pPr>
      <w:bookmarkStart w:id="1510" w:name="_Toc524159306"/>
      <w:bookmarkStart w:id="1511" w:name="_Toc524166587"/>
      <w:bookmarkStart w:id="1512" w:name="_Toc524168694"/>
      <w:bookmarkStart w:id="1513" w:name="_Toc524856419"/>
      <w:bookmarkStart w:id="1514" w:name="_Toc524926772"/>
      <w:bookmarkStart w:id="1515" w:name="_Toc526147863"/>
      <w:bookmarkStart w:id="1516" w:name="_Toc526234341"/>
      <w:r w:rsidRPr="0049492A">
        <w:t>Förvaltnings- och underhållsplan</w:t>
      </w:r>
      <w:bookmarkEnd w:id="1510"/>
      <w:bookmarkEnd w:id="1511"/>
      <w:bookmarkEnd w:id="1512"/>
      <w:bookmarkEnd w:id="1513"/>
      <w:bookmarkEnd w:id="1514"/>
      <w:bookmarkEnd w:id="1515"/>
      <w:bookmarkEnd w:id="1516"/>
    </w:p>
    <w:p w:rsidR="008D3479" w:rsidRPr="0049492A" w:rsidRDefault="008D3479">
      <w:r w:rsidRPr="0049492A">
        <w:t>En förvaltningsplan fungerar som grund för underhållsstrategin, dvs. hur underhållet av en fastighet planeras och läggs upp. Förvaltningsplanen inn</w:t>
      </w:r>
      <w:r w:rsidRPr="0049492A">
        <w:t>e</w:t>
      </w:r>
      <w:r w:rsidRPr="0049492A">
        <w:t>håller både teknisk och ekonomisk information – analyser, prognoser och data – på objektnivå. Planen ska utgöra underlag för ställningstaganden avseende om och när underhåll är ändamålsenligt, eventuella ombyggnader, försäl</w:t>
      </w:r>
      <w:r w:rsidRPr="0049492A">
        <w:t>j</w:t>
      </w:r>
      <w:r w:rsidRPr="0049492A">
        <w:t xml:space="preserve">ningar eller rivning, etc. </w:t>
      </w:r>
    </w:p>
    <w:p w:rsidR="008D3479" w:rsidRPr="0049492A" w:rsidRDefault="008D3479">
      <w:pPr>
        <w:pStyle w:val="Normaltindrag"/>
      </w:pPr>
      <w:r w:rsidRPr="0049492A">
        <w:t>Grunden för en underhållsstrategi är att man har en rimlig uppfattning om de nuvarande och framtida lokalbehoven. Och för att precisera lokalbehoven måste förvaltaren föra en dialog med hyresgästerna. En viktig fråga för pl</w:t>
      </w:r>
      <w:r w:rsidRPr="0049492A">
        <w:t>a</w:t>
      </w:r>
      <w:r w:rsidRPr="0049492A">
        <w:t>neringen av underhåll är vad hyresgästernas verksamhet kräver av lokalerna, på kort och lång sikt. Det långsiktiga perspektivet ger underlag för bedö</w:t>
      </w:r>
      <w:r w:rsidRPr="0049492A">
        <w:t>m</w:t>
      </w:r>
      <w:r w:rsidRPr="0049492A">
        <w:t>ningar om byggnadernas framtida användbarhet, medan det kortsiktiga ger en bild av omedelbara underhålls- och modernis</w:t>
      </w:r>
      <w:r w:rsidRPr="0049492A">
        <w:t>e</w:t>
      </w:r>
      <w:r w:rsidRPr="0049492A">
        <w:t>ringsbehov.</w:t>
      </w:r>
      <w:r w:rsidRPr="0049492A">
        <w:rPr>
          <w:rStyle w:val="Fotnotsreferens"/>
        </w:rPr>
        <w:footnoteReference w:id="122"/>
      </w:r>
    </w:p>
    <w:p w:rsidR="008D3479" w:rsidRPr="0049492A" w:rsidRDefault="008D3479">
      <w:pPr>
        <w:pStyle w:val="Normaltindrag"/>
      </w:pPr>
      <w:r w:rsidRPr="0049492A">
        <w:t>Planen för underhåll är en central del i förvaltningsplanen och av stort i</w:t>
      </w:r>
      <w:r w:rsidRPr="0049492A">
        <w:t>n</w:t>
      </w:r>
      <w:r w:rsidRPr="0049492A">
        <w:t>tresse för hyresgästen. I intervjuerna med hyresgästerna i statens ändamål</w:t>
      </w:r>
      <w:r w:rsidRPr="0049492A">
        <w:t>s</w:t>
      </w:r>
      <w:r w:rsidRPr="0049492A">
        <w:t>fastigheter har vi därför frågat efter underhållsplaner och inte förvaltning</w:t>
      </w:r>
      <w:r w:rsidRPr="0049492A">
        <w:t>s</w:t>
      </w:r>
      <w:r w:rsidRPr="0049492A">
        <w:t>planer.</w:t>
      </w:r>
    </w:p>
    <w:p w:rsidR="008D3479" w:rsidRPr="0049492A" w:rsidRDefault="008D3479">
      <w:pPr>
        <w:pStyle w:val="Rubrik2-Utannumrering"/>
      </w:pPr>
      <w:r w:rsidRPr="0049492A">
        <w:rPr>
          <w:sz w:val="19"/>
        </w:rPr>
        <w:br w:type="page"/>
      </w:r>
      <w:bookmarkStart w:id="1517" w:name="_Toc524166588"/>
      <w:bookmarkStart w:id="1518" w:name="_Toc524168695"/>
      <w:bookmarkStart w:id="1519" w:name="_Toc524856420"/>
      <w:bookmarkStart w:id="1520" w:name="_Toc524926773"/>
      <w:bookmarkStart w:id="1521" w:name="_Toc526147864"/>
      <w:bookmarkStart w:id="1522" w:name="_Toc526234342"/>
      <w:bookmarkStart w:id="1523" w:name="_Toc532725217"/>
      <w:r w:rsidRPr="0049492A">
        <w:t>Referenser</w:t>
      </w:r>
      <w:bookmarkEnd w:id="1517"/>
      <w:r w:rsidRPr="0049492A">
        <w:t xml:space="preserve"> till bilaga </w:t>
      </w:r>
      <w:bookmarkEnd w:id="1518"/>
      <w:bookmarkEnd w:id="1519"/>
      <w:bookmarkEnd w:id="1520"/>
      <w:bookmarkEnd w:id="1521"/>
      <w:bookmarkEnd w:id="1522"/>
      <w:r w:rsidRPr="0049492A">
        <w:t>1</w:t>
      </w:r>
      <w:bookmarkEnd w:id="1523"/>
    </w:p>
    <w:p w:rsidR="008D3479" w:rsidRPr="0049492A" w:rsidRDefault="008D3479">
      <w:pPr>
        <w:pStyle w:val="Rubrik3-Utannumrering"/>
      </w:pPr>
      <w:bookmarkStart w:id="1524" w:name="_Toc524166589"/>
      <w:bookmarkStart w:id="1525" w:name="_Toc524168696"/>
      <w:bookmarkStart w:id="1526" w:name="_Toc524856421"/>
      <w:bookmarkStart w:id="1527" w:name="_Toc524926774"/>
      <w:bookmarkStart w:id="1528" w:name="_Toc526147865"/>
      <w:bookmarkStart w:id="1529" w:name="_Toc526234343"/>
      <w:r w:rsidRPr="0049492A">
        <w:t>Intervjuer</w:t>
      </w:r>
      <w:bookmarkEnd w:id="1524"/>
      <w:bookmarkEnd w:id="1525"/>
      <w:bookmarkEnd w:id="1526"/>
      <w:bookmarkEnd w:id="1527"/>
      <w:bookmarkEnd w:id="1528"/>
      <w:bookmarkEnd w:id="1529"/>
      <w:r w:rsidRPr="0049492A">
        <w:t xml:space="preserve"> </w:t>
      </w:r>
    </w:p>
    <w:p w:rsidR="008D3479" w:rsidRPr="0049492A" w:rsidRDefault="008D3479">
      <w:r w:rsidRPr="0049492A">
        <w:t>Lundström, Stellan, professor i fastighetsekonomi, Kungliga Tekniska Hö</w:t>
      </w:r>
      <w:r w:rsidRPr="0049492A">
        <w:t>g</w:t>
      </w:r>
      <w:r w:rsidRPr="0049492A">
        <w:t>skolan, 2001-04-10.</w:t>
      </w:r>
    </w:p>
    <w:p w:rsidR="008D3479" w:rsidRPr="0049492A" w:rsidRDefault="008D3479">
      <w:pPr>
        <w:pStyle w:val="Rubrik3-Utannumrering"/>
      </w:pPr>
      <w:bookmarkStart w:id="1530" w:name="_Toc524166590"/>
      <w:bookmarkStart w:id="1531" w:name="_Toc524168697"/>
      <w:bookmarkStart w:id="1532" w:name="_Toc524856422"/>
      <w:bookmarkStart w:id="1533" w:name="_Toc524926775"/>
      <w:bookmarkStart w:id="1534" w:name="_Toc526147866"/>
      <w:bookmarkStart w:id="1535" w:name="_Toc526234344"/>
      <w:r w:rsidRPr="0049492A">
        <w:t>Skriftligt material</w:t>
      </w:r>
      <w:bookmarkEnd w:id="1530"/>
      <w:bookmarkEnd w:id="1531"/>
      <w:bookmarkEnd w:id="1532"/>
      <w:bookmarkEnd w:id="1533"/>
      <w:bookmarkEnd w:id="1534"/>
      <w:bookmarkEnd w:id="1535"/>
    </w:p>
    <w:p w:rsidR="008D3479" w:rsidRPr="0049492A" w:rsidRDefault="008D3479">
      <w:r w:rsidRPr="0049492A">
        <w:t xml:space="preserve">Lind, Hans, 2001, </w:t>
      </w:r>
      <w:r w:rsidRPr="0049492A">
        <w:rPr>
          <w:i/>
        </w:rPr>
        <w:t>Avskrivningar på verksamhetsfastigheter. Hur gör (några) statliga och privata fastighetsägare, samt jämförelser med studien av ko</w:t>
      </w:r>
      <w:r w:rsidRPr="0049492A">
        <w:rPr>
          <w:i/>
        </w:rPr>
        <w:t>m</w:t>
      </w:r>
      <w:r w:rsidRPr="0049492A">
        <w:rPr>
          <w:i/>
        </w:rPr>
        <w:t>muner och landsting</w:t>
      </w:r>
      <w:r w:rsidRPr="0049492A">
        <w:t>. Rapport på uppdrag av UFOS, Svenska Kommunfö</w:t>
      </w:r>
      <w:r w:rsidRPr="0049492A">
        <w:t>r</w:t>
      </w:r>
      <w:r w:rsidRPr="0049492A">
        <w:t xml:space="preserve">bundet. </w:t>
      </w:r>
    </w:p>
    <w:p w:rsidR="008D3479" w:rsidRPr="0049492A" w:rsidRDefault="008D3479">
      <w:r w:rsidRPr="0049492A">
        <w:t xml:space="preserve">SOU 1996:187, </w:t>
      </w:r>
      <w:r w:rsidRPr="0049492A">
        <w:rPr>
          <w:i/>
        </w:rPr>
        <w:t>Statens ändamålsfastigheter, Princip för förvaltning och hyressättning</w:t>
      </w:r>
      <w:r w:rsidRPr="0049492A">
        <w:t>. Delbetänkande av utredningen om utvärderingen av Byg</w:t>
      </w:r>
      <w:r w:rsidRPr="0049492A">
        <w:t>g</w:t>
      </w:r>
      <w:r w:rsidRPr="0049492A">
        <w:t xml:space="preserve">nadsstyrelsens ombildning. </w:t>
      </w:r>
    </w:p>
    <w:p w:rsidR="008D3479" w:rsidRPr="0049492A" w:rsidRDefault="008D3479">
      <w:r w:rsidRPr="0049492A">
        <w:t xml:space="preserve">SOU 1997:96, </w:t>
      </w:r>
      <w:r w:rsidRPr="0049492A">
        <w:rPr>
          <w:i/>
        </w:rPr>
        <w:t xml:space="preserve">Lokalförsörjning och fastighetsägande, En utvärdering av Statens fastighetsorganisation. </w:t>
      </w:r>
      <w:r w:rsidRPr="0049492A">
        <w:t>Slutbetänkande av utredningen om utvärd</w:t>
      </w:r>
      <w:r w:rsidRPr="0049492A">
        <w:t>e</w:t>
      </w:r>
      <w:r w:rsidRPr="0049492A">
        <w:t xml:space="preserve">ring av Byggnadsstyrelsens ombildning. </w:t>
      </w:r>
    </w:p>
    <w:p w:rsidR="008D3479" w:rsidRPr="0049492A" w:rsidRDefault="008D3479">
      <w:r w:rsidRPr="0049492A">
        <w:t xml:space="preserve">Statens lokalförsörjningsverk 1996, </w:t>
      </w:r>
      <w:r w:rsidRPr="0049492A">
        <w:rPr>
          <w:i/>
        </w:rPr>
        <w:t>Hyressättning av ändamålsfastigheter</w:t>
      </w:r>
      <w:r w:rsidRPr="0049492A">
        <w:t xml:space="preserve">. Rapport nr 1996:23. </w:t>
      </w:r>
    </w:p>
    <w:p w:rsidR="008D3479" w:rsidRPr="0049492A" w:rsidRDefault="008D3479">
      <w:r w:rsidRPr="0049492A">
        <w:t xml:space="preserve">Svenska Kommunförbundet 1995, </w:t>
      </w:r>
      <w:r w:rsidRPr="0049492A">
        <w:rPr>
          <w:i/>
        </w:rPr>
        <w:t>Lokalens rätta värde. Fastighetsvärden och kapitaltjänstkostnader i offentlig sektor</w:t>
      </w:r>
      <w:r w:rsidRPr="0049492A">
        <w:t xml:space="preserve">. </w:t>
      </w:r>
    </w:p>
    <w:p w:rsidR="008D3479" w:rsidRPr="0049492A" w:rsidRDefault="008D3479">
      <w:r w:rsidRPr="0049492A">
        <w:t xml:space="preserve">Svenska Kommunförbundet 1999 a, </w:t>
      </w:r>
      <w:r w:rsidRPr="0049492A">
        <w:rPr>
          <w:i/>
        </w:rPr>
        <w:t>Se om sitt hus. Strategier för underhåll av offentliga fastigheter</w:t>
      </w:r>
      <w:r w:rsidRPr="0049492A">
        <w:t>.</w:t>
      </w:r>
    </w:p>
    <w:p w:rsidR="008D3479" w:rsidRPr="0049492A" w:rsidRDefault="008D3479">
      <w:r w:rsidRPr="0049492A">
        <w:t xml:space="preserve">Svenska Kommunförbundet 1999 b, </w:t>
      </w:r>
      <w:r w:rsidRPr="0049492A">
        <w:rPr>
          <w:i/>
        </w:rPr>
        <w:t>Värdets tre skeden. Kapitalvärden i offentlig fastighetsförvaltning</w:t>
      </w:r>
      <w:r w:rsidRPr="0049492A">
        <w:t xml:space="preserve">. </w:t>
      </w:r>
    </w:p>
    <w:p w:rsidR="008D3479" w:rsidRPr="0049492A" w:rsidRDefault="008D3479">
      <w:pPr>
        <w:pStyle w:val="Rubrik3-Utannumrering"/>
      </w:pPr>
      <w:bookmarkStart w:id="1536" w:name="_Toc524166591"/>
      <w:bookmarkStart w:id="1537" w:name="_Toc524168698"/>
      <w:bookmarkStart w:id="1538" w:name="_Toc524856423"/>
      <w:bookmarkStart w:id="1539" w:name="_Toc524926776"/>
      <w:bookmarkStart w:id="1540" w:name="_Toc526147867"/>
      <w:bookmarkStart w:id="1541" w:name="_Toc526234345"/>
      <w:r w:rsidRPr="0049492A">
        <w:t>Förordningar</w:t>
      </w:r>
      <w:bookmarkEnd w:id="1536"/>
      <w:bookmarkEnd w:id="1537"/>
      <w:bookmarkEnd w:id="1538"/>
      <w:bookmarkEnd w:id="1539"/>
      <w:bookmarkEnd w:id="1540"/>
      <w:bookmarkEnd w:id="1541"/>
    </w:p>
    <w:p w:rsidR="008D3479" w:rsidRPr="0049492A" w:rsidRDefault="008D3479">
      <w:r w:rsidRPr="0049492A">
        <w:t>Förordning (1996:312) med instruktion för Statens fastighetsverk.</w:t>
      </w:r>
    </w:p>
    <w:p w:rsidR="008D3479" w:rsidRPr="0049492A" w:rsidRDefault="008D3479">
      <w:r w:rsidRPr="0049492A">
        <w:t>Kapitalförsör</w:t>
      </w:r>
      <w:bookmarkStart w:id="1542" w:name="_Toc524059371"/>
      <w:bookmarkStart w:id="1543" w:name="_Toc524168699"/>
      <w:bookmarkStart w:id="1544" w:name="_Toc524856424"/>
      <w:bookmarkStart w:id="1545" w:name="_Toc524926777"/>
      <w:bookmarkStart w:id="1546" w:name="_Toc526147868"/>
      <w:bookmarkStart w:id="1547" w:name="_Toc526234346"/>
      <w:r w:rsidRPr="0049492A">
        <w:t>jningsförordningen (1996:1188)</w:t>
      </w:r>
    </w:p>
    <w:p w:rsidR="008D3479" w:rsidRPr="0049492A" w:rsidRDefault="008D3479">
      <w:pPr>
        <w:pStyle w:val="Rubrik1-Utannumrering"/>
        <w:sectPr w:rsidR="00000000" w:rsidRPr="0049492A">
          <w:headerReference w:type="default" r:id="rId22"/>
          <w:footerReference w:type="default" r:id="rId23"/>
          <w:pgSz w:w="11906" w:h="16838" w:code="9"/>
          <w:pgMar w:top="567" w:right="4876" w:bottom="4508" w:left="1134" w:header="227" w:footer="227" w:gutter="0"/>
          <w:cols w:space="720"/>
        </w:sectPr>
      </w:pPr>
    </w:p>
    <w:p w:rsidR="008D3479" w:rsidRPr="0049492A" w:rsidRDefault="008D3479"/>
    <w:p w:rsidR="008D3479" w:rsidRPr="0049492A" w:rsidRDefault="008D3479">
      <w:pPr>
        <w:pStyle w:val="Rubrik1-Utannumrering"/>
        <w:spacing w:before="0"/>
      </w:pPr>
      <w:bookmarkStart w:id="1548" w:name="_Toc532725218"/>
      <w:r w:rsidRPr="0049492A">
        <w:t>Bilaga 2 Ändamålsfastigheter i Stockholms läns landsting</w:t>
      </w:r>
      <w:bookmarkEnd w:id="1543"/>
      <w:bookmarkEnd w:id="1544"/>
      <w:bookmarkEnd w:id="1545"/>
      <w:bookmarkEnd w:id="1546"/>
      <w:bookmarkEnd w:id="1547"/>
      <w:bookmarkEnd w:id="1548"/>
    </w:p>
    <w:p w:rsidR="008D3479" w:rsidRPr="0049492A" w:rsidRDefault="008D3479">
      <w:pPr>
        <w:pStyle w:val="Rubrik2-Utannumrering"/>
      </w:pPr>
      <w:bookmarkStart w:id="1549" w:name="_Toc524168700"/>
      <w:bookmarkStart w:id="1550" w:name="_Toc524856425"/>
      <w:bookmarkStart w:id="1551" w:name="_Toc524926778"/>
      <w:bookmarkStart w:id="1552" w:name="_Toc526147869"/>
      <w:bookmarkStart w:id="1553" w:name="_Toc526234347"/>
      <w:bookmarkStart w:id="1554" w:name="_Toc532725219"/>
      <w:r w:rsidRPr="0049492A">
        <w:t>Sammanfattning</w:t>
      </w:r>
      <w:bookmarkEnd w:id="1542"/>
      <w:bookmarkEnd w:id="1549"/>
      <w:bookmarkEnd w:id="1550"/>
      <w:bookmarkEnd w:id="1551"/>
      <w:bookmarkEnd w:id="1552"/>
      <w:bookmarkEnd w:id="1553"/>
      <w:bookmarkEnd w:id="1554"/>
    </w:p>
    <w:p w:rsidR="008D3479" w:rsidRPr="0049492A" w:rsidRDefault="008D3479">
      <w:r w:rsidRPr="0049492A">
        <w:t>Ändamålsfastigheter finns inom fler sektorer än den statliga. Landstingen har ett fastighetsbestånd som till stora delar utgörs av ändamålsfastigheter. Som jämförande exempel kan det vara värdefullt att se hur ett landsting har org</w:t>
      </w:r>
      <w:r w:rsidRPr="0049492A">
        <w:t>a</w:t>
      </w:r>
      <w:r w:rsidRPr="0049492A">
        <w:t>niserat fastighetsförvaltningen, och därför presenteras kortfattat systemet inom Stockholms läns landsting.</w:t>
      </w:r>
    </w:p>
    <w:p w:rsidR="008D3479" w:rsidRPr="0049492A" w:rsidRDefault="008D3479">
      <w:pPr>
        <w:pStyle w:val="Normaltindrag"/>
      </w:pPr>
      <w:r w:rsidRPr="0049492A">
        <w:t>Landstinget i Stockholms län övergår alltmer till marknadshyror för sina ändamålsfastigheter. Det landstingsägda fastighetsbolaget redovisar öppet sina kostnader för hyresgästen, även när marknadshyra tillämpas. Det bidrar till förtroende mellan parterna, enligt fastighetsbolaget.</w:t>
      </w:r>
    </w:p>
    <w:p w:rsidR="008D3479" w:rsidRPr="0049492A" w:rsidRDefault="008D3479">
      <w:pPr>
        <w:pStyle w:val="Rubrik2-Utannumrering"/>
      </w:pPr>
      <w:bookmarkStart w:id="1555" w:name="_Toc514560786"/>
      <w:bookmarkStart w:id="1556" w:name="_Toc515247989"/>
      <w:bookmarkStart w:id="1557" w:name="_Toc515780840"/>
      <w:bookmarkStart w:id="1558" w:name="_Toc515855901"/>
      <w:bookmarkStart w:id="1559" w:name="_Toc515856003"/>
      <w:bookmarkStart w:id="1560" w:name="_Toc516536450"/>
      <w:bookmarkStart w:id="1561" w:name="_Toc516544602"/>
      <w:bookmarkStart w:id="1562" w:name="_Toc516545337"/>
      <w:bookmarkStart w:id="1563" w:name="_Toc516545470"/>
      <w:bookmarkStart w:id="1564" w:name="_Toc523215877"/>
      <w:bookmarkStart w:id="1565" w:name="_Toc524059372"/>
      <w:bookmarkStart w:id="1566" w:name="_Toc524168701"/>
      <w:bookmarkStart w:id="1567" w:name="_Toc524856426"/>
      <w:bookmarkStart w:id="1568" w:name="_Toc524926779"/>
      <w:bookmarkStart w:id="1569" w:name="_Toc526147870"/>
      <w:bookmarkStart w:id="1570" w:name="_Toc526234348"/>
      <w:bookmarkStart w:id="1571" w:name="_Toc532725220"/>
      <w:r w:rsidRPr="0049492A">
        <w:t>Lokalförsörjning i Stockholms läns landsting</w:t>
      </w:r>
      <w:bookmarkEnd w:id="1555"/>
      <w:r w:rsidRPr="0049492A">
        <w:rPr>
          <w:rStyle w:val="Fotnotsreferens"/>
          <w:sz w:val="18"/>
        </w:rPr>
        <w:footnoteReference w:id="123"/>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r w:rsidRPr="0049492A">
        <w:rPr>
          <w:sz w:val="18"/>
        </w:rPr>
        <w:t xml:space="preserve"> </w:t>
      </w:r>
    </w:p>
    <w:p w:rsidR="008D3479" w:rsidRPr="0049492A" w:rsidRDefault="008D3479">
      <w:r w:rsidRPr="0049492A">
        <w:t>Stockholms läns landsting har sedan 1992 ett fastighetsförvaltande bolag som heter Locum AB. Bolaget ska förvalta fastigheterna inom landstinget och denna verksamhet ska generera kapitalavkastning enligt landstingets beslut. Locum förvaltar ca 2,2 miljoner m</w:t>
      </w:r>
      <w:r w:rsidRPr="0049492A">
        <w:rPr>
          <w:vertAlign w:val="superscript"/>
        </w:rPr>
        <w:t>2</w:t>
      </w:r>
      <w:r w:rsidRPr="0049492A">
        <w:t xml:space="preserve"> inom Stockholmsområdet, mo</w:t>
      </w:r>
      <w:r w:rsidRPr="0049492A">
        <w:t>t</w:t>
      </w:r>
      <w:r w:rsidRPr="0049492A">
        <w:t>svarande ett bokfört värde på ca 7,7 miljarder kronor</w:t>
      </w:r>
      <w:r w:rsidRPr="0049492A">
        <w:rPr>
          <w:rStyle w:val="Fotnotsreferens"/>
        </w:rPr>
        <w:footnoteReference w:id="124"/>
      </w:r>
      <w:r w:rsidRPr="0049492A">
        <w:t>. Fram till årsskiftet 2000/2001 hade landstinget ett internhyressystem och en lokalpolicy som innebar att landstinget endast fick hyra lokaler av Locum. Varje sjukvård</w:t>
      </w:r>
      <w:r w:rsidRPr="0049492A">
        <w:t>s</w:t>
      </w:r>
      <w:r w:rsidRPr="0049492A">
        <w:t>förvaltning förhandlar med Locum om sina hyror. Pengar till verksamheten får förvaltningen av landstingets sjukvårdsstyrelser som med landstingsb</w:t>
      </w:r>
      <w:r w:rsidRPr="0049492A">
        <w:t>i</w:t>
      </w:r>
      <w:r w:rsidRPr="0049492A">
        <w:t>drag köper vård av förvaltningarna. Köpsystemet har en fast prissättning för vården, vilket innebär att t.ex. ett sjukhus inte kompenseras särskilt för l</w:t>
      </w:r>
      <w:r w:rsidRPr="0049492A">
        <w:t>o</w:t>
      </w:r>
      <w:r w:rsidRPr="0049492A">
        <w:t>kalkostnader. När systemet med internhyra i</w:t>
      </w:r>
      <w:r w:rsidRPr="0049492A">
        <w:t>nfördes lades lokalkostnaderna till den tidigare bidrag</w:t>
      </w:r>
      <w:r w:rsidRPr="0049492A">
        <w:t>s</w:t>
      </w:r>
      <w:r w:rsidRPr="0049492A">
        <w:t xml:space="preserve">nivån. </w:t>
      </w:r>
    </w:p>
    <w:p w:rsidR="008D3479" w:rsidRPr="0049492A" w:rsidRDefault="008D3479">
      <w:pPr>
        <w:pStyle w:val="Rubrik3-Utannumrering"/>
      </w:pPr>
      <w:bookmarkStart w:id="1572" w:name="_Toc514560787"/>
      <w:bookmarkStart w:id="1573" w:name="_Toc515247990"/>
      <w:bookmarkStart w:id="1574" w:name="_Toc515780841"/>
      <w:bookmarkStart w:id="1575" w:name="_Toc515855902"/>
      <w:bookmarkStart w:id="1576" w:name="_Toc515856004"/>
      <w:bookmarkStart w:id="1577" w:name="_Toc516536451"/>
      <w:bookmarkStart w:id="1578" w:name="_Toc516544603"/>
      <w:bookmarkStart w:id="1579" w:name="_Toc516545338"/>
      <w:bookmarkStart w:id="1580" w:name="_Toc516545471"/>
      <w:bookmarkStart w:id="1581" w:name="_Toc523215878"/>
      <w:bookmarkStart w:id="1582" w:name="_Toc524059373"/>
      <w:bookmarkStart w:id="1583" w:name="_Toc524168702"/>
      <w:bookmarkStart w:id="1584" w:name="_Toc524856427"/>
      <w:bookmarkStart w:id="1585" w:name="_Toc524926780"/>
      <w:bookmarkStart w:id="1586" w:name="_Toc526147871"/>
      <w:bookmarkStart w:id="1587" w:name="_Toc526234349"/>
      <w:r w:rsidRPr="0049492A">
        <w:t>Hyressättning</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rsidR="008D3479" w:rsidRPr="0049492A" w:rsidRDefault="008D3479">
      <w:r w:rsidRPr="0049492A">
        <w:t>Hyran för lokalerna sattes på olika typer av marknader, en för sjukhus och en för mer spridd verksamhet som vårdcentraler, kontor, etc. Tanken var u</w:t>
      </w:r>
      <w:r w:rsidRPr="0049492A">
        <w:t>r</w:t>
      </w:r>
      <w:r w:rsidRPr="0049492A">
        <w:t>sprungligen att hyran skulle vara marknadsmässig och att den skulle påve</w:t>
      </w:r>
      <w:r w:rsidRPr="0049492A">
        <w:t>r</w:t>
      </w:r>
      <w:r w:rsidRPr="0049492A">
        <w:t>kas av läget. Sjukvården krävde dock samma hyra för alla, oavsett läge. I första hand för akutsjukhusen blev hyran utjämnad med endast små skilln</w:t>
      </w:r>
      <w:r w:rsidRPr="0049492A">
        <w:t>a</w:t>
      </w:r>
      <w:r w:rsidRPr="0049492A">
        <w:t>der i kvadratmeterkostnader. Hyran beräknades på kalkyler över kostnader. Om- och tillbyggnader genererade en kostnadsbaserad tilläggshyra för det aktuella hyresobjektet. För vårdcentraler och annan verksamhet som i högre grad finns på en marknad var hyran en blandning mellan självkostnad oc</w:t>
      </w:r>
      <w:r w:rsidRPr="0049492A">
        <w:t xml:space="preserve">h marknad. Man ”sneglade” på marknaden och anpassade hyran efter vad lokalen skulle generera för hyra där. </w:t>
      </w:r>
    </w:p>
    <w:p w:rsidR="008D3479" w:rsidRPr="0049492A" w:rsidRDefault="008D3479">
      <w:pPr>
        <w:pStyle w:val="Rubrik4-Utannumrering"/>
      </w:pPr>
      <w:bookmarkStart w:id="1588" w:name="_Toc514560788"/>
      <w:bookmarkStart w:id="1589" w:name="_Toc524059374"/>
      <w:r w:rsidRPr="0049492A">
        <w:t>Nuvarande system</w:t>
      </w:r>
      <w:bookmarkEnd w:id="1588"/>
      <w:bookmarkEnd w:id="1589"/>
    </w:p>
    <w:p w:rsidR="008D3479" w:rsidRPr="0049492A" w:rsidRDefault="008D3479">
      <w:r w:rsidRPr="0049492A">
        <w:t>Hösten 2000 fattade landstingsfullmäktige ett beslut om att marknadshyra ska eftersträvas i högre grad. Landstinget fick också rätt att hyra lokaler av andra värdar än Locum. Huvudmotivet till besluten är enligt Landstingsrev</w:t>
      </w:r>
      <w:r w:rsidRPr="0049492A">
        <w:t>i</w:t>
      </w:r>
      <w:r w:rsidRPr="0049492A">
        <w:t xml:space="preserve">sorerna en generell konkurrensutsättning inom Stockholms läns landsting. Landstinget har sålt eller håller på att sälja vården i alla fastigheter utom sjukhusen. Några sjukhus bedrivs i aktiebolagsform, ett sjukhus är privatägt och verksamhet inom primärvården privatiseras. Dessa förhållanden gör det svårare att upprätthålla den planekonomiska lösningen. Marknadsanpassade hyror anses också nödvändiga för att landstinget ska vara konkurrensneutralt, dvs. vare sig subventionera privata vårdgivare som hyr av </w:t>
      </w:r>
      <w:r w:rsidRPr="0049492A">
        <w:t xml:space="preserve">landstinget eller konkurrera ut andra fastighetsvärdar. </w:t>
      </w:r>
    </w:p>
    <w:p w:rsidR="008D3479" w:rsidRPr="0049492A" w:rsidRDefault="008D3479">
      <w:pPr>
        <w:pStyle w:val="Rubrik4-Utannumrering"/>
      </w:pPr>
      <w:bookmarkStart w:id="1590" w:name="_Toc524059375"/>
      <w:r w:rsidRPr="0049492A">
        <w:t>Gradvis marknadshyra</w:t>
      </w:r>
      <w:bookmarkEnd w:id="1590"/>
    </w:p>
    <w:p w:rsidR="008D3479" w:rsidRPr="0049492A" w:rsidRDefault="008D3479">
      <w:r w:rsidRPr="0049492A">
        <w:t>Övergången till marknadshyror kommer att ske successivt i samband med att hyreskontrakt löper ut. Enligt Landstingsrevisorerna har Locum och det nyinrättade hyresrådet en stor roll i att uttolka beslutet och bestämma hur hyrorna ska sättas. Den uttolkning som hittills gjorts vad gäller sjukhus är att hyrorna ska vara funktionsrelaterade. Fastigheterna ska klassificeras i sju olika klasser; öppen vård, sluten vård, laboratorier, kontor, etc. För varje klass ska Locum i samråd med hyresgästen bestämma vad so</w:t>
      </w:r>
      <w:r w:rsidRPr="0049492A">
        <w:t xml:space="preserve">m är en rimlig marknadshyra. </w:t>
      </w:r>
    </w:p>
    <w:p w:rsidR="008D3479" w:rsidRPr="0049492A" w:rsidRDefault="008D3479">
      <w:pPr>
        <w:pStyle w:val="Normaltindrag"/>
      </w:pPr>
      <w:r w:rsidRPr="0049492A">
        <w:t>Förhandlingarna med hyresgästen gäller innehållet i fastigheterna, hur ä</w:t>
      </w:r>
      <w:r w:rsidRPr="0049492A">
        <w:t>n</w:t>
      </w:r>
      <w:r w:rsidRPr="0049492A">
        <w:t>damålsenliga de är. Både hyresgäst och hyresvärd gör marknadsjämförelser, och det förekommer att hyresgästen anlitar externa värderare av fastigheten. För nyproduktion tillämpas en produktionsbaserad hyra som täcker kostn</w:t>
      </w:r>
      <w:r w:rsidRPr="0049492A">
        <w:t>a</w:t>
      </w:r>
      <w:r w:rsidRPr="0049492A">
        <w:t>derna. Locum har ett kostnadstak som inte får överskridas och hyresgästen har incitament att hålla nere kraven. Raka amorteringar tillämpas och efter 10 -15 år är investeringen avskr</w:t>
      </w:r>
      <w:r w:rsidRPr="0049492A">
        <w:t>i</w:t>
      </w:r>
      <w:r w:rsidRPr="0049492A">
        <w:t xml:space="preserve">ven. </w:t>
      </w:r>
    </w:p>
    <w:p w:rsidR="008D3479" w:rsidRPr="0049492A" w:rsidRDefault="008D3479">
      <w:pPr>
        <w:pStyle w:val="Normaltindrag"/>
      </w:pPr>
      <w:r w:rsidRPr="0049492A">
        <w:t>Enligt fullmäktiges beslut ska Locum vid hyressättningen ta i beaktande marknadssituationens särskil</w:t>
      </w:r>
      <w:r w:rsidRPr="0049492A">
        <w:t>da förutsättningar. Marknadshyra ska gälla om inte landstinget beslutar annat. Ett exempel på när landstinget beslutat annat är Norrtälje sjukhus, som subventioneras via hyran för att klara en mycket högre beläggning under so</w:t>
      </w:r>
      <w:r w:rsidRPr="0049492A">
        <w:t>m</w:t>
      </w:r>
      <w:r w:rsidRPr="0049492A">
        <w:t xml:space="preserve">marhalvåret. </w:t>
      </w:r>
    </w:p>
    <w:p w:rsidR="008D3479" w:rsidRPr="0049492A" w:rsidRDefault="008D3479">
      <w:pPr>
        <w:pStyle w:val="Normaltindrag"/>
      </w:pPr>
      <w:r w:rsidRPr="0049492A">
        <w:t>Ett hyresråd ska lösa tvister när sådana uppstår kring hyror och klassific</w:t>
      </w:r>
      <w:r w:rsidRPr="0049492A">
        <w:t>e</w:t>
      </w:r>
      <w:r w:rsidRPr="0049492A">
        <w:t xml:space="preserve">ringar. </w:t>
      </w:r>
    </w:p>
    <w:p w:rsidR="008D3479" w:rsidRPr="0049492A" w:rsidRDefault="008D3479">
      <w:pPr>
        <w:pStyle w:val="Rubrik3-Utannumrering"/>
      </w:pPr>
      <w:bookmarkStart w:id="1591" w:name="_Toc514560789"/>
      <w:bookmarkStart w:id="1592" w:name="_Toc515247991"/>
      <w:bookmarkStart w:id="1593" w:name="_Toc515780842"/>
      <w:bookmarkStart w:id="1594" w:name="_Toc515855903"/>
      <w:bookmarkStart w:id="1595" w:name="_Toc515856005"/>
      <w:bookmarkStart w:id="1596" w:name="_Toc516536452"/>
      <w:bookmarkStart w:id="1597" w:name="_Toc516544604"/>
      <w:bookmarkStart w:id="1598" w:name="_Toc516545339"/>
      <w:bookmarkStart w:id="1599" w:name="_Toc516545472"/>
      <w:bookmarkStart w:id="1600" w:name="_Toc523215879"/>
      <w:bookmarkStart w:id="1601" w:name="_Toc524059376"/>
      <w:bookmarkStart w:id="1602" w:name="_Toc524168703"/>
      <w:bookmarkStart w:id="1603" w:name="_Toc524856428"/>
      <w:bookmarkStart w:id="1604" w:name="_Toc524926781"/>
      <w:bookmarkStart w:id="1605" w:name="_Toc526147872"/>
      <w:bookmarkStart w:id="1606" w:name="_Toc526234350"/>
      <w:r w:rsidRPr="0049492A">
        <w:t>Öppen dialog</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rsidR="008D3479" w:rsidRPr="0049492A" w:rsidRDefault="008D3479">
      <w:r w:rsidRPr="0049492A">
        <w:t>Locum har i huvudsak öppet redovisat sina kostnader för hyresgästen. Enligt Locum bidrar den stora öppenheten till förtroende mellan parterna. Öppe</w:t>
      </w:r>
      <w:r w:rsidRPr="0049492A">
        <w:t>n</w:t>
      </w:r>
      <w:r w:rsidRPr="0049492A">
        <w:t>heten är dock något mer begränsad om hyresgästen är extern. En företrädare för bolaget anser inte att öppenheten försvårar förhandlingar, men att det kräver att systemet förklaras. Locum har många fastigheter och det är viktigt att klargöra att det är summan av fastigheterna som ska ge en viss avkas</w:t>
      </w:r>
      <w:r w:rsidRPr="0049492A">
        <w:t>t</w:t>
      </w:r>
      <w:r w:rsidRPr="0049492A">
        <w:t>ning. Hyresgästen bör veta var fastigheten befinner sig i en investeringssc</w:t>
      </w:r>
      <w:r w:rsidRPr="0049492A">
        <w:t>y</w:t>
      </w:r>
      <w:r w:rsidRPr="0049492A">
        <w:t>kel; att just innan ett stort investeringsbehov är avkastningen hög för fasti</w:t>
      </w:r>
      <w:r w:rsidRPr="0049492A">
        <w:t>g</w:t>
      </w:r>
      <w:r w:rsidRPr="0049492A">
        <w:t xml:space="preserve">heten, men att kostnader kommer att uppstå längre fram. </w:t>
      </w:r>
      <w:r w:rsidRPr="0049492A">
        <w:t>Locum strävar efter långsiktiga relationer med hyresgästen och tar inte ut högsta möjliga mar</w:t>
      </w:r>
      <w:r w:rsidRPr="0049492A">
        <w:t>k</w:t>
      </w:r>
      <w:r w:rsidRPr="0049492A">
        <w:t>nadshyra i varje situ</w:t>
      </w:r>
      <w:r w:rsidRPr="0049492A">
        <w:t>a</w:t>
      </w:r>
      <w:r w:rsidRPr="0049492A">
        <w:t>tion.</w:t>
      </w:r>
      <w:r w:rsidRPr="0049492A">
        <w:rPr>
          <w:rStyle w:val="Fotnotsreferens"/>
        </w:rPr>
        <w:footnoteReference w:id="125"/>
      </w:r>
    </w:p>
    <w:p w:rsidR="008D3479" w:rsidRPr="0049492A" w:rsidRDefault="008D3479">
      <w:pPr>
        <w:pStyle w:val="Rubrik3-Utannumrering"/>
      </w:pPr>
      <w:bookmarkStart w:id="1607" w:name="_Toc514560790"/>
      <w:bookmarkStart w:id="1608" w:name="_Toc515247992"/>
      <w:bookmarkStart w:id="1609" w:name="_Toc515780843"/>
      <w:bookmarkStart w:id="1610" w:name="_Toc515855904"/>
      <w:bookmarkStart w:id="1611" w:name="_Toc515856006"/>
      <w:bookmarkStart w:id="1612" w:name="_Toc516536453"/>
      <w:bookmarkStart w:id="1613" w:name="_Toc516544605"/>
      <w:bookmarkStart w:id="1614" w:name="_Toc516545340"/>
      <w:bookmarkStart w:id="1615" w:name="_Toc516545473"/>
      <w:bookmarkStart w:id="1616" w:name="_Toc523215880"/>
      <w:bookmarkStart w:id="1617" w:name="_Toc524059377"/>
      <w:bookmarkStart w:id="1618" w:name="_Toc524168704"/>
      <w:bookmarkStart w:id="1619" w:name="_Toc524856429"/>
      <w:bookmarkStart w:id="1620" w:name="_Toc524926782"/>
      <w:bookmarkStart w:id="1621" w:name="_Toc526147873"/>
      <w:bookmarkStart w:id="1622" w:name="_Toc526234351"/>
      <w:r w:rsidRPr="0049492A">
        <w:t>Fastighetsförvaltning</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rsidR="008D3479" w:rsidRPr="0049492A" w:rsidRDefault="008D3479">
      <w:r w:rsidRPr="0049492A">
        <w:t xml:space="preserve">Locum lägger ut all drift på entreprenad. Underhållsarbete planeras med egna resurser, men själva underhållsarbetet köps upp i konkurrens.  </w:t>
      </w:r>
    </w:p>
    <w:p w:rsidR="008D3479" w:rsidRPr="0049492A" w:rsidRDefault="008D3479">
      <w:pPr>
        <w:pStyle w:val="Rubrik2-Utannumrering"/>
      </w:pPr>
      <w:r w:rsidRPr="0049492A">
        <w:br w:type="page"/>
      </w:r>
      <w:bookmarkStart w:id="1623" w:name="_Toc524168705"/>
      <w:bookmarkStart w:id="1624" w:name="_Toc524856430"/>
      <w:bookmarkStart w:id="1625" w:name="_Toc524926783"/>
      <w:bookmarkStart w:id="1626" w:name="_Toc526147874"/>
      <w:bookmarkStart w:id="1627" w:name="_Toc526234352"/>
      <w:bookmarkStart w:id="1628" w:name="_Toc532725221"/>
      <w:r w:rsidRPr="0049492A">
        <w:t xml:space="preserve">Referenser till bilaga </w:t>
      </w:r>
      <w:bookmarkEnd w:id="1623"/>
      <w:bookmarkEnd w:id="1624"/>
      <w:bookmarkEnd w:id="1625"/>
      <w:bookmarkEnd w:id="1626"/>
      <w:bookmarkEnd w:id="1627"/>
      <w:r w:rsidRPr="0049492A">
        <w:t>2</w:t>
      </w:r>
      <w:bookmarkEnd w:id="1628"/>
    </w:p>
    <w:p w:rsidR="008D3479" w:rsidRPr="0049492A" w:rsidRDefault="008D3479">
      <w:pPr>
        <w:pStyle w:val="Rubrik3-Utannumrering"/>
      </w:pPr>
      <w:bookmarkStart w:id="1629" w:name="_Toc524168706"/>
      <w:bookmarkStart w:id="1630" w:name="_Toc524856431"/>
      <w:bookmarkStart w:id="1631" w:name="_Toc524926784"/>
      <w:bookmarkStart w:id="1632" w:name="_Toc526147875"/>
      <w:bookmarkStart w:id="1633" w:name="_Toc526234353"/>
      <w:r w:rsidRPr="0049492A">
        <w:t>Telefonintervjuer</w:t>
      </w:r>
      <w:bookmarkEnd w:id="1629"/>
      <w:bookmarkEnd w:id="1630"/>
      <w:bookmarkEnd w:id="1631"/>
      <w:bookmarkEnd w:id="1632"/>
      <w:bookmarkEnd w:id="1633"/>
      <w:r w:rsidRPr="0049492A">
        <w:t xml:space="preserve"> </w:t>
      </w:r>
    </w:p>
    <w:p w:rsidR="008D3479" w:rsidRPr="0049492A" w:rsidRDefault="008D3479">
      <w:r w:rsidRPr="0049492A">
        <w:t>Jonsson, Ralf, Landstingsrevisorerna, 2001-04-26</w:t>
      </w:r>
    </w:p>
    <w:p w:rsidR="008D3479" w:rsidRPr="0049492A" w:rsidRDefault="008D3479">
      <w:r w:rsidRPr="0049492A">
        <w:t>Lenberg, Tommy, Locum, 2001-05-07</w:t>
      </w:r>
    </w:p>
    <w:p w:rsidR="008D3479" w:rsidRPr="0049492A" w:rsidRDefault="008D3479">
      <w:pPr>
        <w:pStyle w:val="Rubrik3-Utannumrering"/>
      </w:pPr>
      <w:bookmarkStart w:id="1634" w:name="_Toc524168707"/>
      <w:bookmarkStart w:id="1635" w:name="_Toc524856432"/>
      <w:bookmarkStart w:id="1636" w:name="_Toc524926785"/>
      <w:bookmarkStart w:id="1637" w:name="_Toc526147876"/>
      <w:bookmarkStart w:id="1638" w:name="_Toc526234354"/>
      <w:r w:rsidRPr="0049492A">
        <w:t>Skriftligt material</w:t>
      </w:r>
      <w:bookmarkEnd w:id="1634"/>
      <w:bookmarkEnd w:id="1635"/>
      <w:bookmarkEnd w:id="1636"/>
      <w:bookmarkEnd w:id="1637"/>
      <w:bookmarkEnd w:id="1638"/>
    </w:p>
    <w:p w:rsidR="008D3479" w:rsidRPr="0049492A" w:rsidRDefault="008D3479">
      <w:r w:rsidRPr="0049492A">
        <w:t>Locum 2001, Årsredovisning 2000</w:t>
      </w:r>
    </w:p>
    <w:p w:rsidR="008D3479" w:rsidRPr="0049492A" w:rsidRDefault="008D3479">
      <w:pPr>
        <w:pStyle w:val="RubrikUtanNr"/>
        <w:jc w:val="left"/>
        <w:sectPr w:rsidR="00000000" w:rsidRPr="0049492A">
          <w:headerReference w:type="default" r:id="rId24"/>
          <w:footerReference w:type="default" r:id="rId25"/>
          <w:pgSz w:w="11906" w:h="16838" w:code="9"/>
          <w:pgMar w:top="567" w:right="4876" w:bottom="4508" w:left="1134" w:header="227" w:footer="227" w:gutter="0"/>
          <w:cols w:space="720"/>
        </w:sectPr>
      </w:pPr>
    </w:p>
    <w:p w:rsidR="008D3479" w:rsidRPr="0049492A" w:rsidRDefault="008D3479">
      <w:pPr>
        <w:pStyle w:val="RubrikUtanNr"/>
        <w:spacing w:before="0"/>
        <w:jc w:val="left"/>
      </w:pPr>
      <w:bookmarkStart w:id="1639" w:name="_Toc532725222"/>
      <w:r w:rsidRPr="0049492A">
        <w:t>Sammanfattning av remissyttranden över rapport 2001/02:2 Statens ändamålsfastigheter – hyressättning och förvaltning</w:t>
      </w:r>
      <w:bookmarkEnd w:id="1639"/>
    </w:p>
    <w:p w:rsidR="008D3479" w:rsidRPr="0049492A" w:rsidRDefault="008D3479"/>
    <w:p w:rsidR="008D3479" w:rsidRPr="0049492A" w:rsidRDefault="008D3479">
      <w:pPr>
        <w:rPr>
          <w:b/>
        </w:rPr>
      </w:pPr>
      <w:r w:rsidRPr="0049492A">
        <w:rPr>
          <w:b/>
        </w:rPr>
        <w:t>Följande remissinstanser har yttrat sig:</w:t>
      </w:r>
    </w:p>
    <w:p w:rsidR="008D3479" w:rsidRPr="0049492A" w:rsidRDefault="008D3479">
      <w:r w:rsidRPr="0049492A">
        <w:t>Statskontoret, Statens fastighetsverk, Fortifikationsverket, Akademiska Hus AB, Försvarsmakten, Södertörns högskola, Lunds universitet, Kungliga Tekniska Högskolan, Chalmers tekniska högskola AB, Kungliga Konsthö</w:t>
      </w:r>
      <w:r w:rsidRPr="0049492A">
        <w:t>g</w:t>
      </w:r>
      <w:r w:rsidRPr="0049492A">
        <w:t>skolan, Kungliga Operan AB, Naturhistoriska riksmuseet, Statens sjöhist</w:t>
      </w:r>
      <w:r w:rsidRPr="0049492A">
        <w:t>o</w:t>
      </w:r>
      <w:r w:rsidRPr="0049492A">
        <w:t>riska museer, Statens institutionsstyrelse och Krimina</w:t>
      </w:r>
      <w:r w:rsidRPr="0049492A">
        <w:t>l</w:t>
      </w:r>
      <w:r w:rsidRPr="0049492A">
        <w:t xml:space="preserve">vårdsstyrelsen. </w:t>
      </w:r>
    </w:p>
    <w:p w:rsidR="008D3479" w:rsidRPr="0049492A" w:rsidRDefault="008D3479">
      <w:pPr>
        <w:pStyle w:val="Normaltindrag"/>
        <w:rPr>
          <w:b/>
        </w:rPr>
      </w:pPr>
    </w:p>
    <w:p w:rsidR="008D3479" w:rsidRPr="0049492A" w:rsidRDefault="008D3479">
      <w:pPr>
        <w:rPr>
          <w:b/>
        </w:rPr>
      </w:pPr>
      <w:r w:rsidRPr="0049492A">
        <w:rPr>
          <w:b/>
        </w:rPr>
        <w:t>Följande remissinstanser har inte yttrat sig:</w:t>
      </w:r>
    </w:p>
    <w:p w:rsidR="008D3479" w:rsidRPr="0049492A" w:rsidRDefault="008D3479">
      <w:r w:rsidRPr="0049492A">
        <w:t>Justitiedepartementet, Försvarsdepartementet, Socialdepartementet, Finan</w:t>
      </w:r>
      <w:r w:rsidRPr="0049492A">
        <w:t>s</w:t>
      </w:r>
      <w:r w:rsidRPr="0049492A">
        <w:t>departementet, Utbildningsdepartementet, Kulturdepartementet, Specialfa</w:t>
      </w:r>
      <w:r w:rsidRPr="0049492A">
        <w:t>s</w:t>
      </w:r>
      <w:r w:rsidRPr="0049492A">
        <w:t xml:space="preserve">tigheter Sverige AB och Kungliga Dramatiska Teatern AB. </w:t>
      </w:r>
    </w:p>
    <w:p w:rsidR="008D3479" w:rsidRPr="0049492A" w:rsidRDefault="008D3479">
      <w:pPr>
        <w:pStyle w:val="Rubrik2-Utannumrering"/>
      </w:pPr>
      <w:bookmarkStart w:id="1640" w:name="_Toc532725223"/>
      <w:r w:rsidRPr="0049492A">
        <w:t>Allmänna sy</w:t>
      </w:r>
      <w:r w:rsidRPr="0049492A">
        <w:t>n</w:t>
      </w:r>
      <w:r w:rsidRPr="0049492A">
        <w:t>punkter på granskningen</w:t>
      </w:r>
      <w:bookmarkEnd w:id="1640"/>
    </w:p>
    <w:p w:rsidR="008D3479" w:rsidRPr="0049492A" w:rsidRDefault="008D3479">
      <w:r w:rsidRPr="0049492A">
        <w:rPr>
          <w:i/>
        </w:rPr>
        <w:t xml:space="preserve">Statskontoret </w:t>
      </w:r>
      <w:r w:rsidRPr="0049492A">
        <w:t>anser att Riksdagens revisorer gjort en ingående och förtjäns</w:t>
      </w:r>
      <w:r w:rsidRPr="0049492A">
        <w:t>t</w:t>
      </w:r>
      <w:r w:rsidRPr="0049492A">
        <w:t>full genomgång av hyressättningsproblematiken i statligt ägda ändamålsfa</w:t>
      </w:r>
      <w:r w:rsidRPr="0049492A">
        <w:t>s</w:t>
      </w:r>
      <w:r w:rsidRPr="0049492A">
        <w:t>tigheter. Statskontoret instämmer i huvudsak i revisorernas förslag men är tveksamt till fruktbarheten i revisorernas förslag om ett expertorgan för sa</w:t>
      </w:r>
      <w:r w:rsidRPr="0049492A">
        <w:t>m</w:t>
      </w:r>
      <w:r w:rsidRPr="0049492A">
        <w:t xml:space="preserve">råd i tvistemål.  </w:t>
      </w:r>
    </w:p>
    <w:p w:rsidR="008D3479" w:rsidRPr="0049492A" w:rsidRDefault="008D3479">
      <w:pPr>
        <w:pStyle w:val="Normaltindrag"/>
      </w:pPr>
      <w:r w:rsidRPr="0049492A">
        <w:rPr>
          <w:i/>
        </w:rPr>
        <w:t>Statens fastighetsverk</w:t>
      </w:r>
      <w:r w:rsidRPr="0049492A">
        <w:t xml:space="preserve"> anser att det är viktigt att riksdag och regering som uppdragsgivare till såväl Statens fastighetsverk som hyresgäster fastlägger de spelregler för hyressättning som erfordras för att undvika såväl konflikter som andra långsiktigt negativa konsekvenser. Verket menar att dess agerande legat i linje med statsmakternas riktlinjer för fastighetsförvaltningen. Fasti</w:t>
      </w:r>
      <w:r w:rsidRPr="0049492A">
        <w:t>g</w:t>
      </w:r>
      <w:r w:rsidRPr="0049492A">
        <w:t>hetsverket framhåller också sin ambition att stödja hyresgästerna i deras brukande av lokaler, att hålla en öppen dialog där hyresgästerna har insy</w:t>
      </w:r>
      <w:r w:rsidRPr="0049492A">
        <w:t xml:space="preserve">n i lokalfrågorana samt att använda den hyresmodell och de hyresavtal som bäst gagnar allas intressen. </w:t>
      </w:r>
    </w:p>
    <w:p w:rsidR="008D3479" w:rsidRPr="0049492A" w:rsidRDefault="008D3479">
      <w:pPr>
        <w:pStyle w:val="Normaltindrag"/>
      </w:pPr>
      <w:r w:rsidRPr="0049492A">
        <w:rPr>
          <w:i/>
        </w:rPr>
        <w:t>Fortifikationsverket</w:t>
      </w:r>
      <w:r w:rsidRPr="0049492A">
        <w:t>s uppfattning är att revisionsrapporten är tendentiös till hyresgästernas fördel och att finansutskottets betänkande (1997/98:FiU25) inte återges till fullo. Som exempel på vad som inte är återgivet anger Fort</w:t>
      </w:r>
      <w:r w:rsidRPr="0049492A">
        <w:t>i</w:t>
      </w:r>
      <w:r w:rsidRPr="0049492A">
        <w:t>fikationsverket riksdagens ställningstagande att graden av specialanpassning i en investering  bör påverka om hyresgästen betalar en investering under kontraktsperioden. Riksdagens ställningstagande i det fallet innebär enligt Fortifikationsverket att fastigheterna inte så lätt kan lämnas och att kapi</w:t>
      </w:r>
      <w:r w:rsidRPr="0049492A">
        <w:t>ta</w:t>
      </w:r>
      <w:r w:rsidRPr="0049492A">
        <w:t>l</w:t>
      </w:r>
      <w:r w:rsidRPr="0049492A">
        <w:t>förstöring därmed kan förhindras. Enligt Fortifikationsverkets tolkning o</w:t>
      </w:r>
      <w:r w:rsidRPr="0049492A">
        <w:t>m</w:t>
      </w:r>
      <w:r w:rsidRPr="0049492A">
        <w:t>fattar ägarens uppdrag till fastighetsförvaltarna kostnadseffektivitet, kun</w:t>
      </w:r>
      <w:r w:rsidRPr="0049492A">
        <w:t>d</w:t>
      </w:r>
      <w:r w:rsidRPr="0049492A">
        <w:t>nytta och ändamålsenlighet för staten som helhet. Verket anser att ägandet av fastigheterna är ett medborgerligt intresse i högre grad än vad hyresgästernas verksamhet är. Företrädaren för fastighetsägandet har till uppgift att balans</w:t>
      </w:r>
      <w:r w:rsidRPr="0049492A">
        <w:t>e</w:t>
      </w:r>
      <w:r w:rsidRPr="0049492A">
        <w:t>ra dessa intressen, hävdar Fortifikationsverket. Verket anser vidare att de kriterier som rapporten anger att man kan bedöma</w:t>
      </w:r>
      <w:r w:rsidRPr="0049492A">
        <w:t xml:space="preserve"> en fastighets grad av ä</w:t>
      </w:r>
      <w:r w:rsidRPr="0049492A">
        <w:t>n</w:t>
      </w:r>
      <w:r w:rsidRPr="0049492A">
        <w:t>damålsmässighet utifrån är ett klargörande tillskott. (</w:t>
      </w:r>
      <w:r w:rsidRPr="0049492A">
        <w:rPr>
          <w:i/>
        </w:rPr>
        <w:t>Kansliets anmärkning</w:t>
      </w:r>
      <w:r w:rsidRPr="0049492A">
        <w:t>: kriterierna är återgivna från SOU 1996:187.)</w:t>
      </w:r>
    </w:p>
    <w:p w:rsidR="008D3479" w:rsidRPr="0049492A" w:rsidRDefault="008D3479">
      <w:pPr>
        <w:pStyle w:val="Normaltindrag"/>
      </w:pPr>
      <w:r w:rsidRPr="0049492A">
        <w:rPr>
          <w:i/>
        </w:rPr>
        <w:t>Kungliga Operan AB</w:t>
      </w:r>
      <w:r w:rsidRPr="0049492A">
        <w:t xml:space="preserve"> instämmer i revisorernas slutsatser och förslag.</w:t>
      </w:r>
    </w:p>
    <w:p w:rsidR="008D3479" w:rsidRPr="0049492A" w:rsidRDefault="008D3479">
      <w:pPr>
        <w:pStyle w:val="Normaltindrag"/>
      </w:pPr>
      <w:r w:rsidRPr="0049492A">
        <w:rPr>
          <w:i/>
        </w:rPr>
        <w:t xml:space="preserve">Naturhistoriska riksmuseet </w:t>
      </w:r>
      <w:r w:rsidRPr="0049492A">
        <w:t>tycker att Riksdagens revisorer utfört en ged</w:t>
      </w:r>
      <w:r w:rsidRPr="0049492A">
        <w:t>i</w:t>
      </w:r>
      <w:r w:rsidRPr="0049492A">
        <w:t>gen rapport, en mycket bra sammanställning av de utredningar som gjorts i frågan. Revisorerna har också fångat upp de problem som i dag finns på ett mycket bra sätt, enligt Naturhistoriska riksmuseet, som tillstyrker nästan samtliga förslag. Riksmuseet har dock en avvikande mening i en del av fö</w:t>
      </w:r>
      <w:r w:rsidRPr="0049492A">
        <w:t>r</w:t>
      </w:r>
      <w:r w:rsidRPr="0049492A">
        <w:t>slaget om hyressättning. Museet vill klargöra att de tre värderingsmän som omnämns i rapporten på s. 36 anlitades av Naturhistoriska riksmuseet och Statens fastighetsver</w:t>
      </w:r>
      <w:r w:rsidRPr="0049492A">
        <w:t>k gemensamt, och inte endast av Riksmuseet, vilket det felaktigt står i rappo</w:t>
      </w:r>
      <w:r w:rsidRPr="0049492A">
        <w:t>r</w:t>
      </w:r>
      <w:r w:rsidRPr="0049492A">
        <w:t xml:space="preserve">ten. </w:t>
      </w:r>
    </w:p>
    <w:p w:rsidR="008D3479" w:rsidRPr="0049492A" w:rsidRDefault="008D3479">
      <w:pPr>
        <w:pStyle w:val="Normaltindrag"/>
      </w:pPr>
      <w:r w:rsidRPr="0049492A">
        <w:rPr>
          <w:i/>
        </w:rPr>
        <w:t>Försvarsmakten</w:t>
      </w:r>
      <w:r w:rsidRPr="0049492A">
        <w:t xml:space="preserve"> finner att rapporten på ett tydligt sätt avspeglar förhålla</w:t>
      </w:r>
      <w:r w:rsidRPr="0049492A">
        <w:t>n</w:t>
      </w:r>
      <w:r w:rsidRPr="0049492A">
        <w:t>dena i dag vad gäller förvaltningen av statens fastigheter med ändamålsk</w:t>
      </w:r>
      <w:r w:rsidRPr="0049492A">
        <w:t>a</w:t>
      </w:r>
      <w:r w:rsidRPr="0049492A">
        <w:t>raktär. Försvarsmakten delar inte utredningens uppfattning att en självkos</w:t>
      </w:r>
      <w:r w:rsidRPr="0049492A">
        <w:t>t</w:t>
      </w:r>
      <w:r w:rsidRPr="0049492A">
        <w:t>nadshyra kan beräknas genom schabloner och erfarenhetsvärden, utan hävdar att en kostnadsbaserad totalhyra alltid måste bestå av korrekt redovisade objektvisa kostnader. Försvarsmakten anser att regeringen måste ge Fortif</w:t>
      </w:r>
      <w:r w:rsidRPr="0049492A">
        <w:t>i</w:t>
      </w:r>
      <w:r w:rsidRPr="0049492A">
        <w:t>kationsverket i uppdrag att stödja Försvarsmaktens brukande av ändamål</w:t>
      </w:r>
      <w:r w:rsidRPr="0049492A">
        <w:t>s</w:t>
      </w:r>
      <w:r w:rsidRPr="0049492A">
        <w:t>fastighete</w:t>
      </w:r>
      <w:r w:rsidRPr="0049492A">
        <w:t xml:space="preserve">r, att hålla en öppen aktiv dialog med hyresgästen samt att optimera kundnyttan. Vidare påpekar Förvarsmakten att utredningen vid referat av intervju med Försvarsmakten använt ordet fastighet där ordet objekt skulle ha använts. </w:t>
      </w:r>
    </w:p>
    <w:p w:rsidR="008D3479" w:rsidRPr="0049492A" w:rsidRDefault="008D3479">
      <w:pPr>
        <w:pStyle w:val="Normaltindrag"/>
      </w:pPr>
      <w:r w:rsidRPr="0049492A">
        <w:rPr>
          <w:i/>
        </w:rPr>
        <w:t>Södertörns högskola</w:t>
      </w:r>
      <w:r w:rsidRPr="0049492A">
        <w:t xml:space="preserve"> anser att rapporten inte gör några nya avväganden i sakfrågor eller föreslår några nya riksdagsbeslut, utan att den begränsar sig till att föreslå att regeringen ska fullfölja fattade riksdagsbeslut. Södertörns högskola har inget att tillägga i den frågan.</w:t>
      </w:r>
    </w:p>
    <w:p w:rsidR="008D3479" w:rsidRPr="0049492A" w:rsidRDefault="008D3479">
      <w:pPr>
        <w:pStyle w:val="Normaltindrag"/>
      </w:pPr>
      <w:r w:rsidRPr="0049492A">
        <w:rPr>
          <w:i/>
        </w:rPr>
        <w:t xml:space="preserve">Lunds universitet </w:t>
      </w:r>
      <w:r w:rsidRPr="0049492A">
        <w:t>gör några tillrättalägganden. Som helhet anser univers</w:t>
      </w:r>
      <w:r w:rsidRPr="0049492A">
        <w:t>i</w:t>
      </w:r>
      <w:r w:rsidRPr="0049492A">
        <w:t>tetet att Akademiska Hus fastighetsförvaltning fungerar bra och ser ingen fördel med att ta över förvaltningen i egen regi. Att Akademiska Hus bedr</w:t>
      </w:r>
      <w:r w:rsidRPr="0049492A">
        <w:t>i</w:t>
      </w:r>
      <w:r w:rsidRPr="0049492A">
        <w:t>ver byggprojektverksamhet på ett mindre aktivt sätt än privata fastighetsäg</w:t>
      </w:r>
      <w:r w:rsidRPr="0049492A">
        <w:t>a</w:t>
      </w:r>
      <w:r w:rsidRPr="0049492A">
        <w:t>re torde vara en återspegling av deras respektive affärsidéer. Relationerna med Akademiska Hus fung</w:t>
      </w:r>
      <w:r w:rsidRPr="0049492A">
        <w:t>e</w:t>
      </w:r>
      <w:r w:rsidRPr="0049492A">
        <w:t>rar i praktiken bra.</w:t>
      </w:r>
    </w:p>
    <w:p w:rsidR="008D3479" w:rsidRPr="0049492A" w:rsidRDefault="008D3479">
      <w:pPr>
        <w:pStyle w:val="Normaltindrag"/>
      </w:pPr>
      <w:r w:rsidRPr="0049492A">
        <w:rPr>
          <w:i/>
        </w:rPr>
        <w:t>Kungliga Tekniska Högskolan</w:t>
      </w:r>
      <w:r w:rsidRPr="0049492A">
        <w:t xml:space="preserve"> tillstyrker samtliga förslag i rapporten. </w:t>
      </w:r>
    </w:p>
    <w:p w:rsidR="008D3479" w:rsidRPr="0049492A" w:rsidRDefault="008D3479">
      <w:pPr>
        <w:pStyle w:val="Normaltindrag"/>
      </w:pPr>
      <w:r w:rsidRPr="0049492A">
        <w:rPr>
          <w:i/>
        </w:rPr>
        <w:t>Chalmers tekniska högskola AB</w:t>
      </w:r>
      <w:r w:rsidRPr="0049492A">
        <w:t xml:space="preserve"> stödjer de principiella riktlinjer för han</w:t>
      </w:r>
      <w:r w:rsidRPr="0049492A">
        <w:t>d</w:t>
      </w:r>
      <w:r w:rsidRPr="0049492A">
        <w:t>havande av ändamålsfastigheter som Riksd</w:t>
      </w:r>
      <w:r w:rsidRPr="0049492A">
        <w:t>a</w:t>
      </w:r>
      <w:r w:rsidRPr="0049492A">
        <w:t xml:space="preserve">gens revisorer föreslagit. </w:t>
      </w:r>
    </w:p>
    <w:p w:rsidR="008D3479" w:rsidRPr="0049492A" w:rsidRDefault="008D3479">
      <w:pPr>
        <w:pStyle w:val="Normaltindrag"/>
      </w:pPr>
      <w:r w:rsidRPr="0049492A">
        <w:rPr>
          <w:i/>
        </w:rPr>
        <w:t>Statens institutionsstyrelse</w:t>
      </w:r>
      <w:r w:rsidRPr="0049492A">
        <w:t xml:space="preserve"> (SiS) har med intresse tagit del av rapporten och menar att det aktuella problemområdet ligger myndigheten mycket nära och ofta diskuteras inom organisationen. SiS anser att revisorernas förslag är bra och att de är ägnade åt att stärka hyresgästens ställning. Hyresgästens ställning stärks dock inte tillräckligt i förslagen, enligt SiS uppfattning. Rik</w:t>
      </w:r>
      <w:r w:rsidRPr="0049492A">
        <w:t>s</w:t>
      </w:r>
      <w:r w:rsidRPr="0049492A">
        <w:t>dagen borde överväga något som ger hyresgästen en radikalt starkare stäl</w:t>
      </w:r>
      <w:r w:rsidRPr="0049492A">
        <w:t>l</w:t>
      </w:r>
      <w:r w:rsidRPr="0049492A">
        <w:t>ning gentemot hyresvärden. Att låta hyresgästerna förvalta marken, och fastighetsfö</w:t>
      </w:r>
      <w:r w:rsidRPr="0049492A">
        <w:t>rvaltarna byggnaderna, skulle ge hyresgästen bättre möjlighet att utnyttja konkurrensen mellan olika förvaltare, menar SiS. När det gäller myndigheternas hyreskompensation anser SiS att dagens begränsade inde</w:t>
      </w:r>
      <w:r w:rsidRPr="0049492A">
        <w:t>x</w:t>
      </w:r>
      <w:r w:rsidRPr="0049492A">
        <w:t>uppräkning gör att den del av anslaget som ska täcka hyreskostnader succe</w:t>
      </w:r>
      <w:r w:rsidRPr="0049492A">
        <w:t>s</w:t>
      </w:r>
      <w:r w:rsidRPr="0049492A">
        <w:t>sivt minskar och att begränsningen därför bör avskaffas.</w:t>
      </w:r>
    </w:p>
    <w:p w:rsidR="008D3479" w:rsidRPr="0049492A" w:rsidRDefault="008D3479">
      <w:pPr>
        <w:pStyle w:val="Normaltindrag"/>
      </w:pPr>
      <w:r w:rsidRPr="0049492A">
        <w:rPr>
          <w:i/>
        </w:rPr>
        <w:t xml:space="preserve"> Kriminalvårdsstyrelsen</w:t>
      </w:r>
      <w:r w:rsidRPr="0049492A">
        <w:t xml:space="preserve"> stöder samtliga revisorernas slutsatser och fö</w:t>
      </w:r>
      <w:r w:rsidRPr="0049492A">
        <w:t>r</w:t>
      </w:r>
      <w:r w:rsidRPr="0049492A">
        <w:t>slag.</w:t>
      </w:r>
    </w:p>
    <w:p w:rsidR="008D3479" w:rsidRPr="0049492A" w:rsidRDefault="008D3479">
      <w:pPr>
        <w:pStyle w:val="Rubrik2-Utannumrering"/>
      </w:pPr>
      <w:bookmarkStart w:id="1641" w:name="_Toc532725224"/>
      <w:r w:rsidRPr="0049492A">
        <w:t>Självkostnad när hyresgästen har begränsade alternativ</w:t>
      </w:r>
      <w:bookmarkEnd w:id="1641"/>
    </w:p>
    <w:p w:rsidR="008D3479" w:rsidRPr="0049492A" w:rsidRDefault="008D3479">
      <w:pPr>
        <w:numPr>
          <w:ilvl w:val="0"/>
          <w:numId w:val="52"/>
        </w:numPr>
      </w:pPr>
      <w:r w:rsidRPr="0049492A">
        <w:t>Riksdagens revisorer föreslår i rapporten att regeringen bör vidareb</w:t>
      </w:r>
      <w:r w:rsidRPr="0049492A">
        <w:t>e</w:t>
      </w:r>
      <w:r w:rsidRPr="0049492A">
        <w:t>fordra riksdagens uppfattning om självkostnad som utgångspunkt när hyresgästen har begränsade alternativ och är beroende av en statlig h</w:t>
      </w:r>
      <w:r w:rsidRPr="0049492A">
        <w:t>y</w:t>
      </w:r>
      <w:r w:rsidRPr="0049492A">
        <w:t xml:space="preserve">resvärd. Regeringen bör också klargöra att hyresmodellens utformning ska vara föremål för förhandlingar mellan parterna. </w:t>
      </w:r>
    </w:p>
    <w:p w:rsidR="008D3479" w:rsidRPr="0049492A" w:rsidRDefault="008D3479">
      <w:pPr>
        <w:pStyle w:val="Normaltindrag"/>
      </w:pPr>
    </w:p>
    <w:p w:rsidR="008D3479" w:rsidRPr="0049492A" w:rsidRDefault="008D3479">
      <w:r w:rsidRPr="0049492A">
        <w:rPr>
          <w:i/>
        </w:rPr>
        <w:t>Statens fastighetsverk</w:t>
      </w:r>
      <w:r w:rsidRPr="0049492A">
        <w:t xml:space="preserve"> anser att det är viktigt att riksdag och regering som uppdragsgivare till såväl Statens fastighetsverk som hyresgäster fastlägger de spelregler för hyressättning som erfordras för att undvika konflikter och andra långsiktigt negativa konsekvenser. Fastighetsverket bifogar ett tidigare yttrande där verket redovisar ett antal argument mot kostnadshyra enligt en tidgare utrednings förslag (SOU 1996:187).</w:t>
      </w:r>
    </w:p>
    <w:p w:rsidR="008D3479" w:rsidRPr="0049492A" w:rsidRDefault="008D3479">
      <w:pPr>
        <w:pStyle w:val="Normaltindrag"/>
      </w:pPr>
      <w:r w:rsidRPr="0049492A">
        <w:rPr>
          <w:i/>
        </w:rPr>
        <w:t>Fortifikationsverket</w:t>
      </w:r>
      <w:r w:rsidRPr="0049492A">
        <w:t xml:space="preserve"> anser att direktiv inte behövs för någon av punkterna. Verket instämmer inte i revisorernas beskrivning av regeringens styrning utan menar att man måste förutsätta att myndigheter och bolag både läser och rättar sig efter riksdagsbeslut. Fortifikationsverket påpekar att regeringen inte endast styr genom direktiv utan, som i Fortifikationsverkets fall, även genom att kontinuerligt föra en dialog med verket om bl.a. förvaltning och hyre</w:t>
      </w:r>
      <w:r w:rsidRPr="0049492A">
        <w:t>s</w:t>
      </w:r>
      <w:r w:rsidRPr="0049492A">
        <w:t>sättning. Verket anser sig veta vad som gäller och har en självkostnadsb</w:t>
      </w:r>
      <w:r w:rsidRPr="0049492A">
        <w:t>as</w:t>
      </w:r>
      <w:r w:rsidRPr="0049492A">
        <w:t>e</w:t>
      </w:r>
      <w:r w:rsidRPr="0049492A">
        <w:t xml:space="preserve">rad hyressättning. Fortifikationsverket anser att det är en självklarhet att hyresmodellens utformning ska vara föremål för partsförhandlingar. </w:t>
      </w:r>
    </w:p>
    <w:p w:rsidR="008D3479" w:rsidRPr="0049492A" w:rsidRDefault="008D3479">
      <w:pPr>
        <w:pStyle w:val="Normaltindrag"/>
      </w:pPr>
      <w:r w:rsidRPr="0049492A">
        <w:rPr>
          <w:i/>
        </w:rPr>
        <w:t>Akademiska Hus AB</w:t>
      </w:r>
      <w:r w:rsidRPr="0049492A">
        <w:t xml:space="preserve"> menar att systemet med valfrihet för hyresgäster och konkurrens mellan hyresvärdar sätts ur spel av särskilda regler för olika aktörer. Akademiska Hus påpekar att fastighetsägarna till högskolelokaler ofta har goda alternativ till högskolan som hyresgäst. Bolaget hävdar också att högskolorna ofta har möjlighet att välja andra fastighetsägare till hyre</w:t>
      </w:r>
      <w:r w:rsidRPr="0049492A">
        <w:t>s</w:t>
      </w:r>
      <w:r w:rsidRPr="0049492A">
        <w:t>värd. Fastigheter där både hyresvärd och hyresgäst över tiden har mycket begränsade alternativ utgör mindre än tio procent av Akademiska Hus b</w:t>
      </w:r>
      <w:r w:rsidRPr="0049492A">
        <w:t>e</w:t>
      </w:r>
      <w:r w:rsidRPr="0049492A">
        <w:t>stånd. Bolaget</w:t>
      </w:r>
      <w:r w:rsidRPr="0049492A">
        <w:t xml:space="preserve"> vill också erinra om att universitetsfastigheter som utgör symbolbyggnader för verksamheten och är en del av det kulturhistoriska arvet inte överläts till Akademiska Hus, utan redovisas hos Statens fasti</w:t>
      </w:r>
      <w:r w:rsidRPr="0049492A">
        <w:t>g</w:t>
      </w:r>
      <w:r w:rsidRPr="0049492A">
        <w:t>hetsverk. Akademiska Hus anser det vara självklart att marknadsmässiga villkor måste gälla för högskolelokaler. Skillnaderna mellan högskolefasti</w:t>
      </w:r>
      <w:r w:rsidRPr="0049492A">
        <w:t>g</w:t>
      </w:r>
      <w:r w:rsidRPr="0049492A">
        <w:t xml:space="preserve">heter och t.ex. kriminalvårds- eller försvarsfastigheter är dock betydande, vilket kanske kan motivera mer områdesanpassade riktlinjer/uppdrag, menar Akademiska </w:t>
      </w:r>
      <w:r w:rsidRPr="0049492A">
        <w:t>Hus. Bolaget menar vidare att genomgående självkostnadshyror för högskoleområdet innebär att hanteringen av risker övergår till regeringen. Det skulle vara alternativet till dagens riskhantering där bolagets avkastning täcker de risker som det innebär att avkastningskravet är grundat på mar</w:t>
      </w:r>
      <w:r w:rsidRPr="0049492A">
        <w:t>k</w:t>
      </w:r>
      <w:r w:rsidRPr="0049492A">
        <w:t>nadsanpassade hyror och en viss omfördelning av avkastning sker över tid. I nuvarande system kan Akademiska Hus omfördela sina vinstmarginaler till nedskri</w:t>
      </w:r>
      <w:r w:rsidRPr="0049492A">
        <w:t>v</w:t>
      </w:r>
      <w:r w:rsidRPr="0049492A">
        <w:t xml:space="preserve">ningar och investeringar. </w:t>
      </w:r>
    </w:p>
    <w:p w:rsidR="008D3479" w:rsidRPr="0049492A" w:rsidRDefault="008D3479">
      <w:pPr>
        <w:pStyle w:val="Normaltindrag"/>
      </w:pPr>
      <w:r w:rsidRPr="0049492A">
        <w:rPr>
          <w:i/>
        </w:rPr>
        <w:t>Naturhistoriska riksmuseet</w:t>
      </w:r>
      <w:r w:rsidRPr="0049492A">
        <w:t xml:space="preserve"> instämmer i förslaget om självkostnad men a</w:t>
      </w:r>
      <w:r w:rsidRPr="0049492A">
        <w:t>n</w:t>
      </w:r>
      <w:r w:rsidRPr="0049492A">
        <w:t>ser till skillnad från revisorerna att hyresmodellens utformning bör vara reglerad för parterna. Skälen för detta är att hyresförhandlingar blir kos</w:t>
      </w:r>
      <w:r w:rsidRPr="0049492A">
        <w:t>t</w:t>
      </w:r>
      <w:r w:rsidRPr="0049492A">
        <w:t xml:space="preserve">samma och kräver kompetens som till stora delar saknas på myndigheterna. </w:t>
      </w:r>
    </w:p>
    <w:p w:rsidR="008D3479" w:rsidRPr="0049492A" w:rsidRDefault="008D3479">
      <w:pPr>
        <w:pStyle w:val="Normaltindrag"/>
      </w:pPr>
      <w:r w:rsidRPr="0049492A">
        <w:rPr>
          <w:i/>
        </w:rPr>
        <w:t>Statens sjöhistoriska museer</w:t>
      </w:r>
      <w:r w:rsidRPr="0049492A">
        <w:t xml:space="preserve"> (SSHM) anser att de olika systemen för h</w:t>
      </w:r>
      <w:r w:rsidRPr="0049492A">
        <w:t>y</w:t>
      </w:r>
      <w:r w:rsidRPr="0049492A">
        <w:t>ressättning som utarbetats inte ger någon rättvisande bild av myndigheternas lokalkostnader. Det gör däremot en marknadsliknande hyra enligt Statens fastighetsverks metod. En marknadsliknande hyra ger också myndigheterna större möjlighet att välja lokaler och hyresvärd på den öppna marknaden än en kostnadsbaserad hyra, eftersom anslagen med den förstnämnda hyran är marknadsanpassade. Olika hyressättningssystem medför även att hyresgästen måste besitta kunskap om för</w:t>
      </w:r>
      <w:r w:rsidRPr="0049492A">
        <w:t>handlingsmöjligheter inom flera olika system och att det är svårt för hyresgästen att hitta externt konsultstöd med komp</w:t>
      </w:r>
      <w:r w:rsidRPr="0049492A">
        <w:t>e</w:t>
      </w:r>
      <w:r w:rsidRPr="0049492A">
        <w:t>tens för dessa specialmodeller. Marknadsliknande hyra möjliggör en enhetlig metod för beräkning av anslagsbehov och därmed mindre risk för underko</w:t>
      </w:r>
      <w:r w:rsidRPr="0049492A">
        <w:t>m</w:t>
      </w:r>
      <w:r w:rsidRPr="0049492A">
        <w:t>pensation. Dessutom förenklar en marknadsliknande hyra hanteringen för de fastighetsförvaltande verken, enligt SSHM. SSHM menar att det finns en marknad för de allra flesta fastigheter, om än något begränsad. SSHM påp</w:t>
      </w:r>
      <w:r w:rsidRPr="0049492A">
        <w:t>e</w:t>
      </w:r>
      <w:r w:rsidRPr="0049492A">
        <w:t>kar också att om inte stat</w:t>
      </w:r>
      <w:r w:rsidRPr="0049492A">
        <w:t xml:space="preserve">en varit fastighetsägare hade en marknadsmässig hyra varit nödvändig att räkna fram. </w:t>
      </w:r>
    </w:p>
    <w:p w:rsidR="008D3479" w:rsidRPr="0049492A" w:rsidRDefault="008D3479">
      <w:pPr>
        <w:pStyle w:val="Normaltindrag"/>
      </w:pPr>
      <w:r w:rsidRPr="0049492A">
        <w:rPr>
          <w:i/>
        </w:rPr>
        <w:t>Södertörns högskola</w:t>
      </w:r>
      <w:r w:rsidRPr="0049492A">
        <w:t xml:space="preserve"> har ingen invändning mot revisorernas förslag, men anser att regeringen bör fastställa tydligare principer för när en fastighet ska betraktas som en änd</w:t>
      </w:r>
      <w:r w:rsidRPr="0049492A">
        <w:t>a</w:t>
      </w:r>
      <w:r w:rsidRPr="0049492A">
        <w:t xml:space="preserve">målsfastighet och inte. </w:t>
      </w:r>
    </w:p>
    <w:p w:rsidR="008D3479" w:rsidRPr="0049492A" w:rsidRDefault="008D3479">
      <w:pPr>
        <w:pStyle w:val="Normaltindrag"/>
      </w:pPr>
      <w:r w:rsidRPr="0049492A">
        <w:rPr>
          <w:i/>
        </w:rPr>
        <w:t xml:space="preserve">Lunds universitet </w:t>
      </w:r>
      <w:r w:rsidRPr="0049492A">
        <w:t>anser att riksdagens intentioner med självkos</w:t>
      </w:r>
      <w:r w:rsidRPr="0049492A">
        <w:t>t</w:t>
      </w:r>
      <w:r w:rsidRPr="0049492A">
        <w:t>nads-/kostnadshyror för ändamålsfastigheter bör genomföras fullt ut. Universitetet efterlyser också en klarare definition av begreppet ändamålsfastighet. Läget torde påverka bedömningen av om en fastighet ska klassas som ändamål</w:t>
      </w:r>
      <w:r w:rsidRPr="0049492A">
        <w:t>s</w:t>
      </w:r>
      <w:r w:rsidRPr="0049492A">
        <w:t>fastighet eller ej, menar Lunds universitet. Med nuvarande situation, med Akademiska Hus som fastighetsägare inom hela campusområdet, skulle det innebära att hela beståndet på campusområdet skulle klassas som ändamål</w:t>
      </w:r>
      <w:r w:rsidRPr="0049492A">
        <w:t>s</w:t>
      </w:r>
      <w:r w:rsidRPr="0049492A">
        <w:t>fa</w:t>
      </w:r>
      <w:r w:rsidRPr="0049492A">
        <w:t>s</w:t>
      </w:r>
      <w:r w:rsidRPr="0049492A">
        <w:t xml:space="preserve">tigheter. </w:t>
      </w:r>
    </w:p>
    <w:p w:rsidR="008D3479" w:rsidRPr="0049492A" w:rsidRDefault="008D3479">
      <w:pPr>
        <w:pStyle w:val="Normaltindrag"/>
      </w:pPr>
      <w:r w:rsidRPr="0049492A">
        <w:rPr>
          <w:i/>
        </w:rPr>
        <w:t>Kungli</w:t>
      </w:r>
      <w:r w:rsidRPr="0049492A">
        <w:rPr>
          <w:i/>
        </w:rPr>
        <w:t>ga Tekniska Högskolan</w:t>
      </w:r>
      <w:r w:rsidRPr="0049492A">
        <w:t xml:space="preserve"> stöder förslaget och</w:t>
      </w:r>
      <w:r w:rsidRPr="0049492A">
        <w:rPr>
          <w:i/>
        </w:rPr>
        <w:t xml:space="preserve"> </w:t>
      </w:r>
      <w:r w:rsidRPr="0049492A">
        <w:t>hävdar att en hyressät</w:t>
      </w:r>
      <w:r w:rsidRPr="0049492A">
        <w:t>t</w:t>
      </w:r>
      <w:r w:rsidRPr="0049492A">
        <w:t>ning som följer upp- och nedgångar på den allmänna hyresmarknaden fö</w:t>
      </w:r>
      <w:r w:rsidRPr="0049492A">
        <w:t>r</w:t>
      </w:r>
      <w:r w:rsidRPr="0049492A">
        <w:t xml:space="preserve">svårar den ekonomiska planeringen och även kan leda till en icke avsedd vinstgenerering i Akademiska Hus. Sådana hyror kan urgröpa universitetens och högskolornas ekonomiska resurser och möjligheter att tillhandahålla högklassig utbildning och forskning, menar Kungliga Tekniska Högskolan. </w:t>
      </w:r>
    </w:p>
    <w:p w:rsidR="008D3479" w:rsidRPr="0049492A" w:rsidRDefault="008D3479">
      <w:pPr>
        <w:pStyle w:val="Normaltindrag"/>
      </w:pPr>
      <w:r w:rsidRPr="0049492A">
        <w:rPr>
          <w:i/>
        </w:rPr>
        <w:t>Chalmers tekniska högskola AB</w:t>
      </w:r>
      <w:r w:rsidRPr="0049492A">
        <w:t xml:space="preserve"> ser det som utomordentligt angeläget att regeringen vidarebefordrar riksdagens uppfattning om självkostnad som utgångspunkt i de fall där hyresgästen har begränsade alternativ. Chalmers anser att fastigheterna i ett sammanhållet campusområde är att betrakta som ändamålsfastigheter. </w:t>
      </w:r>
    </w:p>
    <w:p w:rsidR="008D3479" w:rsidRPr="0049492A" w:rsidRDefault="008D3479">
      <w:pPr>
        <w:pStyle w:val="Normaltindrag"/>
      </w:pPr>
    </w:p>
    <w:p w:rsidR="008D3479" w:rsidRPr="0049492A" w:rsidRDefault="008D3479">
      <w:pPr>
        <w:rPr>
          <w:i/>
        </w:rPr>
      </w:pPr>
    </w:p>
    <w:p w:rsidR="008D3479" w:rsidRPr="0049492A" w:rsidRDefault="008D3479">
      <w:pPr>
        <w:rPr>
          <w:i/>
        </w:rPr>
      </w:pPr>
    </w:p>
    <w:p w:rsidR="008D3479" w:rsidRPr="0049492A" w:rsidRDefault="008D3479">
      <w:pPr>
        <w:rPr>
          <w:i/>
        </w:rPr>
      </w:pPr>
      <w:r w:rsidRPr="0049492A">
        <w:rPr>
          <w:i/>
        </w:rPr>
        <w:t>Synpunkter specifika för högskolesektorn</w:t>
      </w:r>
    </w:p>
    <w:p w:rsidR="008D3479" w:rsidRPr="0049492A" w:rsidRDefault="008D3479">
      <w:pPr>
        <w:pStyle w:val="Normaltindrag"/>
      </w:pPr>
    </w:p>
    <w:p w:rsidR="008D3479" w:rsidRPr="0049492A" w:rsidRDefault="008D3479">
      <w:r w:rsidRPr="0049492A">
        <w:t>Olika synpunkter har förts fram från Akademiska Hus respektive högskolo</w:t>
      </w:r>
      <w:r w:rsidRPr="0049492A">
        <w:t>r</w:t>
      </w:r>
      <w:r w:rsidRPr="0049492A">
        <w:t>na angående hur fastigheter på ett camp</w:t>
      </w:r>
      <w:r w:rsidRPr="0049492A">
        <w:t>u</w:t>
      </w:r>
      <w:r w:rsidRPr="0049492A">
        <w:t xml:space="preserve">sområde ska betraktas.  </w:t>
      </w:r>
    </w:p>
    <w:p w:rsidR="008D3479" w:rsidRPr="0049492A" w:rsidRDefault="008D3479">
      <w:pPr>
        <w:pStyle w:val="Normaltindrag"/>
      </w:pPr>
      <w:r w:rsidRPr="0049492A">
        <w:rPr>
          <w:i/>
        </w:rPr>
        <w:t>Södertörns högskola</w:t>
      </w:r>
      <w:r w:rsidRPr="0049492A">
        <w:t xml:space="preserve"> påpekar att högskolan får bekosta marknadseffekterna av sin egen lokalisering, och menar att det är orimligt när hyresvärden är statlig. Marknadshyra innebär att lokalisering av och struktur för högre u</w:t>
      </w:r>
      <w:r w:rsidRPr="0049492A">
        <w:t>t</w:t>
      </w:r>
      <w:r w:rsidRPr="0049492A">
        <w:t>bildning och forskning styrs av hyresmarknader i stället för utbildnings- och forskningspolitik och studenternas behov. Högskolan påpekar vidare att Akademiska Hus system med kostnadshyra för nybyggen och större o</w:t>
      </w:r>
      <w:r w:rsidRPr="0049492A">
        <w:t>m</w:t>
      </w:r>
      <w:r w:rsidRPr="0049492A">
        <w:t>byggnationer, och efter konstraktstidens utgång övergång till marknadshyra, innebär att en hög</w:t>
      </w:r>
      <w:r w:rsidRPr="0049492A">
        <w:t>skola betalar investeringskostnader utan att kunna tillgod</w:t>
      </w:r>
      <w:r w:rsidRPr="0049492A">
        <w:t>o</w:t>
      </w:r>
      <w:r w:rsidRPr="0049492A">
        <w:t>räkna sig  värdet av dessa investeringar vid omteckning av kontrakt.</w:t>
      </w:r>
    </w:p>
    <w:p w:rsidR="008D3479" w:rsidRPr="0049492A" w:rsidRDefault="008D3479">
      <w:pPr>
        <w:pStyle w:val="Normaltindrag"/>
      </w:pPr>
      <w:r w:rsidRPr="0049492A">
        <w:rPr>
          <w:i/>
        </w:rPr>
        <w:t>Lunds universitet</w:t>
      </w:r>
      <w:r w:rsidRPr="0049492A">
        <w:t xml:space="preserve"> anser att en mer marknadsliknande situation bör efte</w:t>
      </w:r>
      <w:r w:rsidRPr="0049492A">
        <w:t>r</w:t>
      </w:r>
      <w:r w:rsidRPr="0049492A">
        <w:t>strävas för den del av universitets fastigheter som är generell och kan ko</w:t>
      </w:r>
      <w:r w:rsidRPr="0049492A">
        <w:t>n</w:t>
      </w:r>
      <w:r w:rsidRPr="0049492A">
        <w:t>kurrensutsättas. Det förutsätter att Akademiska Hus markmonopol bryts, t.ex. genom att ge universitetet beslutanderätt över marken, menar Lunds unive</w:t>
      </w:r>
      <w:r w:rsidRPr="0049492A">
        <w:t>r</w:t>
      </w:r>
      <w:r w:rsidRPr="0049492A">
        <w:t>sitet. Det skulle även förbättra universitetets möjligheter att använda don</w:t>
      </w:r>
      <w:r w:rsidRPr="0049492A">
        <w:t>a</w:t>
      </w:r>
      <w:r w:rsidRPr="0049492A">
        <w:t xml:space="preserve">tionsmedel i lokalinvesteringar. </w:t>
      </w:r>
    </w:p>
    <w:p w:rsidR="008D3479" w:rsidRPr="0049492A" w:rsidRDefault="008D3479">
      <w:pPr>
        <w:pStyle w:val="Normaltindrag"/>
      </w:pPr>
      <w:r w:rsidRPr="0049492A">
        <w:rPr>
          <w:i/>
        </w:rPr>
        <w:t>Kungliga Tekniska Högskolan</w:t>
      </w:r>
      <w:r w:rsidRPr="0049492A">
        <w:t xml:space="preserve"> (KTH) beskriver synergieffekter inom ett campusområde och menar att växelverkan mellan utbildning och forskning kräver ett fungerande campus. Därför måste man se sammanhållna camp</w:t>
      </w:r>
      <w:r w:rsidRPr="0049492A">
        <w:t>u</w:t>
      </w:r>
      <w:r w:rsidRPr="0049492A">
        <w:t>s-områden som en helhet och inte bedöma de ingående byggnaderna var för sig, menar KTH. Hyressättningen varken kan eller bör följa utvecklingen på en konkurrensutsatt hyre</w:t>
      </w:r>
      <w:r w:rsidRPr="0049492A">
        <w:t>s</w:t>
      </w:r>
      <w:r w:rsidRPr="0049492A">
        <w:t xml:space="preserve">marknad. </w:t>
      </w:r>
    </w:p>
    <w:p w:rsidR="008D3479" w:rsidRPr="0049492A" w:rsidRDefault="008D3479">
      <w:pPr>
        <w:pStyle w:val="Normaltindrag"/>
      </w:pPr>
      <w:r w:rsidRPr="0049492A">
        <w:t>Även</w:t>
      </w:r>
      <w:r w:rsidRPr="0049492A">
        <w:rPr>
          <w:i/>
        </w:rPr>
        <w:t xml:space="preserve"> Chalmers tekniska högskola</w:t>
      </w:r>
      <w:r w:rsidRPr="0049492A">
        <w:t xml:space="preserve"> lyfter fram effektivitetsvinster som campusidén ger för forskning, utbildning och näringsliv och hävdar att en marknadsrelaterad hyressättning skapar hinder för att uppnå de önskade resulaten. Begreppet ändamålsfastigheter bör förtydligas och definieras så att det kan inbegripa ett helt campus, anser Chalmers. </w:t>
      </w:r>
    </w:p>
    <w:p w:rsidR="008D3479" w:rsidRPr="0049492A" w:rsidRDefault="008D3479">
      <w:pPr>
        <w:pStyle w:val="Normaltindrag"/>
      </w:pPr>
      <w:r w:rsidRPr="0049492A">
        <w:t>Om fastigheter på ett campusområde skulle vara berättigade till självkos</w:t>
      </w:r>
      <w:r w:rsidRPr="0049492A">
        <w:t>t</w:t>
      </w:r>
      <w:r w:rsidRPr="0049492A">
        <w:t xml:space="preserve">nadshyror frågar sig </w:t>
      </w:r>
      <w:r w:rsidRPr="0049492A">
        <w:rPr>
          <w:i/>
        </w:rPr>
        <w:t>Akademiska Hus</w:t>
      </w:r>
      <w:r w:rsidRPr="0049492A">
        <w:t xml:space="preserve"> hur fastigheter utanför campusområdet men med samma förvaltare och hyresgäst skulle hyressättas, om konkurren</w:t>
      </w:r>
      <w:r w:rsidRPr="0049492A">
        <w:t>s</w:t>
      </w:r>
      <w:r w:rsidRPr="0049492A">
        <w:t>neutralitet går att förena med självkostnadshyra samt hur anslagssystemet kan hantera olika prissättningsmetoder för lokaler. Bolaget anser att det inte saknas alternativ för högskolorna och jämför den begränsning som finns med den liknande situation som uppstår för en tillverkande industri som önskar en samlad lokal</w:t>
      </w:r>
      <w:r w:rsidRPr="0049492A">
        <w:t>i</w:t>
      </w:r>
      <w:r w:rsidRPr="0049492A">
        <w:t xml:space="preserve">sering. </w:t>
      </w:r>
    </w:p>
    <w:p w:rsidR="008D3479" w:rsidRPr="0049492A" w:rsidRDefault="008D3479">
      <w:pPr>
        <w:pStyle w:val="Normaltindrag"/>
      </w:pPr>
    </w:p>
    <w:p w:rsidR="008D3479" w:rsidRPr="0049492A" w:rsidRDefault="008D3479">
      <w:pPr>
        <w:pStyle w:val="Rubrik2-Utannumrering"/>
      </w:pPr>
      <w:bookmarkStart w:id="1642" w:name="_Toc532725225"/>
      <w:r w:rsidRPr="0049492A">
        <w:t>God insyn i förvaltningen och redovisning av förvaltningskostnader</w:t>
      </w:r>
      <w:bookmarkEnd w:id="1642"/>
    </w:p>
    <w:p w:rsidR="008D3479" w:rsidRPr="0049492A" w:rsidRDefault="008D3479"/>
    <w:p w:rsidR="008D3479" w:rsidRPr="0049492A" w:rsidRDefault="008D3479">
      <w:pPr>
        <w:pStyle w:val="Normaltindrag"/>
        <w:numPr>
          <w:ilvl w:val="0"/>
          <w:numId w:val="53"/>
        </w:numPr>
        <w:tabs>
          <w:tab w:val="num" w:pos="530"/>
        </w:tabs>
      </w:pPr>
      <w:r w:rsidRPr="0049492A">
        <w:t>Riksdagens revisorer föreslår i rapporten att regeringen bör vidareb</w:t>
      </w:r>
      <w:r w:rsidRPr="0049492A">
        <w:t>e</w:t>
      </w:r>
      <w:r w:rsidRPr="0049492A">
        <w:t xml:space="preserve">fordra riksdagens uppfattning om att god insyn i förvaltningen ska råda och att det innebär öppen redovisning av förvaltningskostnader. </w:t>
      </w:r>
    </w:p>
    <w:p w:rsidR="008D3479" w:rsidRPr="0049492A" w:rsidRDefault="008D3479">
      <w:pPr>
        <w:pStyle w:val="Normaltindrag"/>
        <w:ind w:firstLine="0"/>
      </w:pPr>
    </w:p>
    <w:p w:rsidR="008D3479" w:rsidRPr="0049492A" w:rsidRDefault="008D3479">
      <w:pPr>
        <w:pStyle w:val="Normaltindrag"/>
        <w:ind w:firstLine="0"/>
      </w:pPr>
      <w:r w:rsidRPr="0049492A">
        <w:rPr>
          <w:i/>
        </w:rPr>
        <w:t>Statens fastighetsverk</w:t>
      </w:r>
      <w:r w:rsidRPr="0049492A">
        <w:t xml:space="preserve"> uppger att deras ambition och inriktning är att hålla en öppen dialog och ge hyresgästerna insyn i lokalfrågorna, vilket verket menar är en förutsättning för att kunna utveckla bra relationer och samarbete. I det bifogade yttrandet till en tidigare utredning hävdar Fastighetsverket att drift- och underhållskostnader varierar över tiden och att hyran innehåller en lån</w:t>
      </w:r>
      <w:r w:rsidRPr="0049492A">
        <w:t>g</w:t>
      </w:r>
      <w:r w:rsidRPr="0049492A">
        <w:t>siktig årlig underhållskostnad. Hyresgästen kan inte rimligen ha någon ku</w:t>
      </w:r>
      <w:r w:rsidRPr="0049492A">
        <w:t>n</w:t>
      </w:r>
      <w:r w:rsidRPr="0049492A">
        <w:t>skap och erfarenhet av vad en realistisk långsiktig drift- och unde</w:t>
      </w:r>
      <w:r w:rsidRPr="0049492A">
        <w:t>rhållskos</w:t>
      </w:r>
      <w:r w:rsidRPr="0049492A">
        <w:t>t</w:t>
      </w:r>
      <w:r w:rsidRPr="0049492A">
        <w:t xml:space="preserve">nad är. </w:t>
      </w:r>
    </w:p>
    <w:p w:rsidR="008D3479" w:rsidRPr="0049492A" w:rsidRDefault="008D3479">
      <w:pPr>
        <w:pStyle w:val="Normaltindrag"/>
        <w:ind w:firstLine="142"/>
      </w:pPr>
      <w:r w:rsidRPr="0049492A">
        <w:rPr>
          <w:i/>
        </w:rPr>
        <w:t>Fortifikationsverket</w:t>
      </w:r>
      <w:r w:rsidRPr="0049492A">
        <w:t xml:space="preserve"> anser att direktiv från regeringen inte behövs och r</w:t>
      </w:r>
      <w:r w:rsidRPr="0049492A">
        <w:t>e</w:t>
      </w:r>
      <w:r w:rsidRPr="0049492A">
        <w:t>dovisar redan förvaltningskostnaderna öppet. Fortifikationsverket anser att även nyckeltal, som ger hyresgästen möjlighet till kostnadsjämförelser, ska red</w:t>
      </w:r>
      <w:r w:rsidRPr="0049492A">
        <w:t>o</w:t>
      </w:r>
      <w:r w:rsidRPr="0049492A">
        <w:t xml:space="preserve">visas öppet. </w:t>
      </w:r>
    </w:p>
    <w:p w:rsidR="008D3479" w:rsidRPr="0049492A" w:rsidRDefault="008D3479">
      <w:pPr>
        <w:pStyle w:val="Normaltindrag"/>
        <w:ind w:firstLine="142"/>
      </w:pPr>
      <w:r w:rsidRPr="0049492A">
        <w:rPr>
          <w:i/>
        </w:rPr>
        <w:t>Naturhistoriska riksmuseet</w:t>
      </w:r>
      <w:r w:rsidRPr="0049492A">
        <w:t xml:space="preserve"> instämmer till fullo i förslaget. </w:t>
      </w:r>
    </w:p>
    <w:p w:rsidR="008D3479" w:rsidRPr="0049492A" w:rsidRDefault="008D3479">
      <w:pPr>
        <w:pStyle w:val="Normaltindrag"/>
        <w:ind w:firstLine="142"/>
      </w:pPr>
      <w:r w:rsidRPr="0049492A">
        <w:rPr>
          <w:i/>
        </w:rPr>
        <w:t>Statens sjöhistoriska museer</w:t>
      </w:r>
      <w:r w:rsidRPr="0049492A">
        <w:t xml:space="preserve"> anser att revisorernas förslag om god insyn i förvaltningen till största delen bör vara förenligt med marknadsliknande hyressättning. När det gäller driftkostnader är det dessutom en förutsättning för att myndigheter på ett aktivt sätt ska kunna styra sin miljöpåverkan, m</w:t>
      </w:r>
      <w:r w:rsidRPr="0049492A">
        <w:t>e</w:t>
      </w:r>
      <w:r w:rsidRPr="0049492A">
        <w:t xml:space="preserve">nar museet. </w:t>
      </w:r>
    </w:p>
    <w:p w:rsidR="008D3479" w:rsidRPr="0049492A" w:rsidRDefault="008D3479">
      <w:pPr>
        <w:pStyle w:val="Normaltindrag"/>
        <w:ind w:firstLine="142"/>
      </w:pPr>
      <w:r w:rsidRPr="0049492A">
        <w:rPr>
          <w:i/>
        </w:rPr>
        <w:t>Kungliga Tekniska Högskolan</w:t>
      </w:r>
      <w:r w:rsidRPr="0049492A">
        <w:t xml:space="preserve"> anser att hyran för ändamålsfastigheter ska beräknas på affärsmässiga grunder, dvs. baserat på kostnadstäckning för drift och underhåll samt med skälig avkastning på investerat kapital. Detta medför att Akademiska Hus måste vara berett att redovisa sina bokförda värden på fastighetsbeståndet, kapitalkostnader, kalkyler m.m. så att meningsfulla förhandlingar kan äga rum. </w:t>
      </w:r>
    </w:p>
    <w:p w:rsidR="008D3479" w:rsidRPr="0049492A" w:rsidRDefault="008D3479">
      <w:pPr>
        <w:pStyle w:val="Normaltindrag"/>
        <w:ind w:firstLine="142"/>
      </w:pPr>
      <w:r w:rsidRPr="0049492A">
        <w:rPr>
          <w:i/>
        </w:rPr>
        <w:t>Kriminalvårdsstyrelsen</w:t>
      </w:r>
      <w:r w:rsidRPr="0049492A">
        <w:t xml:space="preserve"> stöder revisorernas förslag avseende god insyn och öppen redovisning av olika hyresdelar.  </w:t>
      </w:r>
    </w:p>
    <w:p w:rsidR="008D3479" w:rsidRPr="0049492A" w:rsidRDefault="008D3479">
      <w:pPr>
        <w:pStyle w:val="Normaltindrag"/>
        <w:ind w:firstLine="142"/>
      </w:pPr>
    </w:p>
    <w:p w:rsidR="008D3479" w:rsidRPr="0049492A" w:rsidRDefault="008D3479">
      <w:pPr>
        <w:pStyle w:val="Rubrik2-Utannumrering"/>
      </w:pPr>
      <w:bookmarkStart w:id="1643" w:name="_Toc532725226"/>
      <w:r w:rsidRPr="0049492A">
        <w:t>Gemensamt upprättade förvaltningsplaner</w:t>
      </w:r>
      <w:bookmarkEnd w:id="1643"/>
    </w:p>
    <w:p w:rsidR="008D3479" w:rsidRPr="0049492A" w:rsidRDefault="008D3479">
      <w:pPr>
        <w:numPr>
          <w:ilvl w:val="0"/>
          <w:numId w:val="54"/>
        </w:numPr>
      </w:pPr>
      <w:r w:rsidRPr="0049492A">
        <w:t>Revisorerna föreslår i rapporten att regeringen bör klargöra att förval</w:t>
      </w:r>
      <w:r w:rsidRPr="0049492A">
        <w:t>t</w:t>
      </w:r>
      <w:r w:rsidRPr="0049492A">
        <w:t>ning</w:t>
      </w:r>
      <w:r w:rsidRPr="0049492A">
        <w:t>s</w:t>
      </w:r>
      <w:r w:rsidRPr="0049492A">
        <w:t>planer ska upprättas gemensamt av parterna.</w:t>
      </w:r>
    </w:p>
    <w:p w:rsidR="008D3479" w:rsidRPr="0049492A" w:rsidRDefault="008D3479">
      <w:pPr>
        <w:pStyle w:val="Normaltindrag"/>
      </w:pPr>
    </w:p>
    <w:p w:rsidR="008D3479" w:rsidRPr="0049492A" w:rsidRDefault="008D3479">
      <w:r w:rsidRPr="0049492A">
        <w:rPr>
          <w:i/>
        </w:rPr>
        <w:t>Statens fastighetsverk</w:t>
      </w:r>
      <w:r w:rsidRPr="0049492A">
        <w:t xml:space="preserve"> påpekar att byggnaders och anläggningars långsiktiga underhåll och drift ska genomföras oberoende av brukarens kortsiktiga ek</w:t>
      </w:r>
      <w:r w:rsidRPr="0049492A">
        <w:t>o</w:t>
      </w:r>
      <w:r w:rsidRPr="0049492A">
        <w:t>nomi och verksamhet. Verket betonar vidare att uppdelningen mellan brukande och förvaltande av fastigheterna ska vara tydlig och att Fastighet</w:t>
      </w:r>
      <w:r w:rsidRPr="0049492A">
        <w:t>s</w:t>
      </w:r>
      <w:r w:rsidRPr="0049492A">
        <w:t>verket och hyresgästerna ska vara professionella inom sina respektive ver</w:t>
      </w:r>
      <w:r w:rsidRPr="0049492A">
        <w:t>k</w:t>
      </w:r>
      <w:r w:rsidRPr="0049492A">
        <w:t>samh</w:t>
      </w:r>
      <w:r w:rsidRPr="0049492A">
        <w:t>e</w:t>
      </w:r>
      <w:r w:rsidRPr="0049492A">
        <w:t xml:space="preserve">ter. </w:t>
      </w:r>
    </w:p>
    <w:p w:rsidR="008D3479" w:rsidRPr="0049492A" w:rsidRDefault="008D3479">
      <w:pPr>
        <w:pStyle w:val="Normaltindrag"/>
      </w:pPr>
      <w:r w:rsidRPr="0049492A">
        <w:rPr>
          <w:i/>
        </w:rPr>
        <w:t>Fortifikationsverket</w:t>
      </w:r>
      <w:r w:rsidRPr="0049492A">
        <w:t xml:space="preserve"> instämmer inte helt i revisorernas förslag. Fortifik</w:t>
      </w:r>
      <w:r w:rsidRPr="0049492A">
        <w:t>a</w:t>
      </w:r>
      <w:r w:rsidRPr="0049492A">
        <w:t>tionsverket anser att förvaltningsplaner givetvis ska upprättas, men av fasti</w:t>
      </w:r>
      <w:r w:rsidRPr="0049492A">
        <w:t>g</w:t>
      </w:r>
      <w:r w:rsidRPr="0049492A">
        <w:t>hetsägaren efter samråd med hyresgästerna. Risken med partsgemensamma förvaltningsplaner är bl.a. att det planerade underhållet kommer att eftersä</w:t>
      </w:r>
      <w:r w:rsidRPr="0049492A">
        <w:t>t</w:t>
      </w:r>
      <w:r w:rsidRPr="0049492A">
        <w:t xml:space="preserve">tas för att frigöra medel för hyresgästen. Fortifikationsverket hävdar att det har hänt i deras fall, vilket verket anser beror på att Försvarsmakten haft ett alltför stort inflytande på underhållets omfattning. </w:t>
      </w:r>
    </w:p>
    <w:p w:rsidR="008D3479" w:rsidRPr="0049492A" w:rsidRDefault="008D3479">
      <w:pPr>
        <w:pStyle w:val="Normaltindrag"/>
      </w:pPr>
      <w:r w:rsidRPr="0049492A">
        <w:rPr>
          <w:i/>
        </w:rPr>
        <w:t>Akademiska Hus AB</w:t>
      </w:r>
      <w:r w:rsidRPr="0049492A">
        <w:t xml:space="preserve"> menar att de har ett omfattande samråd med sina h</w:t>
      </w:r>
      <w:r w:rsidRPr="0049492A">
        <w:t>y</w:t>
      </w:r>
      <w:r w:rsidRPr="0049492A">
        <w:t>resgäster om fastighetsunderhåll och påpekar att de har initierat utveckling</w:t>
      </w:r>
      <w:r w:rsidRPr="0049492A">
        <w:t>s</w:t>
      </w:r>
      <w:r w:rsidRPr="0049492A">
        <w:t>planer med riktlinjer för vissa förvaltningsfrågor för flertalet campusomr</w:t>
      </w:r>
      <w:r w:rsidRPr="0049492A">
        <w:t>å</w:t>
      </w:r>
      <w:r w:rsidRPr="0049492A">
        <w:t>den. De</w:t>
      </w:r>
      <w:r w:rsidRPr="0049492A">
        <w:t>s</w:t>
      </w:r>
      <w:r w:rsidRPr="0049492A">
        <w:t xml:space="preserve">sa planer upprättas tillsammans med hyresgästerna. </w:t>
      </w:r>
    </w:p>
    <w:p w:rsidR="008D3479" w:rsidRPr="0049492A" w:rsidRDefault="008D3479">
      <w:pPr>
        <w:pStyle w:val="Normaltindrag"/>
      </w:pPr>
      <w:r w:rsidRPr="0049492A">
        <w:rPr>
          <w:i/>
        </w:rPr>
        <w:t>Naturhistoriska riksmuseet</w:t>
      </w:r>
      <w:r w:rsidRPr="0049492A">
        <w:t xml:space="preserve"> instämmer i revisorernas förslag. </w:t>
      </w:r>
    </w:p>
    <w:p w:rsidR="008D3479" w:rsidRPr="0049492A" w:rsidRDefault="008D3479">
      <w:pPr>
        <w:pStyle w:val="Normaltindrag"/>
      </w:pPr>
      <w:r w:rsidRPr="0049492A">
        <w:rPr>
          <w:i/>
        </w:rPr>
        <w:t>Statens sjöhistoriska museer</w:t>
      </w:r>
      <w:r w:rsidRPr="0049492A">
        <w:t xml:space="preserve"> stöder förslaget och påpekar att det är före</w:t>
      </w:r>
      <w:r w:rsidRPr="0049492A">
        <w:t>n</w:t>
      </w:r>
      <w:r w:rsidRPr="0049492A">
        <w:t>ligt med marknadsliknande hyressättning. Delaktighet i underhållsplanering ska regleras i hyreskontrakten i likhet med omfattningen av servicenivå, menar Statens sjöhistoriska museer. Större möjligheter för myndigheterna att förhandla om drift och underhåll ger möjligheter till bra och flexibel ver</w:t>
      </w:r>
      <w:r w:rsidRPr="0049492A">
        <w:t>k</w:t>
      </w:r>
      <w:r w:rsidRPr="0049492A">
        <w:t>samhetsanpassning, vilket bör kunna vara mycket kostnadseffektivt.</w:t>
      </w:r>
    </w:p>
    <w:p w:rsidR="008D3479" w:rsidRPr="0049492A" w:rsidRDefault="008D3479">
      <w:pPr>
        <w:pStyle w:val="Normaltindrag"/>
      </w:pPr>
      <w:r w:rsidRPr="0049492A">
        <w:rPr>
          <w:i/>
        </w:rPr>
        <w:t>Statens institutionsstyrelse</w:t>
      </w:r>
      <w:r w:rsidRPr="0049492A">
        <w:t xml:space="preserve"> anser att verksamhetsintresset borde gå före i</w:t>
      </w:r>
      <w:r w:rsidRPr="0049492A">
        <w:t>n</w:t>
      </w:r>
      <w:r w:rsidRPr="0049492A">
        <w:t xml:space="preserve">tresset av att bevara fastighetens förmögenhetsvärde i större utsträckning än vad det gör i dag. SiS påpekar dock att Specialfastigheter Sverige AB strävar efter att tillgodose SiS önskemål och att parterna arbetar på att ta fram ett gemensamt dokument om det framtida samarbetet. </w:t>
      </w:r>
    </w:p>
    <w:p w:rsidR="008D3479" w:rsidRPr="0049492A" w:rsidRDefault="008D3479">
      <w:pPr>
        <w:pStyle w:val="Normaltindrag"/>
      </w:pPr>
      <w:r w:rsidRPr="0049492A">
        <w:rPr>
          <w:i/>
        </w:rPr>
        <w:t>Kriminalvårdsstyrelsen</w:t>
      </w:r>
      <w:r w:rsidRPr="0049492A">
        <w:t xml:space="preserve"> instämmer i förslaget och anser att regeringen i förordning, regleringsbrev och ägardirektiv klart bör ange att förvaltning</w:t>
      </w:r>
      <w:r w:rsidRPr="0049492A">
        <w:t>s</w:t>
      </w:r>
      <w:r w:rsidRPr="0049492A">
        <w:t>planer för fastigheterna ska upprättas gemensamt av parterna. Därvid un</w:t>
      </w:r>
      <w:r w:rsidRPr="0049492A">
        <w:t>d</w:t>
      </w:r>
      <w:r w:rsidRPr="0049492A">
        <w:t xml:space="preserve">viks eventuella oklarheter rörande former för handläggningen och samrådet vid upprättandet av dessa planer. </w:t>
      </w:r>
    </w:p>
    <w:p w:rsidR="008D3479" w:rsidRPr="0049492A" w:rsidRDefault="008D3479">
      <w:pPr>
        <w:pStyle w:val="Rubrik2-Utannumrering"/>
      </w:pPr>
      <w:bookmarkStart w:id="1644" w:name="_Toc532725227"/>
      <w:r w:rsidRPr="0049492A">
        <w:t>Effektiviseringar i myndigheters lokalutnyttjande</w:t>
      </w:r>
      <w:bookmarkEnd w:id="1644"/>
    </w:p>
    <w:p w:rsidR="008D3479" w:rsidRPr="0049492A" w:rsidRDefault="008D3479">
      <w:pPr>
        <w:numPr>
          <w:ilvl w:val="0"/>
          <w:numId w:val="55"/>
        </w:numPr>
      </w:pPr>
      <w:r w:rsidRPr="0049492A">
        <w:t>Revisorerna föreslår i rapporten att regeringen i budgetprocessen bea</w:t>
      </w:r>
      <w:r w:rsidRPr="0049492A">
        <w:t>k</w:t>
      </w:r>
      <w:r w:rsidRPr="0049492A">
        <w:t xml:space="preserve">tar möjligheter till effektiviseringar i myndigheters lokalutnyttjande. </w:t>
      </w:r>
    </w:p>
    <w:p w:rsidR="008D3479" w:rsidRPr="0049492A" w:rsidRDefault="008D3479">
      <w:pPr>
        <w:pStyle w:val="Normaltindrag"/>
      </w:pPr>
    </w:p>
    <w:p w:rsidR="008D3479" w:rsidRPr="0049492A" w:rsidRDefault="008D3479">
      <w:r w:rsidRPr="0049492A">
        <w:rPr>
          <w:i/>
        </w:rPr>
        <w:t xml:space="preserve">Statskontoret </w:t>
      </w:r>
      <w:r w:rsidRPr="0049492A">
        <w:t>instämmer i att det kan vara motiverat att i budgetdialogen ta upp och beakta lokaleffektiviteten hos myndigheterna. Det måste dock ske på ett sådant sätt att det står i överensstämmelse med den grundläggande regeln att myndigheterna själva ska kunna göra avvägningar mellan olika produ</w:t>
      </w:r>
      <w:r w:rsidRPr="0049492A">
        <w:t>k</w:t>
      </w:r>
      <w:r w:rsidRPr="0049492A">
        <w:t>tionsresurser inom den ram de har tilldelats. Statskontoret har, som framgår av revisorernas rapport, tidigare redov</w:t>
      </w:r>
      <w:r w:rsidRPr="0049492A">
        <w:t>i</w:t>
      </w:r>
      <w:r w:rsidRPr="0049492A">
        <w:t xml:space="preserve">sat ett motsvarande förslag. </w:t>
      </w:r>
    </w:p>
    <w:p w:rsidR="008D3479" w:rsidRPr="0049492A" w:rsidRDefault="008D3479">
      <w:pPr>
        <w:pStyle w:val="Normaltindrag"/>
      </w:pPr>
      <w:r w:rsidRPr="0049492A">
        <w:rPr>
          <w:i/>
        </w:rPr>
        <w:t xml:space="preserve">Fortifikationsverket </w:t>
      </w:r>
      <w:r w:rsidRPr="0049492A">
        <w:t>tillstyrker förslaget och anser att det är angeläget. E</w:t>
      </w:r>
      <w:r w:rsidRPr="0049492A">
        <w:t>n</w:t>
      </w:r>
      <w:r w:rsidRPr="0049492A">
        <w:t>ligt Fortifikationsverkets uppfattning kan det finnas stora besparingsmöjli</w:t>
      </w:r>
      <w:r w:rsidRPr="0049492A">
        <w:t>g</w:t>
      </w:r>
      <w:r w:rsidRPr="0049492A">
        <w:t>heter i en mer effektiv lokalplaneringsprocess och ett bättre lokalutnyttjande. Det är viktigt att också skapa incitament för återhållsamhet med mark, lok</w:t>
      </w:r>
      <w:r w:rsidRPr="0049492A">
        <w:t>a</w:t>
      </w:r>
      <w:r w:rsidRPr="0049492A">
        <w:t>ler och medieförbrukning, anser Fortifikationsverket. Ett av målen med reformen av fastighetsförvaltning och lokalförsörjning var en effektiv loka</w:t>
      </w:r>
      <w:r w:rsidRPr="0049492A">
        <w:t>l</w:t>
      </w:r>
      <w:r w:rsidRPr="0049492A">
        <w:t>försörjning, men därefter har en tämligen ensidig fokusering skett på förval</w:t>
      </w:r>
      <w:r w:rsidRPr="0049492A">
        <w:t>t</w:t>
      </w:r>
      <w:r w:rsidRPr="0049492A">
        <w:t>n</w:t>
      </w:r>
      <w:r w:rsidRPr="0049492A">
        <w:t xml:space="preserve">ingen, menar Fortifikationsverket. </w:t>
      </w:r>
    </w:p>
    <w:p w:rsidR="008D3479" w:rsidRPr="0049492A" w:rsidRDefault="008D3479">
      <w:pPr>
        <w:pStyle w:val="Normaltindrag"/>
      </w:pPr>
      <w:r w:rsidRPr="0049492A">
        <w:rPr>
          <w:i/>
        </w:rPr>
        <w:t>Statens sjöhistoriska museer</w:t>
      </w:r>
      <w:r w:rsidRPr="0049492A">
        <w:t xml:space="preserve"> anser att bättre resursanvändning ligger i myndighetens eget intresse. Man måste dock beakta att vissa verksamheter, t.ex. museer, i sitt uppdrag har en inbyggd expansion i och med samlingarnas accession. </w:t>
      </w:r>
    </w:p>
    <w:p w:rsidR="008D3479" w:rsidRPr="0049492A" w:rsidRDefault="008D3479">
      <w:pPr>
        <w:pStyle w:val="Normaltindrag"/>
      </w:pPr>
      <w:r w:rsidRPr="0049492A">
        <w:rPr>
          <w:i/>
        </w:rPr>
        <w:t>Kriminalvårdsstyrelsen</w:t>
      </w:r>
      <w:r w:rsidRPr="0049492A">
        <w:t xml:space="preserve"> delar revisorernas uppfattning. </w:t>
      </w:r>
    </w:p>
    <w:p w:rsidR="008D3479" w:rsidRPr="0049492A" w:rsidRDefault="008D3479">
      <w:pPr>
        <w:pStyle w:val="Rubrik2-Utannumrering"/>
      </w:pPr>
      <w:bookmarkStart w:id="1645" w:name="_Toc532725228"/>
      <w:r w:rsidRPr="0049492A">
        <w:t>Ett statligt expertorgan för samråd kring hyressättning</w:t>
      </w:r>
      <w:bookmarkEnd w:id="1645"/>
    </w:p>
    <w:p w:rsidR="008D3479" w:rsidRPr="0049492A" w:rsidRDefault="008D3479">
      <w:pPr>
        <w:numPr>
          <w:ilvl w:val="0"/>
          <w:numId w:val="56"/>
        </w:numPr>
      </w:pPr>
      <w:r w:rsidRPr="0049492A">
        <w:t>Revisorerna föreslår i rapporten att hyresgäster och förvaltare i änd</w:t>
      </w:r>
      <w:r w:rsidRPr="0049492A">
        <w:t>a</w:t>
      </w:r>
      <w:r w:rsidRPr="0049492A">
        <w:t>målsfastigheter bör ha möjlighet att samråda kring vilken hyressättning som ska gälla med ett statligt expertorgan, i de fall parterna inte når en överensko</w:t>
      </w:r>
      <w:r w:rsidRPr="0049492A">
        <w:t>m</w:t>
      </w:r>
      <w:r w:rsidRPr="0049492A">
        <w:t xml:space="preserve">melse genom förhandlingar. </w:t>
      </w:r>
    </w:p>
    <w:p w:rsidR="008D3479" w:rsidRPr="0049492A" w:rsidRDefault="008D3479">
      <w:pPr>
        <w:pStyle w:val="Normaltindrag"/>
      </w:pPr>
    </w:p>
    <w:p w:rsidR="008D3479" w:rsidRPr="0049492A" w:rsidRDefault="008D3479">
      <w:r w:rsidRPr="0049492A">
        <w:rPr>
          <w:i/>
        </w:rPr>
        <w:t>Statskontoret</w:t>
      </w:r>
      <w:r w:rsidRPr="0049492A">
        <w:t xml:space="preserve"> är tveksamt till om ett expertorgan av det föreslagna slaget kan lösa det problem som det förutsätts göra. Statskontoret ser revisorernas fö</w:t>
      </w:r>
      <w:r w:rsidRPr="0049492A">
        <w:t>r</w:t>
      </w:r>
      <w:r w:rsidRPr="0049492A">
        <w:t>slag som att en särskild hyresnämnd inrättas för ändamålet. För statlig fasti</w:t>
      </w:r>
      <w:r w:rsidRPr="0049492A">
        <w:t>g</w:t>
      </w:r>
      <w:r w:rsidRPr="0049492A">
        <w:t>hetsförvaltning som sker i aktiebolagsform finns denna möjlighet redan tillgänglig. Även hyreslagstiftningen i övrigt gäller när fastighetsförvaltaren har denna juridiska form. Att utnyttja det föreslagna expertorganet blir därför främst aktuellt när den statliga fastighetsförvaltningen sker</w:t>
      </w:r>
      <w:r w:rsidRPr="0049492A">
        <w:t xml:space="preserve"> i myndighet</w:t>
      </w:r>
      <w:r w:rsidRPr="0049492A">
        <w:t>s</w:t>
      </w:r>
      <w:r w:rsidRPr="0049492A">
        <w:t xml:space="preserve">form. </w:t>
      </w:r>
    </w:p>
    <w:p w:rsidR="008D3479" w:rsidRPr="0049492A" w:rsidRDefault="008D3479">
      <w:pPr>
        <w:pStyle w:val="Normaltindrag"/>
      </w:pPr>
      <w:r w:rsidRPr="0049492A">
        <w:t>Expertorganet ska enbart kunna utnyttjas för samråd. Att ge det en b</w:t>
      </w:r>
      <w:r w:rsidRPr="0049492A">
        <w:t>e</w:t>
      </w:r>
      <w:r w:rsidRPr="0049492A">
        <w:t>slutande funktion är knappast tänkbart, menar Statskontoret, och olösta fr</w:t>
      </w:r>
      <w:r w:rsidRPr="0049492A">
        <w:t>å</w:t>
      </w:r>
      <w:r w:rsidRPr="0049492A">
        <w:t>gor kommer därför att behöva gå vidare till regeringen. Eftersom det, som revisorerna påpekar, också kan bli fråga om en omvärdering av fastigheterna vid ändring av hyressättningsprincip kan regeringen även av det skälet beh</w:t>
      </w:r>
      <w:r w:rsidRPr="0049492A">
        <w:t>ö</w:t>
      </w:r>
      <w:r w:rsidRPr="0049492A">
        <w:t>va fatta beslut för att en ändring av hyressättningen ska kunna ske. Också det begränsade antalet tvister som kan förmodas komma att uppstå gör att Stat</w:t>
      </w:r>
      <w:r w:rsidRPr="0049492A">
        <w:t>s</w:t>
      </w:r>
      <w:r w:rsidRPr="0049492A">
        <w:t>kontoret ställer sig tveksamt till att ett särskilt expert</w:t>
      </w:r>
      <w:r w:rsidRPr="0049492A">
        <w:t>organ inrättas. Stat</w:t>
      </w:r>
      <w:r w:rsidRPr="0049492A">
        <w:t>s</w:t>
      </w:r>
      <w:r w:rsidRPr="0049492A">
        <w:t xml:space="preserve">kontoret anser att det bör noteras att det redan med den nuvarande ordningen är möjligt att hänföra en tvist i en hyresfråga mellan två statliga myndigheter till regeringen för avgörande. </w:t>
      </w:r>
    </w:p>
    <w:p w:rsidR="008D3479" w:rsidRPr="0049492A" w:rsidRDefault="008D3479">
      <w:pPr>
        <w:pStyle w:val="Normaltindrag"/>
      </w:pPr>
      <w:r w:rsidRPr="0049492A">
        <w:rPr>
          <w:i/>
        </w:rPr>
        <w:t>Fortifikationsverket</w:t>
      </w:r>
      <w:r w:rsidRPr="0049492A">
        <w:t xml:space="preserve"> tillstyrker förslaget om inrättande av ett statligt e</w:t>
      </w:r>
      <w:r w:rsidRPr="0049492A">
        <w:t>x</w:t>
      </w:r>
      <w:r w:rsidRPr="0049492A">
        <w:t>pertorgan med uppgift att medla i frågor om hyressättning. Expertorganet bör enligt Fortifikationsverkets uppfattning ha ett vidare och tyngre mandat än det föreslagna och fungera som en hyresnämnd med rätt att avdöma ärenden. En sådan ordning skulle vara till hjälp vid meningsskiljaktigheter och skulle dessutom bidra till att implementera reformen. Fortifikationsverket menar att alla hyresgäster inte är förtrogna med reformens innebörd och syften, trot</w:t>
      </w:r>
      <w:r w:rsidRPr="0049492A">
        <w:t xml:space="preserve">s att flera år gått sedan den genomfördes. </w:t>
      </w:r>
    </w:p>
    <w:p w:rsidR="008D3479" w:rsidRPr="0049492A" w:rsidRDefault="008D3479">
      <w:pPr>
        <w:pStyle w:val="Normaltindrag"/>
      </w:pPr>
      <w:r w:rsidRPr="0049492A">
        <w:rPr>
          <w:i/>
        </w:rPr>
        <w:t>Akademiska Hus AB</w:t>
      </w:r>
      <w:r w:rsidRPr="0049492A">
        <w:t xml:space="preserve"> ställer sig mycket frågande till revisorernas förslag om inrättandet av ett statligt expertorgan för samråd om hyresmodell. Bol</w:t>
      </w:r>
      <w:r w:rsidRPr="0049492A">
        <w:t>a</w:t>
      </w:r>
      <w:r w:rsidRPr="0049492A">
        <w:t xml:space="preserve">get menar att om statsmakternas riktlinjer för förvaltare och myndigheter behöver förtydligas bör detta ske utan inrättande av ett expertorgan. För marknadsanpassade hyror fyller hyresnämnderna uppgiften som medlare m.m. För olika metoder att tillämpa kostnadsbaserade hyror ser Akademiska Hus inget behov av ett expertorgan. </w:t>
      </w:r>
    </w:p>
    <w:p w:rsidR="008D3479" w:rsidRPr="0049492A" w:rsidRDefault="008D3479">
      <w:pPr>
        <w:pStyle w:val="Normaltindrag"/>
      </w:pPr>
      <w:r w:rsidRPr="0049492A">
        <w:rPr>
          <w:i/>
        </w:rPr>
        <w:t xml:space="preserve">Kungliga Tekniska Högskolan </w:t>
      </w:r>
      <w:r w:rsidRPr="0049492A">
        <w:t>stöder förslaget. Högskolan</w:t>
      </w:r>
      <w:r w:rsidRPr="0049492A">
        <w:rPr>
          <w:i/>
        </w:rPr>
        <w:t xml:space="preserve"> </w:t>
      </w:r>
      <w:r w:rsidRPr="0049492A">
        <w:t>anser att se</w:t>
      </w:r>
      <w:r w:rsidRPr="0049492A">
        <w:t>d</w:t>
      </w:r>
      <w:r w:rsidRPr="0049492A">
        <w:t>vanlig medling inför hyresnämnd inte är ett meningsfullt instrument att handlägga eventuella konflikter beträffande hyressättningen. När det gäller ändamålsfastigheter kan inte heller sedvanliga regler om avflyttning vinna ti</w:t>
      </w:r>
      <w:r w:rsidRPr="0049492A">
        <w:t>l</w:t>
      </w:r>
      <w:r w:rsidRPr="0049492A">
        <w:t xml:space="preserve">lämpning för de fall parterna inte kan enas om hyressättningen. </w:t>
      </w:r>
    </w:p>
    <w:p w:rsidR="008D3479" w:rsidRPr="0049492A" w:rsidRDefault="008D3479">
      <w:pPr>
        <w:pStyle w:val="Normaltindrag"/>
      </w:pPr>
      <w:r w:rsidRPr="0049492A">
        <w:rPr>
          <w:i/>
        </w:rPr>
        <w:t>Chalmers tekniska högskola AB</w:t>
      </w:r>
      <w:r w:rsidRPr="0049492A">
        <w:t xml:space="preserve"> stöder förslaget att det bör bildas ett sta</w:t>
      </w:r>
      <w:r w:rsidRPr="0049492A">
        <w:t>t</w:t>
      </w:r>
      <w:r w:rsidRPr="0049492A">
        <w:t>ligt expertorgan som kan lösa tvister beträffande gränsdragningen samt fr</w:t>
      </w:r>
      <w:r w:rsidRPr="0049492A">
        <w:t>å</w:t>
      </w:r>
      <w:r w:rsidRPr="0049492A">
        <w:t>gor om tillämpliga principer för hyressättningen. Chalmers har tidigare b</w:t>
      </w:r>
      <w:r w:rsidRPr="0049492A">
        <w:t>e</w:t>
      </w:r>
      <w:r w:rsidRPr="0049492A">
        <w:t>gärt medling i hyresnämnden då högskolan och Akademiska Hus var helt oeniga i frågan huruvida beståndet av äldre byggnader på campus utgjorde ändamålsfastigheter eller inte. Hyresnämnden har ingen möjlighet att pröva frågan om ändamålsfastigheter. Under förhandlingen i hyresnämnden fra</w:t>
      </w:r>
      <w:r w:rsidRPr="0049492A">
        <w:t>m</w:t>
      </w:r>
      <w:r w:rsidRPr="0049492A">
        <w:t>kom att faktiskt underlag saknad</w:t>
      </w:r>
      <w:r w:rsidRPr="0049492A">
        <w:t>es för att kunna göra en bedömning av marknadshyra för lokaler som ska användas för undervisnings- och fors</w:t>
      </w:r>
      <w:r w:rsidRPr="0049492A">
        <w:t>k</w:t>
      </w:r>
      <w:r w:rsidRPr="0049492A">
        <w:t>ningsändamål. En bedömning skulle närmast komma att ske baserat på cen</w:t>
      </w:r>
      <w:r w:rsidRPr="0049492A">
        <w:t>t</w:t>
      </w:r>
      <w:r w:rsidRPr="0049492A">
        <w:t>ralt belägna kommersiella fastigheter i Göteborg, vilket enligt Chalmers inte är den marknad som ska ligga till grund för hyressättningen. I tvisten mellan Chalmers och Akademiska Hus finns inget organ som kan pröva hyressät</w:t>
      </w:r>
      <w:r w:rsidRPr="0049492A">
        <w:t>t</w:t>
      </w:r>
      <w:r w:rsidRPr="0049492A">
        <w:t>ningen och principerna härför. Chalmers konstaterar att det inte finns möjli</w:t>
      </w:r>
      <w:r w:rsidRPr="0049492A">
        <w:t>g</w:t>
      </w:r>
      <w:r w:rsidRPr="0049492A">
        <w:t>heter till lösning av tvisten p</w:t>
      </w:r>
      <w:r w:rsidRPr="0049492A">
        <w:t xml:space="preserve">å det sätt hyreslagen förutsätter. </w:t>
      </w:r>
    </w:p>
    <w:p w:rsidR="008D3479" w:rsidRPr="0049492A" w:rsidRDefault="008D3479">
      <w:pPr>
        <w:pStyle w:val="Normaltindrag"/>
      </w:pPr>
      <w:r w:rsidRPr="0049492A">
        <w:rPr>
          <w:i/>
        </w:rPr>
        <w:t>Kriminalvårdsstyrelsen</w:t>
      </w:r>
      <w:r w:rsidRPr="0049492A">
        <w:t xml:space="preserve"> delar revisorernas uppfattning avseende betydelsen av att ha tillgång till ett opartiskt medlingsorgan, men ställer sig samtidigt frågande till de nuvarande hyresnämndernas framtida roll i en sådan organ</w:t>
      </w:r>
      <w:r w:rsidRPr="0049492A">
        <w:t>i</w:t>
      </w:r>
      <w:r w:rsidRPr="0049492A">
        <w:t xml:space="preserve">satorisk modell. </w:t>
      </w:r>
    </w:p>
    <w:p w:rsidR="008D3479" w:rsidRPr="0049492A" w:rsidRDefault="008D3479">
      <w:pPr>
        <w:pStyle w:val="Normaltindrag"/>
        <w:sectPr w:rsidR="00000000" w:rsidRPr="0049492A">
          <w:headerReference w:type="default" r:id="rId26"/>
          <w:footerReference w:type="default" r:id="rId27"/>
          <w:pgSz w:w="11906" w:h="16838" w:code="9"/>
          <w:pgMar w:top="567" w:right="4876" w:bottom="4508" w:left="1134" w:header="227" w:footer="227" w:gutter="0"/>
          <w:cols w:space="720"/>
        </w:sectPr>
      </w:pPr>
    </w:p>
    <w:p w:rsidR="008D3479" w:rsidRPr="0049492A" w:rsidRDefault="008D3479">
      <w:pPr>
        <w:pStyle w:val="Normaltindrag"/>
      </w:pPr>
    </w:p>
    <w:p w:rsidR="008D3479" w:rsidRPr="0049492A" w:rsidRDefault="008D3479">
      <w:pPr>
        <w:pStyle w:val="Innehll"/>
        <w:outlineLvl w:val="1"/>
      </w:pPr>
      <w:r w:rsidRPr="0049492A">
        <w:t>Innehållsförteckning</w:t>
      </w:r>
    </w:p>
    <w:p w:rsidR="008D3479" w:rsidRPr="0049492A" w:rsidRDefault="008D3479">
      <w:pPr>
        <w:pStyle w:val="Innehll1"/>
        <w:rPr>
          <w:noProof w:val="0"/>
        </w:rPr>
      </w:pPr>
      <w:r w:rsidRPr="0049492A">
        <w:rPr>
          <w:noProof w:val="0"/>
        </w:rPr>
        <w:t>1</w:t>
      </w:r>
      <w:r w:rsidRPr="0049492A">
        <w:rPr>
          <w:noProof w:val="0"/>
        </w:rPr>
        <w:tab/>
        <w:t>Revisorernas granskning</w:t>
      </w:r>
      <w:r w:rsidRPr="0049492A">
        <w:rPr>
          <w:noProof w:val="0"/>
        </w:rPr>
        <w:tab/>
        <w:t>1</w:t>
      </w:r>
    </w:p>
    <w:p w:rsidR="008D3479" w:rsidRPr="0049492A" w:rsidRDefault="008D3479">
      <w:pPr>
        <w:pStyle w:val="Innehll2"/>
        <w:rPr>
          <w:noProof w:val="0"/>
        </w:rPr>
      </w:pPr>
      <w:r w:rsidRPr="0049492A">
        <w:rPr>
          <w:noProof w:val="0"/>
        </w:rPr>
        <w:t>1.1</w:t>
      </w:r>
      <w:r w:rsidRPr="0049492A">
        <w:rPr>
          <w:noProof w:val="0"/>
        </w:rPr>
        <w:tab/>
        <w:t>Sammanfattning av rapporten</w:t>
      </w:r>
      <w:r w:rsidRPr="0049492A">
        <w:rPr>
          <w:noProof w:val="0"/>
        </w:rPr>
        <w:tab/>
        <w:t>1</w:t>
      </w:r>
    </w:p>
    <w:p w:rsidR="008D3479" w:rsidRPr="0049492A" w:rsidRDefault="008D3479">
      <w:pPr>
        <w:pStyle w:val="Innehll1"/>
        <w:rPr>
          <w:noProof w:val="0"/>
        </w:rPr>
      </w:pPr>
      <w:r w:rsidRPr="0049492A">
        <w:rPr>
          <w:noProof w:val="0"/>
        </w:rPr>
        <w:t>2</w:t>
      </w:r>
      <w:r w:rsidRPr="0049492A">
        <w:rPr>
          <w:noProof w:val="0"/>
        </w:rPr>
        <w:tab/>
        <w:t>Revisorernas överväganden</w:t>
      </w:r>
      <w:r w:rsidRPr="0049492A">
        <w:rPr>
          <w:noProof w:val="0"/>
        </w:rPr>
        <w:tab/>
        <w:t>4</w:t>
      </w:r>
    </w:p>
    <w:p w:rsidR="008D3479" w:rsidRPr="0049492A" w:rsidRDefault="008D3479">
      <w:pPr>
        <w:pStyle w:val="Innehll2"/>
        <w:rPr>
          <w:noProof w:val="0"/>
        </w:rPr>
      </w:pPr>
      <w:r w:rsidRPr="0049492A">
        <w:rPr>
          <w:noProof w:val="0"/>
        </w:rPr>
        <w:t>2.1</w:t>
      </w:r>
      <w:r w:rsidRPr="0049492A">
        <w:rPr>
          <w:noProof w:val="0"/>
        </w:rPr>
        <w:tab/>
        <w:t>Självkostnad när hyresgästen har begränsade alternativ</w:t>
      </w:r>
      <w:r w:rsidRPr="0049492A">
        <w:rPr>
          <w:noProof w:val="0"/>
        </w:rPr>
        <w:tab/>
        <w:t>4</w:t>
      </w:r>
    </w:p>
    <w:p w:rsidR="008D3479" w:rsidRPr="0049492A" w:rsidRDefault="008D3479">
      <w:pPr>
        <w:pStyle w:val="Innehll2"/>
        <w:rPr>
          <w:noProof w:val="0"/>
        </w:rPr>
      </w:pPr>
      <w:r w:rsidRPr="0049492A">
        <w:rPr>
          <w:noProof w:val="0"/>
        </w:rPr>
        <w:t>2.2</w:t>
      </w:r>
      <w:r w:rsidRPr="0049492A">
        <w:rPr>
          <w:noProof w:val="0"/>
        </w:rPr>
        <w:tab/>
        <w:t>God insyn i förvaltningen och redovisning av förvaltningskostnader</w:t>
      </w:r>
      <w:r w:rsidRPr="0049492A">
        <w:rPr>
          <w:noProof w:val="0"/>
        </w:rPr>
        <w:tab/>
        <w:t>6</w:t>
      </w:r>
    </w:p>
    <w:p w:rsidR="008D3479" w:rsidRPr="0049492A" w:rsidRDefault="008D3479">
      <w:pPr>
        <w:pStyle w:val="Innehll2"/>
        <w:rPr>
          <w:noProof w:val="0"/>
        </w:rPr>
      </w:pPr>
      <w:r w:rsidRPr="0049492A">
        <w:rPr>
          <w:noProof w:val="0"/>
        </w:rPr>
        <w:t>2.3</w:t>
      </w:r>
      <w:r w:rsidRPr="0049492A">
        <w:rPr>
          <w:noProof w:val="0"/>
        </w:rPr>
        <w:tab/>
        <w:t>Gemensamt upprättade förvaltningsplaner</w:t>
      </w:r>
      <w:r w:rsidRPr="0049492A">
        <w:rPr>
          <w:noProof w:val="0"/>
        </w:rPr>
        <w:tab/>
        <w:t>7</w:t>
      </w:r>
    </w:p>
    <w:p w:rsidR="008D3479" w:rsidRPr="0049492A" w:rsidRDefault="008D3479">
      <w:pPr>
        <w:pStyle w:val="Innehll2"/>
        <w:rPr>
          <w:noProof w:val="0"/>
        </w:rPr>
      </w:pPr>
      <w:r w:rsidRPr="0049492A">
        <w:rPr>
          <w:noProof w:val="0"/>
        </w:rPr>
        <w:t>2.4</w:t>
      </w:r>
      <w:r w:rsidRPr="0049492A">
        <w:rPr>
          <w:noProof w:val="0"/>
        </w:rPr>
        <w:tab/>
        <w:t>Effektiviseringar i myndigheters lokalutnyttjande</w:t>
      </w:r>
      <w:r w:rsidRPr="0049492A">
        <w:rPr>
          <w:noProof w:val="0"/>
        </w:rPr>
        <w:tab/>
        <w:t>8</w:t>
      </w:r>
    </w:p>
    <w:p w:rsidR="008D3479" w:rsidRPr="0049492A" w:rsidRDefault="008D3479">
      <w:pPr>
        <w:pStyle w:val="Innehll2"/>
        <w:rPr>
          <w:noProof w:val="0"/>
        </w:rPr>
      </w:pPr>
      <w:r w:rsidRPr="0049492A">
        <w:rPr>
          <w:noProof w:val="0"/>
        </w:rPr>
        <w:t>2.5</w:t>
      </w:r>
      <w:r w:rsidRPr="0049492A">
        <w:rPr>
          <w:noProof w:val="0"/>
        </w:rPr>
        <w:tab/>
        <w:t>Ett statligt expertorgan för samråd om hyressättning</w:t>
      </w:r>
      <w:r w:rsidRPr="0049492A">
        <w:rPr>
          <w:noProof w:val="0"/>
        </w:rPr>
        <w:tab/>
        <w:t>9</w:t>
      </w:r>
    </w:p>
    <w:p w:rsidR="008D3479" w:rsidRPr="0049492A" w:rsidRDefault="008D3479">
      <w:pPr>
        <w:pStyle w:val="Innehll1"/>
        <w:rPr>
          <w:noProof w:val="0"/>
        </w:rPr>
      </w:pPr>
      <w:r w:rsidRPr="0049492A">
        <w:rPr>
          <w:noProof w:val="0"/>
        </w:rPr>
        <w:t>3</w:t>
      </w:r>
      <w:r w:rsidRPr="0049492A">
        <w:rPr>
          <w:noProof w:val="0"/>
        </w:rPr>
        <w:tab/>
        <w:t>Revisorernas förslag</w:t>
      </w:r>
      <w:r w:rsidRPr="0049492A">
        <w:rPr>
          <w:noProof w:val="0"/>
        </w:rPr>
        <w:tab/>
        <w:t>11</w:t>
      </w:r>
    </w:p>
    <w:p w:rsidR="008D3479" w:rsidRPr="0049492A" w:rsidRDefault="008D3479">
      <w:pPr>
        <w:pStyle w:val="Innehll1"/>
        <w:rPr>
          <w:noProof w:val="0"/>
        </w:rPr>
      </w:pPr>
    </w:p>
    <w:p w:rsidR="008D3479" w:rsidRPr="0049492A" w:rsidRDefault="008D3479">
      <w:pPr>
        <w:pStyle w:val="Innehll1"/>
        <w:rPr>
          <w:i/>
          <w:noProof w:val="0"/>
        </w:rPr>
      </w:pPr>
      <w:r w:rsidRPr="0049492A">
        <w:rPr>
          <w:i/>
          <w:noProof w:val="0"/>
        </w:rPr>
        <w:t>Bilaga 1</w:t>
      </w:r>
    </w:p>
    <w:p w:rsidR="008D3479" w:rsidRPr="0049492A" w:rsidRDefault="008D3479">
      <w:pPr>
        <w:pStyle w:val="Innehll1"/>
        <w:rPr>
          <w:noProof w:val="0"/>
        </w:rPr>
      </w:pPr>
      <w:r w:rsidRPr="0049492A">
        <w:rPr>
          <w:noProof w:val="0"/>
        </w:rPr>
        <w:t>Rapport 2001/02:2 Statens ändamålsfastigheter – hyressättning och</w:t>
      </w:r>
    </w:p>
    <w:p w:rsidR="008D3479" w:rsidRPr="0049492A" w:rsidRDefault="008D3479">
      <w:pPr>
        <w:pStyle w:val="Innehll1"/>
        <w:rPr>
          <w:noProof w:val="0"/>
        </w:rPr>
      </w:pPr>
      <w:r w:rsidRPr="0049492A">
        <w:rPr>
          <w:noProof w:val="0"/>
        </w:rPr>
        <w:t>förvaltning</w:t>
      </w:r>
      <w:r w:rsidRPr="0049492A">
        <w:rPr>
          <w:noProof w:val="0"/>
        </w:rPr>
        <w:tab/>
        <w:t>13</w:t>
      </w:r>
    </w:p>
    <w:p w:rsidR="008D3479" w:rsidRPr="0049492A" w:rsidRDefault="008D3479">
      <w:pPr>
        <w:pStyle w:val="Innehll1"/>
        <w:rPr>
          <w:noProof w:val="0"/>
        </w:rPr>
      </w:pPr>
      <w:r w:rsidRPr="0049492A">
        <w:rPr>
          <w:noProof w:val="0"/>
        </w:rPr>
        <w:t>Förord</w:t>
      </w:r>
      <w:r w:rsidRPr="0049492A">
        <w:rPr>
          <w:noProof w:val="0"/>
        </w:rPr>
        <w:tab/>
      </w:r>
      <w:bookmarkStart w:id="1647" w:name="_Hlt532725229"/>
      <w:r w:rsidRPr="0049492A">
        <w:rPr>
          <w:noProof w:val="0"/>
        </w:rPr>
        <w:t>15</w:t>
      </w:r>
      <w:bookmarkEnd w:id="1647"/>
    </w:p>
    <w:p w:rsidR="008D3479" w:rsidRPr="0049492A" w:rsidRDefault="008D3479">
      <w:pPr>
        <w:pStyle w:val="Innehll1"/>
        <w:rPr>
          <w:noProof w:val="0"/>
        </w:rPr>
      </w:pPr>
      <w:r w:rsidRPr="0049492A">
        <w:rPr>
          <w:noProof w:val="0"/>
        </w:rPr>
        <w:t>Sammanfattning</w:t>
      </w:r>
      <w:r w:rsidRPr="0049492A">
        <w:rPr>
          <w:noProof w:val="0"/>
        </w:rPr>
        <w:tab/>
        <w:t>17</w:t>
      </w:r>
    </w:p>
    <w:p w:rsidR="008D3479" w:rsidRPr="0049492A" w:rsidRDefault="008D3479">
      <w:pPr>
        <w:pStyle w:val="Innehll2"/>
        <w:rPr>
          <w:noProof w:val="0"/>
        </w:rPr>
      </w:pPr>
      <w:r w:rsidRPr="0049492A">
        <w:rPr>
          <w:noProof w:val="0"/>
        </w:rPr>
        <w:t>Förändringar i fastighetsförvaltningen</w:t>
      </w:r>
      <w:r w:rsidRPr="0049492A">
        <w:rPr>
          <w:noProof w:val="0"/>
        </w:rPr>
        <w:tab/>
        <w:t>17</w:t>
      </w:r>
    </w:p>
    <w:p w:rsidR="008D3479" w:rsidRPr="0049492A" w:rsidRDefault="008D3479">
      <w:pPr>
        <w:pStyle w:val="Innehll2"/>
        <w:rPr>
          <w:noProof w:val="0"/>
        </w:rPr>
      </w:pPr>
      <w:r w:rsidRPr="0049492A">
        <w:rPr>
          <w:noProof w:val="0"/>
        </w:rPr>
        <w:t>Utvärderingar av reformen</w:t>
      </w:r>
      <w:r w:rsidRPr="0049492A">
        <w:rPr>
          <w:noProof w:val="0"/>
        </w:rPr>
        <w:tab/>
        <w:t>17</w:t>
      </w:r>
    </w:p>
    <w:p w:rsidR="008D3479" w:rsidRPr="0049492A" w:rsidRDefault="008D3479">
      <w:pPr>
        <w:pStyle w:val="Innehll2"/>
        <w:rPr>
          <w:noProof w:val="0"/>
        </w:rPr>
      </w:pPr>
      <w:r w:rsidRPr="0049492A">
        <w:rPr>
          <w:noProof w:val="0"/>
        </w:rPr>
        <w:t>Vissa förändringar av reformen</w:t>
      </w:r>
      <w:r w:rsidRPr="0049492A">
        <w:rPr>
          <w:noProof w:val="0"/>
        </w:rPr>
        <w:tab/>
        <w:t>17</w:t>
      </w:r>
    </w:p>
    <w:p w:rsidR="008D3479" w:rsidRPr="0049492A" w:rsidRDefault="008D3479">
      <w:pPr>
        <w:pStyle w:val="Innehll2"/>
        <w:rPr>
          <w:noProof w:val="0"/>
        </w:rPr>
      </w:pPr>
      <w:r w:rsidRPr="0049492A">
        <w:rPr>
          <w:noProof w:val="0"/>
        </w:rPr>
        <w:t>Regeringens styrning och fastighetsförvaltarnas tillämpning</w:t>
      </w:r>
      <w:r w:rsidRPr="0049492A">
        <w:rPr>
          <w:noProof w:val="0"/>
        </w:rPr>
        <w:tab/>
        <w:t>18</w:t>
      </w:r>
    </w:p>
    <w:p w:rsidR="008D3479" w:rsidRPr="0049492A" w:rsidRDefault="008D3479">
      <w:pPr>
        <w:pStyle w:val="Innehll2"/>
        <w:rPr>
          <w:noProof w:val="0"/>
        </w:rPr>
      </w:pPr>
      <w:r w:rsidRPr="0049492A">
        <w:rPr>
          <w:noProof w:val="0"/>
        </w:rPr>
        <w:t>Hyresgästernas uppfattning</w:t>
      </w:r>
      <w:r w:rsidRPr="0049492A">
        <w:rPr>
          <w:noProof w:val="0"/>
        </w:rPr>
        <w:tab/>
        <w:t>18</w:t>
      </w:r>
    </w:p>
    <w:p w:rsidR="008D3479" w:rsidRPr="0049492A" w:rsidRDefault="008D3479">
      <w:pPr>
        <w:pStyle w:val="Innehll2"/>
        <w:rPr>
          <w:noProof w:val="0"/>
        </w:rPr>
      </w:pPr>
      <w:r w:rsidRPr="0049492A">
        <w:rPr>
          <w:noProof w:val="0"/>
        </w:rPr>
        <w:t>Brister i anslagssystemet</w:t>
      </w:r>
      <w:r w:rsidRPr="0049492A">
        <w:rPr>
          <w:noProof w:val="0"/>
        </w:rPr>
        <w:tab/>
        <w:t>19</w:t>
      </w:r>
    </w:p>
    <w:p w:rsidR="008D3479" w:rsidRPr="0049492A" w:rsidRDefault="008D3479">
      <w:pPr>
        <w:pStyle w:val="Innehll2"/>
        <w:rPr>
          <w:noProof w:val="0"/>
        </w:rPr>
      </w:pPr>
      <w:r w:rsidRPr="0049492A">
        <w:rPr>
          <w:noProof w:val="0"/>
        </w:rPr>
        <w:t>Nya hyror för vissa kulturinstitutioner</w:t>
      </w:r>
      <w:r w:rsidRPr="0049492A">
        <w:rPr>
          <w:noProof w:val="0"/>
        </w:rPr>
        <w:tab/>
        <w:t>19</w:t>
      </w:r>
    </w:p>
    <w:p w:rsidR="008D3479" w:rsidRPr="0049492A" w:rsidRDefault="008D3479">
      <w:pPr>
        <w:pStyle w:val="Innehll2"/>
        <w:rPr>
          <w:noProof w:val="0"/>
        </w:rPr>
      </w:pPr>
      <w:r w:rsidRPr="0049492A">
        <w:rPr>
          <w:noProof w:val="0"/>
        </w:rPr>
        <w:t>Revisorernas förslag</w:t>
      </w:r>
      <w:r w:rsidRPr="0049492A">
        <w:rPr>
          <w:noProof w:val="0"/>
        </w:rPr>
        <w:tab/>
        <w:t>19</w:t>
      </w:r>
    </w:p>
    <w:p w:rsidR="008D3479" w:rsidRPr="0049492A" w:rsidRDefault="008D3479">
      <w:pPr>
        <w:pStyle w:val="Innehll1"/>
        <w:rPr>
          <w:noProof w:val="0"/>
        </w:rPr>
      </w:pPr>
      <w:r w:rsidRPr="0049492A">
        <w:rPr>
          <w:noProof w:val="0"/>
        </w:rPr>
        <w:t>1</w:t>
      </w:r>
      <w:r w:rsidRPr="0049492A">
        <w:rPr>
          <w:noProof w:val="0"/>
        </w:rPr>
        <w:tab/>
        <w:t>Granskningens bakgrund och inriktning</w:t>
      </w:r>
      <w:r w:rsidRPr="0049492A">
        <w:rPr>
          <w:noProof w:val="0"/>
        </w:rPr>
        <w:tab/>
        <w:t>20</w:t>
      </w:r>
    </w:p>
    <w:p w:rsidR="008D3479" w:rsidRPr="0049492A" w:rsidRDefault="008D3479">
      <w:pPr>
        <w:pStyle w:val="Innehll2"/>
        <w:rPr>
          <w:noProof w:val="0"/>
        </w:rPr>
      </w:pPr>
      <w:r w:rsidRPr="0049492A">
        <w:rPr>
          <w:noProof w:val="0"/>
        </w:rPr>
        <w:t>Begreppet ändamålsfastigheter</w:t>
      </w:r>
      <w:r w:rsidRPr="0049492A">
        <w:rPr>
          <w:noProof w:val="0"/>
        </w:rPr>
        <w:tab/>
        <w:t>21</w:t>
      </w:r>
    </w:p>
    <w:p w:rsidR="008D3479" w:rsidRPr="0049492A" w:rsidRDefault="008D3479">
      <w:pPr>
        <w:pStyle w:val="Innehll1"/>
        <w:rPr>
          <w:noProof w:val="0"/>
        </w:rPr>
      </w:pPr>
      <w:r w:rsidRPr="0049492A">
        <w:rPr>
          <w:noProof w:val="0"/>
        </w:rPr>
        <w:t>2</w:t>
      </w:r>
      <w:r w:rsidRPr="0049492A">
        <w:rPr>
          <w:noProof w:val="0"/>
        </w:rPr>
        <w:tab/>
        <w:t>Förändringar i statsförvaltningen</w:t>
      </w:r>
      <w:r w:rsidRPr="0049492A">
        <w:rPr>
          <w:noProof w:val="0"/>
        </w:rPr>
        <w:tab/>
        <w:t>22</w:t>
      </w:r>
    </w:p>
    <w:p w:rsidR="008D3479" w:rsidRPr="0049492A" w:rsidRDefault="008D3479">
      <w:pPr>
        <w:pStyle w:val="Innehll2"/>
        <w:rPr>
          <w:noProof w:val="0"/>
        </w:rPr>
      </w:pPr>
      <w:r w:rsidRPr="0049492A">
        <w:rPr>
          <w:noProof w:val="0"/>
        </w:rPr>
        <w:t>Ny styrning av myndigheterna</w:t>
      </w:r>
      <w:r w:rsidRPr="0049492A">
        <w:rPr>
          <w:noProof w:val="0"/>
        </w:rPr>
        <w:tab/>
        <w:t>22</w:t>
      </w:r>
    </w:p>
    <w:p w:rsidR="008D3479" w:rsidRPr="0049492A" w:rsidRDefault="008D3479">
      <w:pPr>
        <w:pStyle w:val="Innehll2"/>
        <w:rPr>
          <w:noProof w:val="0"/>
        </w:rPr>
      </w:pPr>
      <w:r w:rsidRPr="0049492A">
        <w:rPr>
          <w:noProof w:val="0"/>
        </w:rPr>
        <w:t>Reform av fastighetsförvaltningen</w:t>
      </w:r>
      <w:r w:rsidRPr="0049492A">
        <w:rPr>
          <w:noProof w:val="0"/>
        </w:rPr>
        <w:tab/>
        <w:t>22</w:t>
      </w:r>
    </w:p>
    <w:p w:rsidR="008D3479" w:rsidRPr="0049492A" w:rsidRDefault="008D3479">
      <w:pPr>
        <w:pStyle w:val="Innehll2"/>
        <w:rPr>
          <w:noProof w:val="0"/>
        </w:rPr>
      </w:pPr>
      <w:r w:rsidRPr="0049492A">
        <w:rPr>
          <w:noProof w:val="0"/>
        </w:rPr>
        <w:t>Fastighetsorganisationen</w:t>
      </w:r>
      <w:r w:rsidRPr="0049492A">
        <w:rPr>
          <w:noProof w:val="0"/>
        </w:rPr>
        <w:tab/>
        <w:t>24</w:t>
      </w:r>
    </w:p>
    <w:p w:rsidR="008D3479" w:rsidRPr="0049492A" w:rsidRDefault="008D3479">
      <w:pPr>
        <w:pStyle w:val="Innehll1"/>
        <w:rPr>
          <w:noProof w:val="0"/>
        </w:rPr>
      </w:pPr>
      <w:r w:rsidRPr="0049492A">
        <w:rPr>
          <w:noProof w:val="0"/>
        </w:rPr>
        <w:t>3</w:t>
      </w:r>
      <w:r w:rsidRPr="0049492A">
        <w:rPr>
          <w:noProof w:val="0"/>
        </w:rPr>
        <w:tab/>
        <w:t>Utvärderingar av fastighetsreformen</w:t>
      </w:r>
      <w:r w:rsidRPr="0049492A">
        <w:rPr>
          <w:noProof w:val="0"/>
        </w:rPr>
        <w:tab/>
        <w:t>25</w:t>
      </w:r>
    </w:p>
    <w:p w:rsidR="008D3479" w:rsidRPr="0049492A" w:rsidRDefault="008D3479">
      <w:pPr>
        <w:pStyle w:val="Innehll2"/>
        <w:rPr>
          <w:noProof w:val="0"/>
        </w:rPr>
      </w:pPr>
      <w:r w:rsidRPr="0049492A">
        <w:rPr>
          <w:noProof w:val="0"/>
        </w:rPr>
        <w:t>Lokalförsörjningsverkets utvärdering av riktlinjer</w:t>
      </w:r>
      <w:r w:rsidRPr="0049492A">
        <w:rPr>
          <w:noProof w:val="0"/>
        </w:rPr>
        <w:tab/>
        <w:t>26</w:t>
      </w:r>
    </w:p>
    <w:p w:rsidR="008D3479" w:rsidRPr="0049492A" w:rsidRDefault="008D3479">
      <w:pPr>
        <w:pStyle w:val="Innehll2"/>
        <w:rPr>
          <w:noProof w:val="0"/>
        </w:rPr>
      </w:pPr>
      <w:r w:rsidRPr="0049492A">
        <w:rPr>
          <w:noProof w:val="0"/>
        </w:rPr>
        <w:t>Utvärderingen av statens fastighetsorganisation</w:t>
      </w:r>
      <w:r w:rsidRPr="0049492A">
        <w:rPr>
          <w:noProof w:val="0"/>
        </w:rPr>
        <w:tab/>
        <w:t>26</w:t>
      </w:r>
    </w:p>
    <w:p w:rsidR="008D3479" w:rsidRPr="0049492A" w:rsidRDefault="008D3479">
      <w:pPr>
        <w:pStyle w:val="Innehll2"/>
        <w:rPr>
          <w:noProof w:val="0"/>
        </w:rPr>
      </w:pPr>
      <w:r w:rsidRPr="0049492A">
        <w:rPr>
          <w:noProof w:val="0"/>
        </w:rPr>
        <w:t>Riksdagens revisorers granskning om lokalförsörjning</w:t>
      </w:r>
      <w:r w:rsidRPr="0049492A">
        <w:rPr>
          <w:noProof w:val="0"/>
        </w:rPr>
        <w:tab/>
        <w:t>27</w:t>
      </w:r>
    </w:p>
    <w:p w:rsidR="008D3479" w:rsidRPr="0049492A" w:rsidRDefault="008D3479">
      <w:pPr>
        <w:pStyle w:val="Innehll1"/>
        <w:rPr>
          <w:noProof w:val="0"/>
        </w:rPr>
      </w:pPr>
      <w:r w:rsidRPr="0049492A">
        <w:rPr>
          <w:noProof w:val="0"/>
        </w:rPr>
        <w:t>4</w:t>
      </w:r>
      <w:r w:rsidRPr="0049492A">
        <w:rPr>
          <w:noProof w:val="0"/>
        </w:rPr>
        <w:tab/>
        <w:t>Principer för hyressättning</w:t>
      </w:r>
      <w:r w:rsidRPr="0049492A">
        <w:rPr>
          <w:noProof w:val="0"/>
        </w:rPr>
        <w:tab/>
        <w:t>27</w:t>
      </w:r>
    </w:p>
    <w:p w:rsidR="008D3479" w:rsidRPr="0049492A" w:rsidRDefault="008D3479">
      <w:pPr>
        <w:pStyle w:val="Innehll2"/>
        <w:rPr>
          <w:noProof w:val="0"/>
        </w:rPr>
      </w:pPr>
      <w:r w:rsidRPr="0049492A">
        <w:rPr>
          <w:noProof w:val="0"/>
        </w:rPr>
        <w:t>Riksdagens ställningstaganden</w:t>
      </w:r>
      <w:r w:rsidRPr="0049492A">
        <w:rPr>
          <w:noProof w:val="0"/>
        </w:rPr>
        <w:tab/>
        <w:t>28</w:t>
      </w:r>
    </w:p>
    <w:p w:rsidR="008D3479" w:rsidRPr="0049492A" w:rsidRDefault="008D3479">
      <w:pPr>
        <w:pStyle w:val="Innehll1"/>
        <w:rPr>
          <w:noProof w:val="0"/>
        </w:rPr>
      </w:pPr>
      <w:r w:rsidRPr="0049492A">
        <w:rPr>
          <w:noProof w:val="0"/>
        </w:rPr>
        <w:t>5</w:t>
      </w:r>
      <w:r w:rsidRPr="0049492A">
        <w:rPr>
          <w:noProof w:val="0"/>
        </w:rPr>
        <w:tab/>
        <w:t>Tillämpning av principerna för hyressättning och fastighetsförvaltning</w:t>
      </w:r>
      <w:r w:rsidRPr="0049492A">
        <w:rPr>
          <w:noProof w:val="0"/>
        </w:rPr>
        <w:tab/>
        <w:t>30</w:t>
      </w:r>
    </w:p>
    <w:p w:rsidR="008D3479" w:rsidRPr="0049492A" w:rsidRDefault="008D3479">
      <w:pPr>
        <w:pStyle w:val="Innehll2"/>
        <w:rPr>
          <w:noProof w:val="0"/>
        </w:rPr>
      </w:pPr>
      <w:r w:rsidRPr="0049492A">
        <w:rPr>
          <w:noProof w:val="0"/>
        </w:rPr>
        <w:t>Regeringens styrning av fastighetsförvaltningen</w:t>
      </w:r>
      <w:r w:rsidRPr="0049492A">
        <w:rPr>
          <w:noProof w:val="0"/>
        </w:rPr>
        <w:tab/>
      </w:r>
      <w:bookmarkStart w:id="1648" w:name="_Hlt532778956"/>
      <w:r w:rsidRPr="0049492A">
        <w:rPr>
          <w:noProof w:val="0"/>
        </w:rPr>
        <w:t>30</w:t>
      </w:r>
      <w:bookmarkEnd w:id="1648"/>
    </w:p>
    <w:p w:rsidR="008D3479" w:rsidRPr="0049492A" w:rsidRDefault="008D3479">
      <w:pPr>
        <w:pStyle w:val="Innehll2"/>
        <w:rPr>
          <w:noProof w:val="0"/>
        </w:rPr>
      </w:pPr>
      <w:r w:rsidRPr="0049492A">
        <w:rPr>
          <w:noProof w:val="0"/>
        </w:rPr>
        <w:t>Statens fastigheter av ändamålskaraktär</w:t>
      </w:r>
      <w:r w:rsidRPr="0049492A">
        <w:rPr>
          <w:noProof w:val="0"/>
        </w:rPr>
        <w:tab/>
        <w:t>31</w:t>
      </w:r>
    </w:p>
    <w:p w:rsidR="008D3479" w:rsidRPr="0049492A" w:rsidRDefault="008D3479">
      <w:pPr>
        <w:pStyle w:val="Innehll2"/>
        <w:rPr>
          <w:noProof w:val="0"/>
        </w:rPr>
      </w:pPr>
      <w:r w:rsidRPr="0049492A">
        <w:rPr>
          <w:noProof w:val="0"/>
        </w:rPr>
        <w:t xml:space="preserve">Statens fastighetsverk </w:t>
      </w:r>
      <w:r w:rsidRPr="0049492A">
        <w:rPr>
          <w:noProof w:val="0"/>
        </w:rPr>
        <w:tab/>
        <w:t>33</w:t>
      </w:r>
    </w:p>
    <w:p w:rsidR="008D3479" w:rsidRPr="0049492A" w:rsidRDefault="008D3479">
      <w:pPr>
        <w:pStyle w:val="Innehll2"/>
        <w:rPr>
          <w:noProof w:val="0"/>
        </w:rPr>
      </w:pPr>
      <w:r w:rsidRPr="0049492A">
        <w:rPr>
          <w:noProof w:val="0"/>
        </w:rPr>
        <w:t xml:space="preserve">Fortifikationsverket </w:t>
      </w:r>
      <w:r w:rsidRPr="0049492A">
        <w:rPr>
          <w:noProof w:val="0"/>
        </w:rPr>
        <w:tab/>
        <w:t>36</w:t>
      </w:r>
    </w:p>
    <w:p w:rsidR="008D3479" w:rsidRPr="0049492A" w:rsidRDefault="008D3479">
      <w:pPr>
        <w:pStyle w:val="Innehll2"/>
        <w:rPr>
          <w:noProof w:val="0"/>
        </w:rPr>
      </w:pPr>
      <w:r w:rsidRPr="0049492A">
        <w:rPr>
          <w:noProof w:val="0"/>
        </w:rPr>
        <w:t xml:space="preserve">Akademiska Hus </w:t>
      </w:r>
      <w:r w:rsidRPr="0049492A">
        <w:rPr>
          <w:noProof w:val="0"/>
        </w:rPr>
        <w:tab/>
        <w:t>40</w:t>
      </w:r>
    </w:p>
    <w:p w:rsidR="008D3479" w:rsidRPr="0049492A" w:rsidRDefault="008D3479">
      <w:pPr>
        <w:pStyle w:val="Innehll2"/>
        <w:rPr>
          <w:noProof w:val="0"/>
        </w:rPr>
      </w:pPr>
      <w:r w:rsidRPr="0049492A">
        <w:rPr>
          <w:noProof w:val="0"/>
        </w:rPr>
        <w:t xml:space="preserve">Specialfastigheter </w:t>
      </w:r>
      <w:r w:rsidRPr="0049492A">
        <w:rPr>
          <w:noProof w:val="0"/>
        </w:rPr>
        <w:tab/>
        <w:t>43</w:t>
      </w:r>
    </w:p>
    <w:p w:rsidR="008D3479" w:rsidRPr="0049492A" w:rsidRDefault="008D3479">
      <w:pPr>
        <w:pStyle w:val="Innehll1"/>
        <w:rPr>
          <w:noProof w:val="0"/>
        </w:rPr>
      </w:pPr>
      <w:r w:rsidRPr="0049492A">
        <w:rPr>
          <w:noProof w:val="0"/>
        </w:rPr>
        <w:t>6</w:t>
      </w:r>
      <w:r w:rsidRPr="0049492A">
        <w:rPr>
          <w:noProof w:val="0"/>
        </w:rPr>
        <w:tab/>
        <w:t>Hyresgäster i ändamålsfastigheter</w:t>
      </w:r>
      <w:r w:rsidRPr="0049492A">
        <w:rPr>
          <w:noProof w:val="0"/>
        </w:rPr>
        <w:tab/>
        <w:t>45</w:t>
      </w:r>
    </w:p>
    <w:p w:rsidR="008D3479" w:rsidRPr="0049492A" w:rsidRDefault="008D3479">
      <w:pPr>
        <w:pStyle w:val="Innehll2"/>
        <w:rPr>
          <w:noProof w:val="0"/>
        </w:rPr>
      </w:pPr>
      <w:r w:rsidRPr="0049492A">
        <w:rPr>
          <w:noProof w:val="0"/>
        </w:rPr>
        <w:t>Förordningen om myndigheters lokalförsörjning</w:t>
      </w:r>
      <w:r w:rsidRPr="0049492A">
        <w:rPr>
          <w:noProof w:val="0"/>
        </w:rPr>
        <w:tab/>
        <w:t>46</w:t>
      </w:r>
    </w:p>
    <w:p w:rsidR="008D3479" w:rsidRPr="0049492A" w:rsidRDefault="008D3479">
      <w:pPr>
        <w:pStyle w:val="Innehll2"/>
        <w:rPr>
          <w:noProof w:val="0"/>
        </w:rPr>
      </w:pPr>
      <w:r w:rsidRPr="0049492A">
        <w:rPr>
          <w:noProof w:val="0"/>
        </w:rPr>
        <w:t>Kulturinstitutioner och centrala museer</w:t>
      </w:r>
      <w:r w:rsidRPr="0049492A">
        <w:rPr>
          <w:noProof w:val="0"/>
        </w:rPr>
        <w:tab/>
        <w:t>46</w:t>
      </w:r>
    </w:p>
    <w:p w:rsidR="008D3479" w:rsidRPr="0049492A" w:rsidRDefault="008D3479">
      <w:pPr>
        <w:pStyle w:val="Innehll2"/>
        <w:rPr>
          <w:noProof w:val="0"/>
        </w:rPr>
      </w:pPr>
      <w:r w:rsidRPr="0049492A">
        <w:rPr>
          <w:noProof w:val="0"/>
        </w:rPr>
        <w:t xml:space="preserve">Försvarsmakten </w:t>
      </w:r>
      <w:r w:rsidRPr="0049492A">
        <w:rPr>
          <w:noProof w:val="0"/>
        </w:rPr>
        <w:tab/>
        <w:t>50</w:t>
      </w:r>
    </w:p>
    <w:p w:rsidR="008D3479" w:rsidRPr="0049492A" w:rsidRDefault="008D3479">
      <w:pPr>
        <w:pStyle w:val="Innehll2"/>
        <w:rPr>
          <w:noProof w:val="0"/>
        </w:rPr>
      </w:pPr>
      <w:r w:rsidRPr="0049492A">
        <w:rPr>
          <w:noProof w:val="0"/>
        </w:rPr>
        <w:t>Universitet och högskolor</w:t>
      </w:r>
      <w:r w:rsidRPr="0049492A">
        <w:rPr>
          <w:noProof w:val="0"/>
        </w:rPr>
        <w:tab/>
        <w:t>51</w:t>
      </w:r>
    </w:p>
    <w:p w:rsidR="008D3479" w:rsidRPr="0049492A" w:rsidRDefault="008D3479">
      <w:pPr>
        <w:pStyle w:val="Innehll2"/>
        <w:rPr>
          <w:noProof w:val="0"/>
        </w:rPr>
      </w:pPr>
      <w:r w:rsidRPr="0049492A">
        <w:rPr>
          <w:noProof w:val="0"/>
        </w:rPr>
        <w:t xml:space="preserve">Statens institutionsstyrelse </w:t>
      </w:r>
      <w:r w:rsidRPr="0049492A">
        <w:rPr>
          <w:noProof w:val="0"/>
        </w:rPr>
        <w:tab/>
        <w:t>55</w:t>
      </w:r>
    </w:p>
    <w:p w:rsidR="008D3479" w:rsidRPr="0049492A" w:rsidRDefault="008D3479">
      <w:pPr>
        <w:pStyle w:val="Innehll2"/>
        <w:rPr>
          <w:noProof w:val="0"/>
        </w:rPr>
      </w:pPr>
      <w:r w:rsidRPr="0049492A">
        <w:rPr>
          <w:noProof w:val="0"/>
        </w:rPr>
        <w:t xml:space="preserve">Kriminalvårdsstyrelsen </w:t>
      </w:r>
      <w:r w:rsidRPr="0049492A">
        <w:rPr>
          <w:noProof w:val="0"/>
        </w:rPr>
        <w:tab/>
        <w:t>57</w:t>
      </w:r>
    </w:p>
    <w:p w:rsidR="008D3479" w:rsidRPr="0049492A" w:rsidRDefault="008D3479">
      <w:pPr>
        <w:pStyle w:val="Innehll1"/>
        <w:rPr>
          <w:noProof w:val="0"/>
        </w:rPr>
      </w:pPr>
      <w:r w:rsidRPr="0049492A">
        <w:rPr>
          <w:noProof w:val="0"/>
        </w:rPr>
        <w:t>7</w:t>
      </w:r>
      <w:r w:rsidRPr="0049492A">
        <w:rPr>
          <w:noProof w:val="0"/>
        </w:rPr>
        <w:tab/>
        <w:t>Kompensations- och anslagssystemen</w:t>
      </w:r>
      <w:r w:rsidRPr="0049492A">
        <w:rPr>
          <w:noProof w:val="0"/>
        </w:rPr>
        <w:tab/>
        <w:t>57</w:t>
      </w:r>
    </w:p>
    <w:p w:rsidR="008D3479" w:rsidRPr="0049492A" w:rsidRDefault="008D3479">
      <w:pPr>
        <w:pStyle w:val="Innehll2"/>
        <w:rPr>
          <w:noProof w:val="0"/>
        </w:rPr>
      </w:pPr>
      <w:r w:rsidRPr="0049492A">
        <w:rPr>
          <w:noProof w:val="0"/>
        </w:rPr>
        <w:t>Bakgrund</w:t>
      </w:r>
      <w:r w:rsidRPr="0049492A">
        <w:rPr>
          <w:noProof w:val="0"/>
        </w:rPr>
        <w:tab/>
        <w:t>58</w:t>
      </w:r>
    </w:p>
    <w:p w:rsidR="008D3479" w:rsidRPr="0049492A" w:rsidRDefault="008D3479">
      <w:pPr>
        <w:pStyle w:val="Innehll2"/>
        <w:rPr>
          <w:noProof w:val="0"/>
        </w:rPr>
      </w:pPr>
      <w:r w:rsidRPr="0049492A">
        <w:rPr>
          <w:noProof w:val="0"/>
        </w:rPr>
        <w:t>Anslagsberäkning</w:t>
      </w:r>
      <w:r w:rsidRPr="0049492A">
        <w:rPr>
          <w:noProof w:val="0"/>
        </w:rPr>
        <w:tab/>
        <w:t>59</w:t>
      </w:r>
    </w:p>
    <w:p w:rsidR="008D3479" w:rsidRPr="0049492A" w:rsidRDefault="008D3479">
      <w:pPr>
        <w:pStyle w:val="Innehll2"/>
        <w:rPr>
          <w:noProof w:val="0"/>
        </w:rPr>
      </w:pPr>
      <w:r w:rsidRPr="0049492A">
        <w:rPr>
          <w:noProof w:val="0"/>
        </w:rPr>
        <w:t>Anslagssparande och incitament</w:t>
      </w:r>
      <w:r w:rsidRPr="0049492A">
        <w:rPr>
          <w:noProof w:val="0"/>
        </w:rPr>
        <w:tab/>
        <w:t>62</w:t>
      </w:r>
    </w:p>
    <w:p w:rsidR="008D3479" w:rsidRPr="0049492A" w:rsidRDefault="008D3479">
      <w:pPr>
        <w:pStyle w:val="Innehll1"/>
        <w:rPr>
          <w:noProof w:val="0"/>
        </w:rPr>
      </w:pPr>
      <w:r w:rsidRPr="0049492A">
        <w:rPr>
          <w:noProof w:val="0"/>
        </w:rPr>
        <w:t>8</w:t>
      </w:r>
      <w:r w:rsidRPr="0049492A">
        <w:rPr>
          <w:noProof w:val="0"/>
        </w:rPr>
        <w:tab/>
        <w:t>Regeringskansliets översyn av hyressättning av kulturinstitutioner</w:t>
      </w:r>
      <w:r w:rsidRPr="0049492A">
        <w:rPr>
          <w:noProof w:val="0"/>
        </w:rPr>
        <w:tab/>
        <w:t>64</w:t>
      </w:r>
    </w:p>
    <w:p w:rsidR="008D3479" w:rsidRPr="0049492A" w:rsidRDefault="008D3479">
      <w:pPr>
        <w:pStyle w:val="Innehll1"/>
        <w:rPr>
          <w:noProof w:val="0"/>
        </w:rPr>
      </w:pPr>
      <w:r w:rsidRPr="0049492A">
        <w:rPr>
          <w:noProof w:val="0"/>
        </w:rPr>
        <w:t>9</w:t>
      </w:r>
      <w:r w:rsidRPr="0049492A">
        <w:rPr>
          <w:noProof w:val="0"/>
        </w:rPr>
        <w:tab/>
        <w:t>Revisorernas slutsatser och förslag</w:t>
      </w:r>
      <w:r w:rsidRPr="0049492A">
        <w:rPr>
          <w:noProof w:val="0"/>
        </w:rPr>
        <w:tab/>
        <w:t>66</w:t>
      </w:r>
    </w:p>
    <w:p w:rsidR="008D3479" w:rsidRPr="0049492A" w:rsidRDefault="008D3479">
      <w:pPr>
        <w:pStyle w:val="Innehll2"/>
        <w:rPr>
          <w:noProof w:val="0"/>
        </w:rPr>
      </w:pPr>
      <w:r w:rsidRPr="0049492A">
        <w:rPr>
          <w:noProof w:val="0"/>
        </w:rPr>
        <w:t>Riksdagens direktiv om hyressättning är inte vidarebefordrade av regeringen</w:t>
      </w:r>
      <w:r w:rsidRPr="0049492A">
        <w:rPr>
          <w:noProof w:val="0"/>
        </w:rPr>
        <w:tab/>
        <w:t>66</w:t>
      </w:r>
    </w:p>
    <w:p w:rsidR="008D3479" w:rsidRPr="0049492A" w:rsidRDefault="008D3479">
      <w:pPr>
        <w:pStyle w:val="Innehll2"/>
        <w:rPr>
          <w:noProof w:val="0"/>
        </w:rPr>
      </w:pPr>
      <w:r w:rsidRPr="0049492A">
        <w:rPr>
          <w:noProof w:val="0"/>
        </w:rPr>
        <w:t>Riksdagens direktiv om insyn i förvaltningen är inte vidarebefordrade av regeringen</w:t>
      </w:r>
      <w:r w:rsidRPr="0049492A">
        <w:rPr>
          <w:noProof w:val="0"/>
        </w:rPr>
        <w:tab/>
        <w:t>67</w:t>
      </w:r>
    </w:p>
    <w:p w:rsidR="008D3479" w:rsidRPr="0049492A" w:rsidRDefault="008D3479">
      <w:pPr>
        <w:pStyle w:val="Innehll2"/>
        <w:rPr>
          <w:noProof w:val="0"/>
        </w:rPr>
      </w:pPr>
      <w:r w:rsidRPr="0049492A">
        <w:rPr>
          <w:noProof w:val="0"/>
        </w:rPr>
        <w:t>Riksdagens direktiv om gemensamt upprättade förvaltningsplaner är inte vidarebefordrat av regeringen</w:t>
      </w:r>
      <w:r w:rsidRPr="0049492A">
        <w:rPr>
          <w:noProof w:val="0"/>
        </w:rPr>
        <w:tab/>
        <w:t>67</w:t>
      </w:r>
    </w:p>
    <w:p w:rsidR="008D3479" w:rsidRPr="0049492A" w:rsidRDefault="008D3479">
      <w:pPr>
        <w:pStyle w:val="Innehll2"/>
        <w:rPr>
          <w:noProof w:val="0"/>
        </w:rPr>
      </w:pPr>
      <w:r w:rsidRPr="0049492A">
        <w:rPr>
          <w:noProof w:val="0"/>
        </w:rPr>
        <w:t>Brist i kompensationssystemet</w:t>
      </w:r>
      <w:r w:rsidRPr="0049492A">
        <w:rPr>
          <w:noProof w:val="0"/>
        </w:rPr>
        <w:tab/>
        <w:t>68</w:t>
      </w:r>
    </w:p>
    <w:p w:rsidR="008D3479" w:rsidRPr="0049492A" w:rsidRDefault="008D3479">
      <w:pPr>
        <w:pStyle w:val="Innehll2"/>
        <w:rPr>
          <w:noProof w:val="0"/>
        </w:rPr>
      </w:pPr>
      <w:r w:rsidRPr="0049492A">
        <w:rPr>
          <w:noProof w:val="0"/>
        </w:rPr>
        <w:t>Bedömning av myndigheternas lokalbehov</w:t>
      </w:r>
      <w:r w:rsidRPr="0049492A">
        <w:rPr>
          <w:noProof w:val="0"/>
        </w:rPr>
        <w:tab/>
        <w:t>68</w:t>
      </w:r>
    </w:p>
    <w:p w:rsidR="008D3479" w:rsidRPr="0049492A" w:rsidRDefault="008D3479">
      <w:pPr>
        <w:pStyle w:val="Innehll2"/>
        <w:rPr>
          <w:noProof w:val="0"/>
        </w:rPr>
      </w:pPr>
      <w:r w:rsidRPr="0049492A">
        <w:rPr>
          <w:noProof w:val="0"/>
        </w:rPr>
        <w:t>Regeringsförslaget ger ingen långsiktig lösning</w:t>
      </w:r>
      <w:r w:rsidRPr="0049492A">
        <w:rPr>
          <w:noProof w:val="0"/>
        </w:rPr>
        <w:tab/>
        <w:t>69</w:t>
      </w:r>
    </w:p>
    <w:p w:rsidR="008D3479" w:rsidRPr="0049492A" w:rsidRDefault="008D3479">
      <w:pPr>
        <w:pStyle w:val="Innehll1"/>
        <w:rPr>
          <w:noProof w:val="0"/>
        </w:rPr>
      </w:pPr>
      <w:r w:rsidRPr="0049492A">
        <w:rPr>
          <w:noProof w:val="0"/>
        </w:rPr>
        <w:t>Referenser</w:t>
      </w:r>
      <w:r w:rsidRPr="0049492A">
        <w:rPr>
          <w:noProof w:val="0"/>
        </w:rPr>
        <w:tab/>
        <w:t>70</w:t>
      </w:r>
    </w:p>
    <w:p w:rsidR="008D3479" w:rsidRPr="0049492A" w:rsidRDefault="008D3479">
      <w:pPr>
        <w:pStyle w:val="Innehll2"/>
        <w:rPr>
          <w:noProof w:val="0"/>
        </w:rPr>
      </w:pPr>
      <w:r w:rsidRPr="0049492A">
        <w:rPr>
          <w:noProof w:val="0"/>
        </w:rPr>
        <w:t>Intervjuer och övrig information</w:t>
      </w:r>
      <w:r w:rsidRPr="0049492A">
        <w:rPr>
          <w:noProof w:val="0"/>
        </w:rPr>
        <w:tab/>
        <w:t>70</w:t>
      </w:r>
    </w:p>
    <w:p w:rsidR="008D3479" w:rsidRPr="0049492A" w:rsidRDefault="008D3479">
      <w:pPr>
        <w:pStyle w:val="Innehll2"/>
        <w:rPr>
          <w:noProof w:val="0"/>
        </w:rPr>
      </w:pPr>
      <w:r w:rsidRPr="0049492A">
        <w:rPr>
          <w:noProof w:val="0"/>
        </w:rPr>
        <w:t>Skriftligt material</w:t>
      </w:r>
      <w:r w:rsidRPr="0049492A">
        <w:rPr>
          <w:noProof w:val="0"/>
        </w:rPr>
        <w:tab/>
        <w:t>70</w:t>
      </w:r>
    </w:p>
    <w:p w:rsidR="008D3479" w:rsidRPr="0049492A" w:rsidRDefault="008D3479">
      <w:pPr>
        <w:pStyle w:val="Innehll2"/>
        <w:rPr>
          <w:noProof w:val="0"/>
        </w:rPr>
      </w:pPr>
      <w:r w:rsidRPr="0049492A">
        <w:rPr>
          <w:noProof w:val="0"/>
        </w:rPr>
        <w:t>Förordningar</w:t>
      </w:r>
      <w:r w:rsidRPr="0049492A">
        <w:rPr>
          <w:noProof w:val="0"/>
        </w:rPr>
        <w:tab/>
        <w:t>72</w:t>
      </w:r>
    </w:p>
    <w:p w:rsidR="008D3479" w:rsidRPr="0049492A" w:rsidRDefault="008D3479">
      <w:pPr>
        <w:pStyle w:val="Innehll1"/>
        <w:rPr>
          <w:noProof w:val="0"/>
        </w:rPr>
      </w:pPr>
      <w:r w:rsidRPr="0049492A">
        <w:rPr>
          <w:noProof w:val="0"/>
        </w:rPr>
        <w:t>Underbilaga 1 Definitioner och teorier</w:t>
      </w:r>
      <w:r w:rsidRPr="0049492A">
        <w:rPr>
          <w:noProof w:val="0"/>
        </w:rPr>
        <w:tab/>
        <w:t>73</w:t>
      </w:r>
    </w:p>
    <w:p w:rsidR="008D3479" w:rsidRPr="0049492A" w:rsidRDefault="008D3479">
      <w:pPr>
        <w:pStyle w:val="Innehll2"/>
        <w:rPr>
          <w:noProof w:val="0"/>
        </w:rPr>
      </w:pPr>
      <w:r w:rsidRPr="0049492A">
        <w:rPr>
          <w:noProof w:val="0"/>
        </w:rPr>
        <w:t>Sammanfattning</w:t>
      </w:r>
      <w:r w:rsidRPr="0049492A">
        <w:rPr>
          <w:noProof w:val="0"/>
        </w:rPr>
        <w:tab/>
        <w:t>73</w:t>
      </w:r>
    </w:p>
    <w:p w:rsidR="008D3479" w:rsidRPr="0049492A" w:rsidRDefault="008D3479">
      <w:pPr>
        <w:pStyle w:val="Innehll2"/>
        <w:rPr>
          <w:noProof w:val="0"/>
        </w:rPr>
      </w:pPr>
      <w:r w:rsidRPr="0049492A">
        <w:rPr>
          <w:noProof w:val="0"/>
        </w:rPr>
        <w:t>Definitioner och teorier</w:t>
      </w:r>
      <w:r w:rsidRPr="0049492A">
        <w:rPr>
          <w:noProof w:val="0"/>
        </w:rPr>
        <w:tab/>
        <w:t>73</w:t>
      </w:r>
    </w:p>
    <w:p w:rsidR="008D3479" w:rsidRPr="0049492A" w:rsidRDefault="008D3479">
      <w:pPr>
        <w:pStyle w:val="Innehll2"/>
        <w:rPr>
          <w:noProof w:val="0"/>
        </w:rPr>
      </w:pPr>
      <w:r w:rsidRPr="0049492A">
        <w:rPr>
          <w:noProof w:val="0"/>
        </w:rPr>
        <w:t>Referenser till bilaga 1</w:t>
      </w:r>
      <w:r w:rsidRPr="0049492A">
        <w:rPr>
          <w:noProof w:val="0"/>
        </w:rPr>
        <w:tab/>
        <w:t>80</w:t>
      </w:r>
    </w:p>
    <w:p w:rsidR="008D3479" w:rsidRPr="0049492A" w:rsidRDefault="008D3479">
      <w:pPr>
        <w:pStyle w:val="Innehll1"/>
        <w:rPr>
          <w:noProof w:val="0"/>
        </w:rPr>
      </w:pPr>
      <w:r w:rsidRPr="0049492A">
        <w:rPr>
          <w:noProof w:val="0"/>
        </w:rPr>
        <w:t>Underbilaga 2 Ändamålsfastigheter i Stockholms läns landsting</w:t>
      </w:r>
      <w:r w:rsidRPr="0049492A">
        <w:rPr>
          <w:noProof w:val="0"/>
        </w:rPr>
        <w:tab/>
      </w:r>
      <w:bookmarkStart w:id="1649" w:name="_Hlt532725348"/>
      <w:r w:rsidRPr="0049492A">
        <w:rPr>
          <w:noProof w:val="0"/>
        </w:rPr>
        <w:t>81</w:t>
      </w:r>
      <w:bookmarkEnd w:id="1649"/>
    </w:p>
    <w:p w:rsidR="008D3479" w:rsidRPr="0049492A" w:rsidRDefault="008D3479">
      <w:pPr>
        <w:pStyle w:val="Innehll2"/>
        <w:rPr>
          <w:noProof w:val="0"/>
        </w:rPr>
      </w:pPr>
      <w:r w:rsidRPr="0049492A">
        <w:rPr>
          <w:noProof w:val="0"/>
        </w:rPr>
        <w:t>Sammanfattning</w:t>
      </w:r>
      <w:r w:rsidRPr="0049492A">
        <w:rPr>
          <w:noProof w:val="0"/>
        </w:rPr>
        <w:tab/>
        <w:t>81</w:t>
      </w:r>
    </w:p>
    <w:p w:rsidR="008D3479" w:rsidRPr="0049492A" w:rsidRDefault="008D3479">
      <w:pPr>
        <w:pStyle w:val="Innehll2"/>
        <w:rPr>
          <w:noProof w:val="0"/>
        </w:rPr>
      </w:pPr>
      <w:r w:rsidRPr="0049492A">
        <w:rPr>
          <w:noProof w:val="0"/>
        </w:rPr>
        <w:t>Lokalförsörjning i Stockholms läns landsting</w:t>
      </w:r>
      <w:r w:rsidRPr="0049492A">
        <w:rPr>
          <w:noProof w:val="0"/>
        </w:rPr>
        <w:tab/>
        <w:t>81</w:t>
      </w:r>
    </w:p>
    <w:p w:rsidR="008D3479" w:rsidRPr="0049492A" w:rsidRDefault="008D3479">
      <w:pPr>
        <w:pStyle w:val="Innehll2"/>
        <w:rPr>
          <w:noProof w:val="0"/>
        </w:rPr>
      </w:pPr>
      <w:r w:rsidRPr="0049492A">
        <w:rPr>
          <w:noProof w:val="0"/>
        </w:rPr>
        <w:t>Referenser till bilaga 2</w:t>
      </w:r>
      <w:r w:rsidRPr="0049492A">
        <w:rPr>
          <w:noProof w:val="0"/>
        </w:rPr>
        <w:tab/>
        <w:t>84</w:t>
      </w:r>
    </w:p>
    <w:p w:rsidR="008D3479" w:rsidRPr="0049492A" w:rsidRDefault="008D3479">
      <w:pPr>
        <w:pStyle w:val="Innehll1"/>
        <w:rPr>
          <w:noProof w:val="0"/>
        </w:rPr>
      </w:pPr>
    </w:p>
    <w:p w:rsidR="008D3479" w:rsidRPr="0049492A" w:rsidRDefault="008D3479">
      <w:pPr>
        <w:pStyle w:val="Innehll1"/>
        <w:rPr>
          <w:i/>
          <w:noProof w:val="0"/>
        </w:rPr>
      </w:pPr>
      <w:r w:rsidRPr="0049492A">
        <w:rPr>
          <w:i/>
          <w:noProof w:val="0"/>
        </w:rPr>
        <w:t>Bilaga 2</w:t>
      </w:r>
    </w:p>
    <w:p w:rsidR="008D3479" w:rsidRPr="0049492A" w:rsidRDefault="008D3479">
      <w:pPr>
        <w:pStyle w:val="Innehll1"/>
        <w:rPr>
          <w:noProof w:val="0"/>
        </w:rPr>
      </w:pPr>
      <w:r w:rsidRPr="0049492A">
        <w:rPr>
          <w:noProof w:val="0"/>
        </w:rPr>
        <w:t>Sammanfattning av remissyttranden över rapport 2001/02:2 Statens ändamålsfastigheter – hyressättning och förvaltning</w:t>
      </w:r>
      <w:r w:rsidRPr="0049492A">
        <w:rPr>
          <w:noProof w:val="0"/>
        </w:rPr>
        <w:tab/>
        <w:t>85</w:t>
      </w:r>
    </w:p>
    <w:p w:rsidR="008D3479" w:rsidRPr="0049492A" w:rsidRDefault="008D3479">
      <w:pPr>
        <w:pStyle w:val="Innehll2"/>
        <w:rPr>
          <w:noProof w:val="0"/>
        </w:rPr>
      </w:pPr>
      <w:r w:rsidRPr="0049492A">
        <w:rPr>
          <w:noProof w:val="0"/>
        </w:rPr>
        <w:t>Allmänna synpunkter på granskningen</w:t>
      </w:r>
      <w:r w:rsidRPr="0049492A">
        <w:rPr>
          <w:noProof w:val="0"/>
        </w:rPr>
        <w:tab/>
        <w:t>85</w:t>
      </w:r>
    </w:p>
    <w:p w:rsidR="008D3479" w:rsidRPr="0049492A" w:rsidRDefault="008D3479">
      <w:pPr>
        <w:pStyle w:val="Innehll2"/>
        <w:rPr>
          <w:noProof w:val="0"/>
        </w:rPr>
      </w:pPr>
      <w:r w:rsidRPr="0049492A">
        <w:rPr>
          <w:noProof w:val="0"/>
        </w:rPr>
        <w:t>Självkostnad när hyresgästen har begränsade alternativ</w:t>
      </w:r>
      <w:r w:rsidRPr="0049492A">
        <w:rPr>
          <w:noProof w:val="0"/>
        </w:rPr>
        <w:tab/>
        <w:t>87</w:t>
      </w:r>
    </w:p>
    <w:p w:rsidR="008D3479" w:rsidRPr="0049492A" w:rsidRDefault="008D3479">
      <w:pPr>
        <w:pStyle w:val="Innehll2"/>
        <w:rPr>
          <w:noProof w:val="0"/>
        </w:rPr>
      </w:pPr>
      <w:r w:rsidRPr="0049492A">
        <w:rPr>
          <w:noProof w:val="0"/>
        </w:rPr>
        <w:t>God insyn i förvaltningen och redovisning av förvaltningskostnader</w:t>
      </w:r>
      <w:r w:rsidRPr="0049492A">
        <w:rPr>
          <w:noProof w:val="0"/>
        </w:rPr>
        <w:tab/>
        <w:t>89</w:t>
      </w:r>
    </w:p>
    <w:p w:rsidR="008D3479" w:rsidRPr="0049492A" w:rsidRDefault="008D3479">
      <w:pPr>
        <w:pStyle w:val="Innehll2"/>
        <w:rPr>
          <w:noProof w:val="0"/>
        </w:rPr>
      </w:pPr>
      <w:r w:rsidRPr="0049492A">
        <w:rPr>
          <w:noProof w:val="0"/>
        </w:rPr>
        <w:t>Gemensamt upprättade förvaltningsplaner</w:t>
      </w:r>
      <w:r w:rsidRPr="0049492A">
        <w:rPr>
          <w:noProof w:val="0"/>
        </w:rPr>
        <w:tab/>
        <w:t>90</w:t>
      </w:r>
    </w:p>
    <w:p w:rsidR="008D3479" w:rsidRPr="0049492A" w:rsidRDefault="008D3479">
      <w:pPr>
        <w:pStyle w:val="Innehll2"/>
        <w:rPr>
          <w:noProof w:val="0"/>
        </w:rPr>
      </w:pPr>
      <w:r w:rsidRPr="0049492A">
        <w:rPr>
          <w:noProof w:val="0"/>
        </w:rPr>
        <w:t>Effektiviseringar i myndigheters lokalutnyttjande</w:t>
      </w:r>
      <w:r w:rsidRPr="0049492A">
        <w:rPr>
          <w:noProof w:val="0"/>
        </w:rPr>
        <w:tab/>
        <w:t>91</w:t>
      </w:r>
    </w:p>
    <w:p w:rsidR="008D3479" w:rsidRPr="0049492A" w:rsidRDefault="008D3479">
      <w:pPr>
        <w:pStyle w:val="Innehll2"/>
        <w:rPr>
          <w:noProof w:val="0"/>
        </w:rPr>
      </w:pPr>
      <w:r w:rsidRPr="0049492A">
        <w:rPr>
          <w:noProof w:val="0"/>
        </w:rPr>
        <w:t>Ett statligt expertorgan för samråd kring hyressättning</w:t>
      </w:r>
      <w:r w:rsidRPr="0049492A">
        <w:rPr>
          <w:noProof w:val="0"/>
        </w:rPr>
        <w:tab/>
        <w:t>92</w:t>
      </w:r>
    </w:p>
    <w:p w:rsidR="008D3479" w:rsidRPr="0049492A" w:rsidRDefault="008D3479">
      <w:pPr>
        <w:spacing w:before="0"/>
      </w:pPr>
    </w:p>
    <w:p w:rsidR="008D3479" w:rsidRPr="0049492A" w:rsidRDefault="008D3479">
      <w:pPr>
        <w:pStyle w:val="Normaltindrag"/>
      </w:pPr>
    </w:p>
    <w:p w:rsidR="008D3479" w:rsidRPr="0049492A" w:rsidRDefault="008D3479">
      <w:pPr>
        <w:pStyle w:val="Tryckort"/>
        <w:framePr w:wrap="around"/>
      </w:pPr>
      <w:r w:rsidRPr="0049492A">
        <w:t>Elanders Gotab, Stockholm  2000</w:t>
      </w:r>
    </w:p>
    <w:p w:rsidR="008D3479" w:rsidRPr="0049492A" w:rsidRDefault="008D3479">
      <w:pPr>
        <w:pStyle w:val="Normaltindrag"/>
      </w:pPr>
    </w:p>
    <w:sectPr w:rsidR="008D3479" w:rsidRPr="0049492A">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479" w:rsidRPr="0049492A" w:rsidRDefault="008D3479">
      <w:pPr>
        <w:spacing w:before="0" w:line="240" w:lineRule="auto"/>
      </w:pPr>
      <w:r w:rsidRPr="0049492A">
        <w:separator/>
      </w:r>
    </w:p>
  </w:endnote>
  <w:endnote w:type="continuationSeparator" w:id="0">
    <w:p w:rsidR="008D3479" w:rsidRPr="0049492A" w:rsidRDefault="008D3479">
      <w:pPr>
        <w:spacing w:before="0" w:line="240" w:lineRule="auto"/>
      </w:pPr>
      <w:r w:rsidRPr="00494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1</w:t>
    </w:r>
    <w:r w:rsidRPr="0049492A">
      <w:fldChar w:fldCharType="end"/>
    </w:r>
  </w:p>
  <w:p w:rsidR="008D3479" w:rsidRPr="0049492A" w:rsidRDefault="008D347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93</w:t>
    </w:r>
    <w:r w:rsidRPr="0049492A">
      <w:fldChar w:fldCharType="end"/>
    </w:r>
    <w:bookmarkStart w:id="1646" w:name="Textstart"/>
    <w:bookmarkEnd w:id="1646"/>
  </w:p>
  <w:p w:rsidR="008D3479" w:rsidRPr="0049492A" w:rsidRDefault="008D347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95</w:t>
    </w:r>
    <w:r w:rsidRPr="0049492A">
      <w:fldChar w:fldCharType="end"/>
    </w:r>
  </w:p>
  <w:p w:rsidR="008D3479" w:rsidRPr="0049492A" w:rsidRDefault="008D34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2</w:t>
    </w:r>
    <w:r w:rsidRPr="0049492A">
      <w:fldChar w:fldCharType="end"/>
    </w:r>
  </w:p>
  <w:p w:rsidR="008D3479" w:rsidRPr="0049492A" w:rsidRDefault="008D34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13</w:t>
    </w:r>
    <w:r w:rsidRPr="0049492A">
      <w:fldChar w:fldCharType="end"/>
    </w:r>
  </w:p>
  <w:p w:rsidR="008D3479" w:rsidRPr="0049492A" w:rsidRDefault="008D347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14</w:t>
    </w:r>
    <w:r w:rsidRPr="0049492A">
      <w:fldChar w:fldCharType="end"/>
    </w:r>
  </w:p>
  <w:p w:rsidR="008D3479" w:rsidRPr="0049492A" w:rsidRDefault="008D347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15</w:t>
    </w:r>
    <w:r w:rsidRPr="0049492A">
      <w:fldChar w:fldCharType="end"/>
    </w:r>
  </w:p>
  <w:p w:rsidR="008D3479" w:rsidRPr="0049492A" w:rsidRDefault="008D347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16</w:t>
    </w:r>
    <w:r w:rsidRPr="0049492A">
      <w:fldChar w:fldCharType="end"/>
    </w:r>
  </w:p>
  <w:p w:rsidR="008D3479" w:rsidRPr="0049492A" w:rsidRDefault="008D347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72</w:t>
    </w:r>
    <w:r w:rsidRPr="0049492A">
      <w:fldChar w:fldCharType="end"/>
    </w:r>
  </w:p>
  <w:p w:rsidR="008D3479" w:rsidRPr="0049492A" w:rsidRDefault="008D347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80</w:t>
    </w:r>
    <w:r w:rsidRPr="0049492A">
      <w:fldChar w:fldCharType="end"/>
    </w:r>
  </w:p>
  <w:p w:rsidR="008D3479" w:rsidRPr="0049492A" w:rsidRDefault="008D347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Pr="0049492A" w:rsidRDefault="008D3479">
    <w:pPr>
      <w:pStyle w:val="SidfotH"/>
      <w:framePr w:wrap="around"/>
    </w:pPr>
    <w:r w:rsidRPr="0049492A">
      <w:fldChar w:fldCharType="begin" w:fldLock="1"/>
    </w:r>
    <w:r w:rsidRPr="0049492A">
      <w:instrText xml:space="preserve"> PAGE </w:instrText>
    </w:r>
    <w:r w:rsidRPr="0049492A">
      <w:fldChar w:fldCharType="separate"/>
    </w:r>
    <w:r w:rsidRPr="0049492A">
      <w:t>84</w:t>
    </w:r>
    <w:r w:rsidRPr="0049492A">
      <w:fldChar w:fldCharType="end"/>
    </w:r>
  </w:p>
  <w:p w:rsidR="008D3479" w:rsidRPr="0049492A" w:rsidRDefault="008D3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479" w:rsidRPr="0049492A" w:rsidRDefault="008D3479">
      <w:pPr>
        <w:pStyle w:val="Sidfot"/>
      </w:pPr>
    </w:p>
  </w:footnote>
  <w:footnote w:type="continuationSeparator" w:id="0">
    <w:p w:rsidR="008D3479" w:rsidRPr="0049492A" w:rsidRDefault="008D3479">
      <w:pPr>
        <w:spacing w:before="0" w:line="240" w:lineRule="auto"/>
      </w:pPr>
      <w:r w:rsidRPr="0049492A">
        <w:continuationSeparator/>
      </w:r>
    </w:p>
  </w:footnote>
  <w:footnote w:id="1">
    <w:p w:rsidR="008D3479" w:rsidRPr="0049492A" w:rsidRDefault="008D3479">
      <w:pPr>
        <w:pStyle w:val="Fotnotstext"/>
      </w:pPr>
      <w:r w:rsidRPr="0049492A">
        <w:rPr>
          <w:rStyle w:val="Fotnotsreferens"/>
        </w:rPr>
        <w:footnoteRef/>
      </w:r>
      <w:r w:rsidRPr="0049492A">
        <w:t xml:space="preserve"> Dramaten, Operan, Nationalmuseum, Naturhistoriska riksmuseet samt Historiska museet.</w:t>
      </w:r>
    </w:p>
  </w:footnote>
  <w:footnote w:id="2">
    <w:p w:rsidR="008D3479" w:rsidRPr="0049492A" w:rsidRDefault="008D3479">
      <w:pPr>
        <w:pStyle w:val="Fotnotstext"/>
      </w:pPr>
      <w:r w:rsidRPr="0049492A">
        <w:rPr>
          <w:rStyle w:val="Fotnotsreferens"/>
        </w:rPr>
        <w:footnoteRef/>
      </w:r>
      <w:r w:rsidRPr="0049492A">
        <w:t xml:space="preserve"> En ändamålsfastighet är en fastighet som är utformad för ett särskilt ändamål, t.ex. teater, bensinstation, etc. </w:t>
      </w:r>
    </w:p>
  </w:footnote>
  <w:footnote w:id="3">
    <w:p w:rsidR="008D3479" w:rsidRPr="0049492A" w:rsidRDefault="008D3479">
      <w:pPr>
        <w:pStyle w:val="Fotnotstext"/>
      </w:pPr>
      <w:r w:rsidRPr="0049492A">
        <w:rPr>
          <w:rStyle w:val="Fotnotsreferens"/>
        </w:rPr>
        <w:footnoteRef/>
      </w:r>
      <w:r w:rsidRPr="0049492A">
        <w:t xml:space="preserve"> Riksdagens revisorer, förstudie 2000/01:12.</w:t>
      </w:r>
    </w:p>
  </w:footnote>
  <w:footnote w:id="4">
    <w:p w:rsidR="008D3479" w:rsidRPr="0049492A" w:rsidRDefault="008D3479">
      <w:pPr>
        <w:pStyle w:val="Fotnotstext"/>
      </w:pPr>
      <w:r w:rsidRPr="0049492A">
        <w:rPr>
          <w:rStyle w:val="Fotnotsreferens"/>
        </w:rPr>
        <w:footnoteRef/>
      </w:r>
      <w:r w:rsidRPr="0049492A">
        <w:t xml:space="preserve"> Fortifikationsverket, Akademiska Hus AB och Specialfastigheter Sverige AB.</w:t>
      </w:r>
    </w:p>
  </w:footnote>
  <w:footnote w:id="5">
    <w:p w:rsidR="008D3479" w:rsidRPr="0049492A" w:rsidRDefault="008D3479">
      <w:pPr>
        <w:pStyle w:val="Fotnotstext"/>
      </w:pPr>
      <w:r w:rsidRPr="0049492A">
        <w:rPr>
          <w:rStyle w:val="Fotnotsreferens"/>
        </w:rPr>
        <w:footnoteRef/>
      </w:r>
      <w:r w:rsidRPr="0049492A">
        <w:t xml:space="preserve"> Prop. 1991/92:44.</w:t>
      </w:r>
    </w:p>
  </w:footnote>
  <w:footnote w:id="6">
    <w:p w:rsidR="008D3479" w:rsidRPr="0049492A" w:rsidRDefault="008D3479">
      <w:pPr>
        <w:pStyle w:val="Fotnotstext"/>
      </w:pPr>
      <w:r w:rsidRPr="0049492A">
        <w:rPr>
          <w:rStyle w:val="Fotnotsreferens"/>
        </w:rPr>
        <w:footnoteRef/>
      </w:r>
      <w:r w:rsidRPr="0049492A">
        <w:t xml:space="preserve"> SOU 1996:187.</w:t>
      </w:r>
    </w:p>
  </w:footnote>
  <w:footnote w:id="7">
    <w:p w:rsidR="008D3479" w:rsidRPr="0049492A" w:rsidRDefault="008D3479">
      <w:pPr>
        <w:pStyle w:val="Fotnotstext"/>
      </w:pPr>
      <w:r w:rsidRPr="0049492A">
        <w:rPr>
          <w:rStyle w:val="Fotnotsreferens"/>
        </w:rPr>
        <w:footnoteRef/>
      </w:r>
      <w:r w:rsidRPr="0049492A">
        <w:t xml:space="preserve"> Prop. 1986/87:99.</w:t>
      </w:r>
    </w:p>
  </w:footnote>
  <w:footnote w:id="8">
    <w:p w:rsidR="008D3479" w:rsidRPr="0049492A" w:rsidRDefault="008D3479">
      <w:pPr>
        <w:spacing w:line="320" w:lineRule="atLeast"/>
        <w:ind w:right="566"/>
        <w:rPr>
          <w:sz w:val="20"/>
        </w:rPr>
      </w:pPr>
      <w:r w:rsidRPr="0049492A">
        <w:rPr>
          <w:rStyle w:val="Fotnotsreferens"/>
          <w:sz w:val="20"/>
        </w:rPr>
        <w:footnoteRef/>
      </w:r>
      <w:r w:rsidRPr="0049492A">
        <w:rPr>
          <w:sz w:val="17"/>
        </w:rPr>
        <w:t xml:space="preserve"> Prop. 1990/91:100 s. 53.</w:t>
      </w:r>
    </w:p>
  </w:footnote>
  <w:footnote w:id="9">
    <w:p w:rsidR="008D3479" w:rsidRPr="0049492A" w:rsidRDefault="008D3479">
      <w:pPr>
        <w:pStyle w:val="Fotnotstext"/>
      </w:pPr>
      <w:r w:rsidRPr="0049492A">
        <w:rPr>
          <w:rStyle w:val="Fotnotsreferens"/>
        </w:rPr>
        <w:footnoteRef/>
      </w:r>
      <w:r w:rsidRPr="0049492A">
        <w:t xml:space="preserve"> Prop. 1990/91:100 s. 54.</w:t>
      </w:r>
    </w:p>
  </w:footnote>
  <w:footnote w:id="10">
    <w:p w:rsidR="008D3479" w:rsidRPr="0049492A" w:rsidRDefault="008D3479">
      <w:pPr>
        <w:pStyle w:val="Fotnotstext"/>
      </w:pPr>
      <w:r w:rsidRPr="0049492A">
        <w:rPr>
          <w:rStyle w:val="Fotnotsreferens"/>
        </w:rPr>
        <w:footnoteRef/>
      </w:r>
      <w:r w:rsidRPr="0049492A">
        <w:t xml:space="preserve">  SOU 1997:96 s. 27.</w:t>
      </w:r>
    </w:p>
  </w:footnote>
  <w:footnote w:id="11">
    <w:p w:rsidR="008D3479" w:rsidRPr="0049492A" w:rsidRDefault="008D3479">
      <w:pPr>
        <w:pStyle w:val="Fotnotstext"/>
      </w:pPr>
      <w:r w:rsidRPr="0049492A">
        <w:rPr>
          <w:rStyle w:val="Fotnotsreferens"/>
          <w:sz w:val="20"/>
        </w:rPr>
        <w:footnoteRef/>
      </w:r>
      <w:r w:rsidRPr="0049492A">
        <w:t xml:space="preserve"> Prop. 1990/91:150, bet. 1990/91:FiU30, rskr. 1990/91:386. </w:t>
      </w:r>
    </w:p>
  </w:footnote>
  <w:footnote w:id="12">
    <w:p w:rsidR="008D3479" w:rsidRPr="0049492A" w:rsidRDefault="008D3479">
      <w:pPr>
        <w:pStyle w:val="Normaltindrag"/>
        <w:rPr>
          <w:sz w:val="17"/>
        </w:rPr>
      </w:pPr>
      <w:r w:rsidRPr="0049492A">
        <w:rPr>
          <w:rStyle w:val="Fotnotsreferens"/>
        </w:rPr>
        <w:footnoteRef/>
      </w:r>
      <w:r w:rsidRPr="0049492A">
        <w:t xml:space="preserve"> </w:t>
      </w:r>
      <w:r w:rsidRPr="0049492A">
        <w:rPr>
          <w:sz w:val="17"/>
        </w:rPr>
        <w:t>En mindre del av statens fastigheter, t.ex. slott och monument, ger små eller inga intäkter, konstaterades i prop. 1991/92:44. Avyttring ansågs inte aktuell eftersom de är en del av kultur</w:t>
      </w:r>
      <w:r w:rsidRPr="0049492A">
        <w:rPr>
          <w:sz w:val="17"/>
        </w:rPr>
        <w:softHyphen/>
        <w:t>arvet, men regeringen betonade vikten av att kostnaderna för drift och underhåll även för dessa objekt redovisades i statsbu</w:t>
      </w:r>
      <w:r w:rsidRPr="0049492A">
        <w:rPr>
          <w:sz w:val="17"/>
        </w:rPr>
        <w:t>d</w:t>
      </w:r>
      <w:r w:rsidRPr="0049492A">
        <w:rPr>
          <w:sz w:val="17"/>
        </w:rPr>
        <w:t xml:space="preserve">geten. </w:t>
      </w:r>
    </w:p>
  </w:footnote>
  <w:footnote w:id="13">
    <w:p w:rsidR="008D3479" w:rsidRPr="0049492A" w:rsidRDefault="008D3479">
      <w:pPr>
        <w:pStyle w:val="Fotnotstext"/>
      </w:pPr>
      <w:r w:rsidRPr="0049492A">
        <w:rPr>
          <w:rStyle w:val="Fotnotsreferens"/>
          <w:sz w:val="20"/>
        </w:rPr>
        <w:footnoteRef/>
      </w:r>
      <w:r w:rsidRPr="0049492A">
        <w:t xml:space="preserve"> Prop. 1991/1992:44, bet. 1991/92:FiU8, rskr. 1991/92:107.</w:t>
      </w:r>
    </w:p>
  </w:footnote>
  <w:footnote w:id="14">
    <w:p w:rsidR="008D3479" w:rsidRPr="0049492A" w:rsidRDefault="008D3479">
      <w:pPr>
        <w:pStyle w:val="Fotnotstext"/>
      </w:pPr>
      <w:r w:rsidRPr="0049492A">
        <w:rPr>
          <w:rStyle w:val="Fotnotsreferens"/>
        </w:rPr>
        <w:footnoteRef/>
      </w:r>
      <w:r w:rsidRPr="0049492A">
        <w:t xml:space="preserve"> Bet. 1992/93:FiU08, rskr. 1992/93:123.</w:t>
      </w:r>
    </w:p>
  </w:footnote>
  <w:footnote w:id="15">
    <w:p w:rsidR="008D3479" w:rsidRPr="0049492A" w:rsidRDefault="008D3479">
      <w:pPr>
        <w:pStyle w:val="Fotnotstext"/>
      </w:pPr>
      <w:r w:rsidRPr="0049492A">
        <w:rPr>
          <w:rStyle w:val="Fotnotsreferens"/>
        </w:rPr>
        <w:footnoteRef/>
      </w:r>
      <w:r w:rsidRPr="0049492A">
        <w:t xml:space="preserve"> Definitioner från prop. 1991/92:44 s. 3. </w:t>
      </w:r>
    </w:p>
  </w:footnote>
  <w:footnote w:id="16">
    <w:p w:rsidR="008D3479" w:rsidRPr="0049492A" w:rsidRDefault="008D3479">
      <w:pPr>
        <w:pStyle w:val="Fotnotstext"/>
      </w:pPr>
      <w:r w:rsidRPr="0049492A">
        <w:rPr>
          <w:rStyle w:val="Fotnotsreferens"/>
        </w:rPr>
        <w:footnoteRef/>
      </w:r>
      <w:r w:rsidRPr="0049492A">
        <w:t xml:space="preserve"> SOU 1996:187 s. 20.</w:t>
      </w:r>
    </w:p>
  </w:footnote>
  <w:footnote w:id="17">
    <w:p w:rsidR="008D3479" w:rsidRPr="0049492A" w:rsidRDefault="008D3479">
      <w:pPr>
        <w:pStyle w:val="Fotnotstext"/>
      </w:pPr>
      <w:r w:rsidRPr="0049492A">
        <w:rPr>
          <w:rStyle w:val="Fotnotsreferens"/>
        </w:rPr>
        <w:footnoteRef/>
      </w:r>
      <w:r w:rsidRPr="0049492A">
        <w:t xml:space="preserve"> Statens lokalförsörjningsverk, rapport nr 1996:23 s. 21.</w:t>
      </w:r>
    </w:p>
  </w:footnote>
  <w:footnote w:id="18">
    <w:p w:rsidR="008D3479" w:rsidRPr="0049492A" w:rsidRDefault="008D3479">
      <w:pPr>
        <w:pStyle w:val="Fotnotstext"/>
      </w:pPr>
      <w:r w:rsidRPr="0049492A">
        <w:rPr>
          <w:rStyle w:val="Fotnotsreferens"/>
        </w:rPr>
        <w:footnoteRef/>
      </w:r>
      <w:r w:rsidRPr="0049492A">
        <w:t xml:space="preserve"> Statens lokalförsörjningsverk, dnr 36-54/1996.</w:t>
      </w:r>
    </w:p>
  </w:footnote>
  <w:footnote w:id="19">
    <w:p w:rsidR="008D3479" w:rsidRPr="0049492A" w:rsidRDefault="008D3479">
      <w:pPr>
        <w:pStyle w:val="Fotnotstext"/>
      </w:pPr>
      <w:r w:rsidRPr="0049492A">
        <w:rPr>
          <w:rStyle w:val="Fotnotsreferens"/>
        </w:rPr>
        <w:footnoteRef/>
      </w:r>
      <w:r w:rsidRPr="0049492A">
        <w:t xml:space="preserve"> SOU 1997:96.</w:t>
      </w:r>
    </w:p>
  </w:footnote>
  <w:footnote w:id="20">
    <w:p w:rsidR="008D3479" w:rsidRPr="0049492A" w:rsidRDefault="008D3479">
      <w:pPr>
        <w:pStyle w:val="Fotnotstext"/>
      </w:pPr>
      <w:r w:rsidRPr="0049492A">
        <w:rPr>
          <w:rStyle w:val="Fotnotsreferens"/>
        </w:rPr>
        <w:footnoteRef/>
      </w:r>
      <w:r w:rsidRPr="0049492A">
        <w:t xml:space="preserve"> SOU 1997:96 s. 16.</w:t>
      </w:r>
    </w:p>
  </w:footnote>
  <w:footnote w:id="21">
    <w:p w:rsidR="008D3479" w:rsidRPr="0049492A" w:rsidRDefault="008D3479">
      <w:pPr>
        <w:pStyle w:val="Fotnotstext"/>
      </w:pPr>
      <w:r w:rsidRPr="0049492A">
        <w:rPr>
          <w:rStyle w:val="Fotnotsreferens"/>
        </w:rPr>
        <w:footnoteRef/>
      </w:r>
      <w:r w:rsidRPr="0049492A">
        <w:t xml:space="preserve"> SOU 1997:96.</w:t>
      </w:r>
    </w:p>
  </w:footnote>
  <w:footnote w:id="22">
    <w:p w:rsidR="008D3479" w:rsidRPr="0049492A" w:rsidRDefault="008D3479">
      <w:pPr>
        <w:pStyle w:val="Fotnotstext"/>
      </w:pPr>
      <w:r w:rsidRPr="0049492A">
        <w:rPr>
          <w:rStyle w:val="Fotnotsreferens"/>
        </w:rPr>
        <w:footnoteRef/>
      </w:r>
      <w:r w:rsidRPr="0049492A">
        <w:t xml:space="preserve"> Prop. 1997/98:137, bet. 1997/98:FiU25, rskr. 1997/98:252.</w:t>
      </w:r>
    </w:p>
  </w:footnote>
  <w:footnote w:id="23">
    <w:p w:rsidR="008D3479" w:rsidRPr="0049492A" w:rsidRDefault="008D3479">
      <w:pPr>
        <w:pStyle w:val="Fotnotstext"/>
      </w:pPr>
      <w:r w:rsidRPr="0049492A">
        <w:rPr>
          <w:rStyle w:val="Fotnotsreferens"/>
        </w:rPr>
        <w:footnoteRef/>
      </w:r>
      <w:r w:rsidRPr="0049492A">
        <w:t xml:space="preserve"> 1995/96:RR11, s. 7, rapport 1995/96:4.</w:t>
      </w:r>
    </w:p>
  </w:footnote>
  <w:footnote w:id="24">
    <w:p w:rsidR="008D3479" w:rsidRPr="0049492A" w:rsidRDefault="008D3479">
      <w:pPr>
        <w:pStyle w:val="Fotnotstext"/>
      </w:pPr>
      <w:r w:rsidRPr="0049492A">
        <w:rPr>
          <w:rStyle w:val="Fotnotsreferens"/>
        </w:rPr>
        <w:footnoteRef/>
      </w:r>
      <w:r w:rsidRPr="0049492A">
        <w:t xml:space="preserve"> SOU 1997:96. </w:t>
      </w:r>
    </w:p>
  </w:footnote>
  <w:footnote w:id="25">
    <w:p w:rsidR="008D3479" w:rsidRPr="0049492A" w:rsidRDefault="008D3479">
      <w:pPr>
        <w:pStyle w:val="Fotnotstext"/>
      </w:pPr>
      <w:r w:rsidRPr="0049492A">
        <w:rPr>
          <w:rStyle w:val="Fotnotsreferens"/>
        </w:rPr>
        <w:footnoteRef/>
      </w:r>
      <w:r w:rsidRPr="0049492A">
        <w:t xml:space="preserve"> Bet. 1997/98:FiU25, rskr. 1997/98:252.</w:t>
      </w:r>
    </w:p>
  </w:footnote>
  <w:footnote w:id="26">
    <w:p w:rsidR="008D3479" w:rsidRPr="0049492A" w:rsidRDefault="008D3479">
      <w:pPr>
        <w:pStyle w:val="Fotnotstext"/>
      </w:pPr>
      <w:r w:rsidRPr="0049492A">
        <w:rPr>
          <w:rStyle w:val="Fotnotsreferens"/>
        </w:rPr>
        <w:footnoteRef/>
      </w:r>
      <w:r w:rsidRPr="0049492A">
        <w:t xml:space="preserve"> Begreppet självkostnadshyra diskuteras mer ingående i bilaga 1. </w:t>
      </w:r>
    </w:p>
  </w:footnote>
  <w:footnote w:id="27">
    <w:p w:rsidR="008D3479" w:rsidRPr="0049492A" w:rsidRDefault="008D3479">
      <w:pPr>
        <w:pStyle w:val="Fotnotstext"/>
      </w:pPr>
      <w:r w:rsidRPr="0049492A">
        <w:rPr>
          <w:rStyle w:val="Fotnotsreferens"/>
        </w:rPr>
        <w:footnoteRef/>
      </w:r>
      <w:r w:rsidRPr="0049492A">
        <w:t xml:space="preserve"> Begreppet förvaltningsplan definieras i bilaga 1. </w:t>
      </w:r>
    </w:p>
  </w:footnote>
  <w:footnote w:id="28">
    <w:p w:rsidR="008D3479" w:rsidRPr="0049492A" w:rsidRDefault="008D3479">
      <w:pPr>
        <w:pStyle w:val="Fotnotstext"/>
      </w:pPr>
      <w:r w:rsidRPr="0049492A">
        <w:rPr>
          <w:rStyle w:val="Fotnotsreferens"/>
        </w:rPr>
        <w:footnoteRef/>
      </w:r>
      <w:r w:rsidRPr="0049492A">
        <w:t xml:space="preserve"> Bet. 1997/98:FiU25, rskr. 1997/98:252.</w:t>
      </w:r>
    </w:p>
  </w:footnote>
  <w:footnote w:id="29">
    <w:p w:rsidR="008D3479" w:rsidRPr="0049492A" w:rsidRDefault="008D3479">
      <w:pPr>
        <w:pStyle w:val="Fotnotstext"/>
      </w:pPr>
      <w:r w:rsidRPr="0049492A">
        <w:rPr>
          <w:rStyle w:val="Fotnotsreferens"/>
        </w:rPr>
        <w:footnoteRef/>
      </w:r>
      <w:r w:rsidRPr="0049492A">
        <w:t xml:space="preserve"> Avkastningsunderlag och fastighetsvärdering diskuteras mer ingående i bilaga 1. </w:t>
      </w:r>
    </w:p>
  </w:footnote>
  <w:footnote w:id="30">
    <w:p w:rsidR="008D3479" w:rsidRPr="0049492A" w:rsidRDefault="008D3479">
      <w:pPr>
        <w:pStyle w:val="Fotnotstext"/>
      </w:pPr>
      <w:r w:rsidRPr="0049492A">
        <w:rPr>
          <w:rStyle w:val="Fotnotsreferens"/>
        </w:rPr>
        <w:footnoteRef/>
      </w:r>
      <w:r w:rsidRPr="0049492A">
        <w:t xml:space="preserve"> Begreppet avkastningskrav diskuteras mer ingående i bilaga 1. </w:t>
      </w:r>
    </w:p>
  </w:footnote>
  <w:footnote w:id="31">
    <w:p w:rsidR="008D3479" w:rsidRPr="0049492A" w:rsidRDefault="008D3479">
      <w:pPr>
        <w:pStyle w:val="Fotnotstext"/>
      </w:pPr>
      <w:r w:rsidRPr="0049492A">
        <w:rPr>
          <w:rStyle w:val="Fotnotsreferens"/>
        </w:rPr>
        <w:footnoteRef/>
      </w:r>
      <w:r w:rsidRPr="0049492A">
        <w:t xml:space="preserve"> Prop. 1991/92:44, bet. 1991/92:FiU8, rskr. 1991/92:107.</w:t>
      </w:r>
    </w:p>
  </w:footnote>
  <w:footnote w:id="32">
    <w:p w:rsidR="008D3479" w:rsidRPr="0049492A" w:rsidRDefault="008D3479">
      <w:pPr>
        <w:pStyle w:val="Fotnotstext"/>
      </w:pPr>
      <w:r w:rsidRPr="0049492A">
        <w:rPr>
          <w:rStyle w:val="Fotnotsreferens"/>
        </w:rPr>
        <w:footnoteRef/>
      </w:r>
      <w:r w:rsidRPr="0049492A">
        <w:t xml:space="preserve"> Bet. 1997/98:FiU25.</w:t>
      </w:r>
    </w:p>
  </w:footnote>
  <w:footnote w:id="33">
    <w:p w:rsidR="008D3479" w:rsidRPr="0049492A" w:rsidRDefault="008D3479">
      <w:pPr>
        <w:pStyle w:val="Fotnotstext"/>
      </w:pPr>
      <w:r w:rsidRPr="0049492A">
        <w:rPr>
          <w:rStyle w:val="Fotnotsreferens"/>
        </w:rPr>
        <w:footnoteRef/>
      </w:r>
      <w:r w:rsidRPr="0049492A">
        <w:t xml:space="preserve"> Rskr. 1997/98:252.</w:t>
      </w:r>
    </w:p>
  </w:footnote>
  <w:footnote w:id="34">
    <w:p w:rsidR="008D3479" w:rsidRPr="0049492A" w:rsidRDefault="008D3479">
      <w:pPr>
        <w:pStyle w:val="Fotnotstext"/>
      </w:pPr>
      <w:r w:rsidRPr="0049492A">
        <w:rPr>
          <w:rStyle w:val="Fotnotsreferens"/>
        </w:rPr>
        <w:footnoteRef/>
      </w:r>
      <w:r w:rsidRPr="0049492A">
        <w:t xml:space="preserve"> Regeringsformen 9 kap. Finansmakten, 8 §, 9 §. </w:t>
      </w:r>
    </w:p>
  </w:footnote>
  <w:footnote w:id="35">
    <w:p w:rsidR="008D3479" w:rsidRPr="0049492A" w:rsidRDefault="008D3479">
      <w:pPr>
        <w:pStyle w:val="Fotnotstext"/>
      </w:pPr>
      <w:r w:rsidRPr="0049492A">
        <w:rPr>
          <w:rStyle w:val="Fotnotsreferens"/>
        </w:rPr>
        <w:footnoteRef/>
      </w:r>
      <w:r w:rsidRPr="0049492A">
        <w:t xml:space="preserve"> SFS 1993:527.</w:t>
      </w:r>
    </w:p>
  </w:footnote>
  <w:footnote w:id="36">
    <w:p w:rsidR="008D3479" w:rsidRPr="0049492A" w:rsidRDefault="008D3479">
      <w:pPr>
        <w:pStyle w:val="Fotnotstext"/>
      </w:pPr>
      <w:r w:rsidRPr="0049492A">
        <w:rPr>
          <w:rStyle w:val="Fotnotsreferens"/>
        </w:rPr>
        <w:footnoteRef/>
      </w:r>
      <w:r w:rsidRPr="0049492A">
        <w:t xml:space="preserve"> SFS 1993:527.</w:t>
      </w:r>
    </w:p>
  </w:footnote>
  <w:footnote w:id="37">
    <w:p w:rsidR="008D3479" w:rsidRPr="0049492A" w:rsidRDefault="008D3479">
      <w:pPr>
        <w:pStyle w:val="Fotnotstext"/>
      </w:pPr>
      <w:r w:rsidRPr="0049492A">
        <w:rPr>
          <w:rStyle w:val="Fotnotsreferens"/>
        </w:rPr>
        <w:footnoteRef/>
      </w:r>
      <w:r w:rsidRPr="0049492A">
        <w:t xml:space="preserve"> Bokfört värde av materiella anläggningstillgångar år 2000. Källa: Årsredovisningar 2000. </w:t>
      </w:r>
    </w:p>
  </w:footnote>
  <w:footnote w:id="38">
    <w:p w:rsidR="008D3479" w:rsidRPr="0049492A" w:rsidRDefault="008D3479">
      <w:pPr>
        <w:pStyle w:val="Fotnotstext"/>
      </w:pPr>
      <w:r w:rsidRPr="0049492A">
        <w:rPr>
          <w:rStyle w:val="Fotnotsreferens"/>
        </w:rPr>
        <w:footnoteRef/>
      </w:r>
      <w:r w:rsidRPr="0049492A">
        <w:t xml:space="preserve"> Regeringen har föreslagit kostnadsbaserad hyra för fem kulturinstitutioners huvu</w:t>
      </w:r>
      <w:r w:rsidRPr="0049492A">
        <w:t>d</w:t>
      </w:r>
      <w:r w:rsidRPr="0049492A">
        <w:t xml:space="preserve">byggnader. Se kapitel 8. </w:t>
      </w:r>
    </w:p>
  </w:footnote>
  <w:footnote w:id="39">
    <w:p w:rsidR="008D3479" w:rsidRPr="0049492A" w:rsidRDefault="008D3479">
      <w:pPr>
        <w:pStyle w:val="Fotnotstext"/>
      </w:pPr>
      <w:r w:rsidRPr="0049492A">
        <w:rPr>
          <w:rStyle w:val="Fotnotsreferens"/>
        </w:rPr>
        <w:footnoteRef/>
      </w:r>
      <w:r w:rsidRPr="0049492A">
        <w:t xml:space="preserve"> Avsnittet bygger på intervju med Richard Johansson, 2001-02-21.</w:t>
      </w:r>
    </w:p>
  </w:footnote>
  <w:footnote w:id="40">
    <w:p w:rsidR="008D3479" w:rsidRPr="0049492A" w:rsidRDefault="008D3479">
      <w:pPr>
        <w:pStyle w:val="Fotnotstext"/>
      </w:pPr>
      <w:r w:rsidRPr="0049492A">
        <w:rPr>
          <w:rStyle w:val="Fotnotsreferens"/>
        </w:rPr>
        <w:footnoteRef/>
      </w:r>
      <w:r w:rsidRPr="0049492A">
        <w:t xml:space="preserve"> Bet. 1997/98:FiU25, rskr. 1997/98:252.</w:t>
      </w:r>
    </w:p>
  </w:footnote>
  <w:footnote w:id="41">
    <w:p w:rsidR="008D3479" w:rsidRPr="0049492A" w:rsidRDefault="008D3479">
      <w:pPr>
        <w:pStyle w:val="Fotnotstext"/>
      </w:pPr>
      <w:r w:rsidRPr="0049492A">
        <w:rPr>
          <w:rStyle w:val="Fotnotsreferens"/>
        </w:rPr>
        <w:footnoteRef/>
      </w:r>
      <w:r w:rsidRPr="0049492A">
        <w:t xml:space="preserve"> Balanshyra diskuteras mer ingående i bilaga 1. </w:t>
      </w:r>
    </w:p>
  </w:footnote>
  <w:footnote w:id="42">
    <w:p w:rsidR="008D3479" w:rsidRPr="0049492A" w:rsidRDefault="008D3479">
      <w:pPr>
        <w:pStyle w:val="Fotnotstext"/>
      </w:pPr>
      <w:r w:rsidRPr="0049492A">
        <w:rPr>
          <w:rStyle w:val="Fotnotsreferens"/>
        </w:rPr>
        <w:footnoteRef/>
      </w:r>
      <w:r w:rsidRPr="0049492A">
        <w:t xml:space="preserve"> Risk- och ansvarsfördelning diskuteras mer ingående i bilaga 1. </w:t>
      </w:r>
    </w:p>
  </w:footnote>
  <w:footnote w:id="43">
    <w:p w:rsidR="008D3479" w:rsidRPr="0049492A" w:rsidRDefault="008D3479">
      <w:pPr>
        <w:pStyle w:val="Fotnotstext"/>
      </w:pPr>
      <w:r w:rsidRPr="0049492A">
        <w:rPr>
          <w:rStyle w:val="Fotnotsreferens"/>
        </w:rPr>
        <w:footnoteRef/>
      </w:r>
      <w:r w:rsidRPr="0049492A">
        <w:t xml:space="preserve"> PM från SFV, 2001.</w:t>
      </w:r>
    </w:p>
  </w:footnote>
  <w:footnote w:id="44">
    <w:p w:rsidR="008D3479" w:rsidRPr="0049492A" w:rsidRDefault="008D3479">
      <w:pPr>
        <w:pStyle w:val="Fotnotstext"/>
      </w:pPr>
      <w:r w:rsidRPr="0049492A">
        <w:rPr>
          <w:rStyle w:val="Fotnotsreferens"/>
        </w:rPr>
        <w:footnoteRef/>
      </w:r>
      <w:r w:rsidRPr="0049492A">
        <w:t xml:space="preserve"> En marknadsvärdering går till så att värderaren beräknar den marknadshyra som sannolikt skulle gälla utifrån fastighetens läge och särskilda egenskaper. Från de beräknade hyresintäkterna dras sedan kostnader för drift och underhåll, vilket result</w:t>
      </w:r>
      <w:r w:rsidRPr="0049492A">
        <w:t>e</w:t>
      </w:r>
      <w:r w:rsidRPr="0049492A">
        <w:t>rar i ett s.k. driftsnetto. Utifrån detta förväntade driftsnetto och krav på förräntning och direktavkastning kan nuvärdet på fastigheten räknas fram. De s.k. bidragsfasti</w:t>
      </w:r>
      <w:r w:rsidRPr="0049492A">
        <w:t>g</w:t>
      </w:r>
      <w:r w:rsidRPr="0049492A">
        <w:t>heterna som inte ger några hyresintäkter åsattes inte något värde. Exempel på bidrag</w:t>
      </w:r>
      <w:r w:rsidRPr="0049492A">
        <w:t>s</w:t>
      </w:r>
      <w:r w:rsidRPr="0049492A">
        <w:t>fasti</w:t>
      </w:r>
      <w:r w:rsidRPr="0049492A">
        <w:t>g</w:t>
      </w:r>
      <w:r w:rsidRPr="0049492A">
        <w:t>h</w:t>
      </w:r>
      <w:r w:rsidRPr="0049492A">
        <w:t>eter är de kungliga slotten, statyer, monument, fästningar, m.m.</w:t>
      </w:r>
    </w:p>
  </w:footnote>
  <w:footnote w:id="45">
    <w:p w:rsidR="008D3479" w:rsidRPr="0049492A" w:rsidRDefault="008D3479">
      <w:pPr>
        <w:pStyle w:val="Fotnotstext"/>
      </w:pPr>
      <w:r w:rsidRPr="0049492A">
        <w:rPr>
          <w:rStyle w:val="Fotnotsreferens"/>
        </w:rPr>
        <w:footnoteRef/>
      </w:r>
      <w:r w:rsidRPr="0049492A">
        <w:t xml:space="preserve"> Avskrivningar diskuteras mer ingående i bilaga 1. </w:t>
      </w:r>
    </w:p>
  </w:footnote>
  <w:footnote w:id="46">
    <w:p w:rsidR="008D3479" w:rsidRPr="0049492A" w:rsidRDefault="008D3479">
      <w:pPr>
        <w:pStyle w:val="Fotnotstext"/>
      </w:pPr>
      <w:r w:rsidRPr="0049492A">
        <w:rPr>
          <w:rStyle w:val="Fotnotsreferens"/>
        </w:rPr>
        <w:footnoteRef/>
      </w:r>
      <w:r w:rsidRPr="0049492A">
        <w:t xml:space="preserve"> Avsnittet bygger på intervju med Ragnar Karlsson, Lars H. Gihl och Nils Wallin, 2001-02-13.</w:t>
      </w:r>
    </w:p>
  </w:footnote>
  <w:footnote w:id="47">
    <w:p w:rsidR="008D3479" w:rsidRPr="0049492A" w:rsidRDefault="008D3479">
      <w:pPr>
        <w:pStyle w:val="Fotnotstext"/>
      </w:pPr>
      <w:r w:rsidRPr="0049492A">
        <w:rPr>
          <w:rStyle w:val="Fotnotsreferens"/>
        </w:rPr>
        <w:footnoteRef/>
      </w:r>
      <w:r w:rsidRPr="0049492A">
        <w:t xml:space="preserve"> Relationen mellan Fortifikationsverket och Försvarsmakten ska granskas närmare av Riksdagens revisorer. Rapport presenteras under våren 2002. </w:t>
      </w:r>
    </w:p>
  </w:footnote>
  <w:footnote w:id="48">
    <w:p w:rsidR="008D3479" w:rsidRPr="0049492A" w:rsidRDefault="008D3479">
      <w:pPr>
        <w:pStyle w:val="Fotnotstext"/>
      </w:pPr>
      <w:r w:rsidRPr="0049492A">
        <w:rPr>
          <w:rStyle w:val="Fotnotsreferens"/>
        </w:rPr>
        <w:footnoteRef/>
      </w:r>
      <w:r w:rsidRPr="0049492A">
        <w:t xml:space="preserve"> SFS 1996:102.</w:t>
      </w:r>
    </w:p>
  </w:footnote>
  <w:footnote w:id="49">
    <w:p w:rsidR="008D3479" w:rsidRPr="0049492A" w:rsidRDefault="008D3479">
      <w:pPr>
        <w:pStyle w:val="Fotnotstext"/>
      </w:pPr>
      <w:r w:rsidRPr="0049492A">
        <w:rPr>
          <w:rStyle w:val="Fotnotsreferens"/>
        </w:rPr>
        <w:footnoteRef/>
      </w:r>
      <w:r w:rsidRPr="0049492A">
        <w:t xml:space="preserve"> Fortifikationsverket,  PM 19/01F. </w:t>
      </w:r>
    </w:p>
  </w:footnote>
  <w:footnote w:id="50">
    <w:p w:rsidR="008D3479" w:rsidRPr="0049492A" w:rsidRDefault="008D3479">
      <w:pPr>
        <w:pStyle w:val="Fotnotstext"/>
      </w:pPr>
      <w:r w:rsidRPr="0049492A">
        <w:rPr>
          <w:rStyle w:val="Fotnotsreferens"/>
        </w:rPr>
        <w:footnoteRef/>
      </w:r>
      <w:r w:rsidRPr="0049492A">
        <w:t xml:space="preserve"> SFS 1996:1188.</w:t>
      </w:r>
    </w:p>
  </w:footnote>
  <w:footnote w:id="51">
    <w:p w:rsidR="008D3479" w:rsidRPr="0049492A" w:rsidRDefault="008D3479">
      <w:pPr>
        <w:pStyle w:val="Fotnotstext"/>
      </w:pPr>
      <w:r w:rsidRPr="0049492A">
        <w:rPr>
          <w:rStyle w:val="Fotnotsreferens"/>
        </w:rPr>
        <w:footnoteRef/>
      </w:r>
      <w:r w:rsidRPr="0049492A">
        <w:t xml:space="preserve"> Intervju med Fortifikationsverket, 2001-02-13.</w:t>
      </w:r>
    </w:p>
  </w:footnote>
  <w:footnote w:id="52">
    <w:p w:rsidR="008D3479" w:rsidRPr="0049492A" w:rsidRDefault="008D3479">
      <w:pPr>
        <w:pStyle w:val="Fotnotstext"/>
      </w:pPr>
      <w:r w:rsidRPr="0049492A">
        <w:rPr>
          <w:rStyle w:val="Fotnotsreferens"/>
        </w:rPr>
        <w:footnoteRef/>
      </w:r>
      <w:r w:rsidRPr="0049492A">
        <w:t xml:space="preserve"> Skriftlig upplysning från Fortifikationsverket, 2001-08-13.</w:t>
      </w:r>
    </w:p>
  </w:footnote>
  <w:footnote w:id="53">
    <w:p w:rsidR="008D3479" w:rsidRPr="0049492A" w:rsidRDefault="008D3479">
      <w:pPr>
        <w:pStyle w:val="Fotnotstext"/>
      </w:pPr>
      <w:r w:rsidRPr="0049492A">
        <w:rPr>
          <w:rStyle w:val="Fotnotsreferens"/>
        </w:rPr>
        <w:footnoteRef/>
      </w:r>
      <w:r w:rsidRPr="0049492A">
        <w:t xml:space="preserve"> Fortifikationsverket, PM 19/01F.</w:t>
      </w:r>
    </w:p>
  </w:footnote>
  <w:footnote w:id="54">
    <w:p w:rsidR="008D3479" w:rsidRPr="0049492A" w:rsidRDefault="008D3479">
      <w:pPr>
        <w:pStyle w:val="Fotnotstext"/>
      </w:pPr>
      <w:r w:rsidRPr="0049492A">
        <w:rPr>
          <w:rStyle w:val="Fotnotsreferens"/>
        </w:rPr>
        <w:footnoteRef/>
      </w:r>
      <w:r w:rsidRPr="0049492A">
        <w:t xml:space="preserve"> Avsnittet bygger på intervju med Thomas Norell och Lennart Karlsson, </w:t>
      </w:r>
    </w:p>
    <w:p w:rsidR="008D3479" w:rsidRPr="0049492A" w:rsidRDefault="008D3479">
      <w:pPr>
        <w:pStyle w:val="Fotnotstext"/>
      </w:pPr>
      <w:r w:rsidRPr="0049492A">
        <w:t>2001-03-16.</w:t>
      </w:r>
    </w:p>
  </w:footnote>
  <w:footnote w:id="55">
    <w:p w:rsidR="008D3479" w:rsidRPr="0049492A" w:rsidRDefault="008D3479">
      <w:pPr>
        <w:pStyle w:val="Fotnotstext"/>
      </w:pPr>
      <w:r w:rsidRPr="0049492A">
        <w:rPr>
          <w:rStyle w:val="Fotnotsreferens"/>
        </w:rPr>
        <w:footnoteRef/>
      </w:r>
      <w:r w:rsidRPr="0049492A">
        <w:t xml:space="preserve"> Standard&amp;Poor’s hemsida </w:t>
      </w:r>
      <w:bookmarkStart w:id="665" w:name="_Hlt523978645"/>
      <w:r w:rsidRPr="0049492A">
        <w:fldChar w:fldCharType="begin" w:fldLock="1"/>
      </w:r>
      <w:r w:rsidRPr="0049492A">
        <w:instrText xml:space="preserve"> HYPERLINK http://www.standardandpoors.com/ratings </w:instrText>
      </w:r>
      <w:r w:rsidRPr="0049492A">
        <w:fldChar w:fldCharType="separate"/>
      </w:r>
      <w:r w:rsidRPr="0049492A">
        <w:rPr>
          <w:rStyle w:val="Hyperlnk"/>
        </w:rPr>
        <w:t>www.standardandpoors.com/ratings</w:t>
      </w:r>
      <w:r w:rsidRPr="0049492A">
        <w:fldChar w:fldCharType="end"/>
      </w:r>
      <w:bookmarkEnd w:id="665"/>
      <w:r w:rsidRPr="0049492A">
        <w:t>, Public Finance, Akademiska Hus AB, publicerad 2001-06-14.</w:t>
      </w:r>
    </w:p>
  </w:footnote>
  <w:footnote w:id="56">
    <w:p w:rsidR="008D3479" w:rsidRPr="0049492A" w:rsidRDefault="008D3479">
      <w:pPr>
        <w:pStyle w:val="Fotnotstext"/>
      </w:pPr>
      <w:r w:rsidRPr="0049492A">
        <w:rPr>
          <w:rStyle w:val="Fotnotsreferens"/>
        </w:rPr>
        <w:footnoteRef/>
      </w:r>
      <w:r w:rsidRPr="0049492A">
        <w:t xml:space="preserve"> Sådana överväganden är möjliga genom att bolag har möjlighet att välja om en viss typ av kostnad tas upp som tillgång i balansräkningen, vilket påverkar det bokförda värdet, eller om kostnaden tas upp som kostnad i resultaträkningen, vilket inte påve</w:t>
      </w:r>
      <w:r w:rsidRPr="0049492A">
        <w:t>r</w:t>
      </w:r>
      <w:r w:rsidRPr="0049492A">
        <w:t>kar det bokförda värdet.</w:t>
      </w:r>
    </w:p>
  </w:footnote>
  <w:footnote w:id="57">
    <w:p w:rsidR="008D3479" w:rsidRPr="0049492A" w:rsidRDefault="008D3479">
      <w:pPr>
        <w:pStyle w:val="Fotnotstext"/>
      </w:pPr>
      <w:r w:rsidRPr="0049492A">
        <w:rPr>
          <w:rStyle w:val="Fotnotsreferens"/>
        </w:rPr>
        <w:footnoteRef/>
      </w:r>
      <w:r w:rsidRPr="0049492A">
        <w:t xml:space="preserve"> Avsnittet bygger på intervju med Curt Bylund, Hans Hahn och Sven-Eric Hallbeck. 2001-03-29.</w:t>
      </w:r>
    </w:p>
  </w:footnote>
  <w:footnote w:id="58">
    <w:p w:rsidR="008D3479" w:rsidRPr="0049492A" w:rsidRDefault="008D3479">
      <w:pPr>
        <w:pStyle w:val="Fotnotstext"/>
      </w:pPr>
      <w:r w:rsidRPr="0049492A">
        <w:rPr>
          <w:rStyle w:val="Fotnotsreferens"/>
        </w:rPr>
        <w:footnoteRef/>
      </w:r>
      <w:r w:rsidRPr="0049492A">
        <w:t xml:space="preserve"> Bolaget förvärvade då samtliga aktier i Kriminalvårdsfastigheter Sverige AB, Fö</w:t>
      </w:r>
      <w:r w:rsidRPr="0049492A">
        <w:t>r</w:t>
      </w:r>
      <w:r w:rsidRPr="0049492A">
        <w:t>svarsfastigheter Sverige AB, Fastighetsbolaget Räddningsskolor Sverige AB och Fastighetsbolaget Specialskolor Sverige AB.</w:t>
      </w:r>
    </w:p>
  </w:footnote>
  <w:footnote w:id="59">
    <w:p w:rsidR="008D3479" w:rsidRPr="0049492A" w:rsidRDefault="008D3479">
      <w:pPr>
        <w:pStyle w:val="Fotnotstext"/>
      </w:pPr>
      <w:r w:rsidRPr="0049492A">
        <w:rPr>
          <w:rStyle w:val="Fotnotsreferens"/>
        </w:rPr>
        <w:footnoteRef/>
      </w:r>
      <w:r w:rsidRPr="0049492A">
        <w:t xml:space="preserve"> Specialfastigheter, 1999.</w:t>
      </w:r>
    </w:p>
  </w:footnote>
  <w:footnote w:id="60">
    <w:p w:rsidR="008D3479" w:rsidRPr="0049492A" w:rsidRDefault="008D3479">
      <w:pPr>
        <w:pStyle w:val="Normaltindrag"/>
        <w:rPr>
          <w:sz w:val="17"/>
        </w:rPr>
      </w:pPr>
      <w:r w:rsidRPr="0049492A">
        <w:rPr>
          <w:rStyle w:val="Fotnotsreferens"/>
        </w:rPr>
        <w:footnoteRef/>
      </w:r>
      <w:r w:rsidRPr="0049492A">
        <w:t xml:space="preserve"> </w:t>
      </w:r>
      <w:r w:rsidRPr="0049492A">
        <w:rPr>
          <w:sz w:val="17"/>
        </w:rPr>
        <w:t xml:space="preserve">SFS 1993:528. </w:t>
      </w:r>
    </w:p>
    <w:p w:rsidR="008D3479" w:rsidRPr="0049492A" w:rsidRDefault="008D3479">
      <w:pPr>
        <w:pStyle w:val="Fotnotstext"/>
      </w:pPr>
    </w:p>
  </w:footnote>
  <w:footnote w:id="61">
    <w:p w:rsidR="008D3479" w:rsidRPr="0049492A" w:rsidRDefault="008D3479">
      <w:pPr>
        <w:pStyle w:val="Fotnotstext"/>
      </w:pPr>
      <w:r w:rsidRPr="0049492A">
        <w:rPr>
          <w:rStyle w:val="Fotnotsreferens"/>
        </w:rPr>
        <w:footnoteRef/>
      </w:r>
      <w:r w:rsidRPr="0049492A">
        <w:t xml:space="preserve"> Översynens slutsatser och förslag presenteras mer ingående i kapitel 8. </w:t>
      </w:r>
    </w:p>
  </w:footnote>
  <w:footnote w:id="62">
    <w:p w:rsidR="008D3479" w:rsidRPr="0049492A" w:rsidRDefault="008D3479">
      <w:pPr>
        <w:pStyle w:val="Fotnotstext"/>
      </w:pPr>
      <w:r w:rsidRPr="0049492A">
        <w:rPr>
          <w:rStyle w:val="Fotnotsreferens"/>
        </w:rPr>
        <w:footnoteRef/>
      </w:r>
      <w:r w:rsidRPr="0049492A">
        <w:t xml:space="preserve"> Avsnittet bygger på intervju med Staffan Rydén och Karin Unghanse, 2000-10-18.</w:t>
      </w:r>
    </w:p>
  </w:footnote>
  <w:footnote w:id="63">
    <w:p w:rsidR="008D3479" w:rsidRPr="0049492A" w:rsidRDefault="008D3479">
      <w:pPr>
        <w:pStyle w:val="Fotnotstext"/>
      </w:pPr>
      <w:r w:rsidRPr="0049492A">
        <w:rPr>
          <w:rStyle w:val="Fotnotsreferens"/>
        </w:rPr>
        <w:footnoteRef/>
      </w:r>
      <w:r w:rsidRPr="0049492A">
        <w:t xml:space="preserve"> Statskontoret, 2000 a.</w:t>
      </w:r>
    </w:p>
  </w:footnote>
  <w:footnote w:id="64">
    <w:p w:rsidR="008D3479" w:rsidRPr="0049492A" w:rsidRDefault="008D3479">
      <w:pPr>
        <w:pStyle w:val="Fotnotstext"/>
      </w:pPr>
      <w:r w:rsidRPr="0049492A">
        <w:rPr>
          <w:rStyle w:val="Fotnotsreferens"/>
        </w:rPr>
        <w:footnoteRef/>
      </w:r>
      <w:r w:rsidRPr="0049492A">
        <w:t xml:space="preserve"> Avsnittet bygger på intervju med Lars Jonasson, 2000-10-27.</w:t>
      </w:r>
    </w:p>
  </w:footnote>
  <w:footnote w:id="65">
    <w:p w:rsidR="008D3479" w:rsidRPr="0049492A" w:rsidRDefault="008D3479">
      <w:pPr>
        <w:pStyle w:val="Fotnotstext"/>
      </w:pPr>
      <w:r w:rsidRPr="0049492A">
        <w:rPr>
          <w:rStyle w:val="Fotnotsreferens"/>
        </w:rPr>
        <w:footnoteRef/>
      </w:r>
      <w:r w:rsidRPr="0049492A">
        <w:t xml:space="preserve"> Statskontoret, 2000 a.</w:t>
      </w:r>
    </w:p>
  </w:footnote>
  <w:footnote w:id="66">
    <w:p w:rsidR="008D3479" w:rsidRPr="0049492A" w:rsidRDefault="008D3479">
      <w:pPr>
        <w:pStyle w:val="Fotnotstext"/>
      </w:pPr>
      <w:r w:rsidRPr="0049492A">
        <w:rPr>
          <w:rStyle w:val="Fotnotsreferens"/>
        </w:rPr>
        <w:footnoteRef/>
      </w:r>
      <w:r w:rsidRPr="0049492A">
        <w:t xml:space="preserve"> Avsnittet bygger på intervju med Desiré Edmar, Anna Hallberg och Lennart San</w:t>
      </w:r>
      <w:r w:rsidRPr="0049492A">
        <w:t>d</w:t>
      </w:r>
      <w:r w:rsidRPr="0049492A">
        <w:t>berg, 2000-10-23.</w:t>
      </w:r>
    </w:p>
  </w:footnote>
  <w:footnote w:id="67">
    <w:p w:rsidR="008D3479" w:rsidRPr="0049492A" w:rsidRDefault="008D3479">
      <w:pPr>
        <w:pStyle w:val="Fotnotstext"/>
      </w:pPr>
      <w:r w:rsidRPr="0049492A">
        <w:rPr>
          <w:rStyle w:val="Fotnotsreferens"/>
        </w:rPr>
        <w:footnoteRef/>
      </w:r>
      <w:r w:rsidRPr="0049492A">
        <w:t xml:space="preserve"> Statskontoret, 2000.</w:t>
      </w:r>
    </w:p>
  </w:footnote>
  <w:footnote w:id="68">
    <w:p w:rsidR="008D3479" w:rsidRPr="0049492A" w:rsidRDefault="008D3479">
      <w:pPr>
        <w:pStyle w:val="Fotnotstext"/>
      </w:pPr>
      <w:r w:rsidRPr="0049492A">
        <w:rPr>
          <w:rStyle w:val="Fotnotsreferens"/>
        </w:rPr>
        <w:footnoteRef/>
      </w:r>
      <w:r w:rsidRPr="0049492A">
        <w:t xml:space="preserve"> Avsnittet bygger på intervju med Maths Rigelius, 2001-03-30.</w:t>
      </w:r>
    </w:p>
  </w:footnote>
  <w:footnote w:id="69">
    <w:p w:rsidR="008D3479" w:rsidRPr="0049492A" w:rsidRDefault="008D3479">
      <w:pPr>
        <w:pStyle w:val="Fotnotstext"/>
      </w:pPr>
      <w:r w:rsidRPr="0049492A">
        <w:rPr>
          <w:rStyle w:val="Fotnotsreferens"/>
        </w:rPr>
        <w:footnoteRef/>
      </w:r>
      <w:r w:rsidRPr="0049492A">
        <w:t xml:space="preserve"> Avsnittet bygger på intervju med Håkan Westerlund, 2001-02-22.</w:t>
      </w:r>
    </w:p>
  </w:footnote>
  <w:footnote w:id="70">
    <w:p w:rsidR="008D3479" w:rsidRPr="0049492A" w:rsidRDefault="008D3479">
      <w:pPr>
        <w:pStyle w:val="Fotnotstext"/>
      </w:pPr>
      <w:r w:rsidRPr="0049492A">
        <w:rPr>
          <w:rStyle w:val="Fotnotsreferens"/>
        </w:rPr>
        <w:footnoteRef/>
      </w:r>
      <w:r w:rsidRPr="0049492A">
        <w:t xml:space="preserve"> Relationen mellan Fortifikationsverket och Försvarsmakten ska granskas närmare av Riksdagens revisorer. Rapport presenteras under våren 2002. </w:t>
      </w:r>
    </w:p>
  </w:footnote>
  <w:footnote w:id="71">
    <w:p w:rsidR="008D3479" w:rsidRPr="0049492A" w:rsidRDefault="008D3479">
      <w:pPr>
        <w:pStyle w:val="Fotnotstext"/>
      </w:pPr>
      <w:r w:rsidRPr="0049492A">
        <w:rPr>
          <w:rStyle w:val="Fotnotsreferens"/>
        </w:rPr>
        <w:footnoteRef/>
      </w:r>
      <w:r w:rsidRPr="0049492A">
        <w:t xml:space="preserve"> SOU 2000:82.</w:t>
      </w:r>
    </w:p>
  </w:footnote>
  <w:footnote w:id="72">
    <w:p w:rsidR="008D3479" w:rsidRPr="0049492A" w:rsidRDefault="008D3479">
      <w:pPr>
        <w:pStyle w:val="Fotnotstext"/>
      </w:pPr>
      <w:r w:rsidRPr="0049492A">
        <w:rPr>
          <w:rStyle w:val="Fotnotsreferens"/>
        </w:rPr>
        <w:footnoteRef/>
      </w:r>
      <w:r w:rsidRPr="0049492A">
        <w:t xml:space="preserve"> SOU 2000:82 s. 162.</w:t>
      </w:r>
    </w:p>
  </w:footnote>
  <w:footnote w:id="73">
    <w:p w:rsidR="008D3479" w:rsidRPr="0049492A" w:rsidRDefault="008D3479">
      <w:pPr>
        <w:pStyle w:val="Fotnotstext"/>
      </w:pPr>
      <w:r w:rsidRPr="0049492A">
        <w:rPr>
          <w:rStyle w:val="Fotnotsreferens"/>
        </w:rPr>
        <w:footnoteRef/>
      </w:r>
      <w:r w:rsidRPr="0049492A">
        <w:t xml:space="preserve"> Avsnittet bygger på intervju med Kerstin Lönngren, 2001-03-28.</w:t>
      </w:r>
    </w:p>
  </w:footnote>
  <w:footnote w:id="74">
    <w:p w:rsidR="008D3479" w:rsidRPr="0049492A" w:rsidRDefault="008D3479">
      <w:pPr>
        <w:pStyle w:val="Fotnotstext"/>
      </w:pPr>
      <w:r w:rsidRPr="0049492A">
        <w:rPr>
          <w:rStyle w:val="Fotnotsreferens"/>
        </w:rPr>
        <w:footnoteRef/>
      </w:r>
      <w:r w:rsidRPr="0049492A">
        <w:t xml:space="preserve"> Avsnittet bygger på intervju med Klemens Ganslandt och Lars Lavesson, </w:t>
      </w:r>
    </w:p>
    <w:p w:rsidR="008D3479" w:rsidRPr="0049492A" w:rsidRDefault="008D3479">
      <w:pPr>
        <w:pStyle w:val="Fotnotstext"/>
      </w:pPr>
      <w:r w:rsidRPr="0049492A">
        <w:t>2001-04-03.</w:t>
      </w:r>
    </w:p>
  </w:footnote>
  <w:footnote w:id="75">
    <w:p w:rsidR="008D3479" w:rsidRPr="0049492A" w:rsidRDefault="008D3479">
      <w:pPr>
        <w:pStyle w:val="Fotnotstext"/>
      </w:pPr>
      <w:r w:rsidRPr="0049492A">
        <w:rPr>
          <w:rStyle w:val="Fotnotsreferens"/>
        </w:rPr>
        <w:footnoteRef/>
      </w:r>
      <w:r w:rsidRPr="0049492A">
        <w:t xml:space="preserve"> Avsnittet bygger på intervju med Anders Lundgren, Petter Gréen och Jaak Berend</w:t>
      </w:r>
      <w:r w:rsidRPr="0049492A">
        <w:t>s</w:t>
      </w:r>
      <w:r w:rsidRPr="0049492A">
        <w:t>son, 2001-04-09.</w:t>
      </w:r>
    </w:p>
  </w:footnote>
  <w:footnote w:id="76">
    <w:p w:rsidR="008D3479" w:rsidRPr="0049492A" w:rsidRDefault="008D3479">
      <w:pPr>
        <w:pStyle w:val="Fotnotstext"/>
      </w:pPr>
      <w:r w:rsidRPr="0049492A">
        <w:rPr>
          <w:rStyle w:val="Fotnotsreferens"/>
        </w:rPr>
        <w:footnoteRef/>
      </w:r>
      <w:r w:rsidRPr="0049492A">
        <w:t xml:space="preserve"> KTH och Chalmers tekniska högskola AB, 2001.</w:t>
      </w:r>
    </w:p>
  </w:footnote>
  <w:footnote w:id="77">
    <w:p w:rsidR="008D3479" w:rsidRPr="0049492A" w:rsidRDefault="008D3479">
      <w:pPr>
        <w:pStyle w:val="Fotnotstext"/>
      </w:pPr>
      <w:r w:rsidRPr="0049492A">
        <w:rPr>
          <w:rStyle w:val="Fotnotsreferens"/>
        </w:rPr>
        <w:footnoteRef/>
      </w:r>
      <w:r w:rsidRPr="0049492A">
        <w:t xml:space="preserve"> Avsnittet bygger på intervju med Per Wallin, 2001-04-11.</w:t>
      </w:r>
    </w:p>
  </w:footnote>
  <w:footnote w:id="78">
    <w:p w:rsidR="008D3479" w:rsidRPr="0049492A" w:rsidRDefault="008D3479">
      <w:pPr>
        <w:pStyle w:val="Fotnotstext"/>
      </w:pPr>
      <w:r w:rsidRPr="0049492A">
        <w:rPr>
          <w:rStyle w:val="Fotnotsreferens"/>
        </w:rPr>
        <w:footnoteRef/>
      </w:r>
      <w:r w:rsidRPr="0049492A">
        <w:t xml:space="preserve"> Enligt frågeformulär till Urban Junhav, 2001-05-07.</w:t>
      </w:r>
    </w:p>
  </w:footnote>
  <w:footnote w:id="79">
    <w:p w:rsidR="008D3479" w:rsidRPr="0049492A" w:rsidRDefault="008D3479">
      <w:pPr>
        <w:pStyle w:val="Fotnotstext"/>
      </w:pPr>
      <w:r w:rsidRPr="0049492A">
        <w:rPr>
          <w:rStyle w:val="Fotnotsreferens"/>
        </w:rPr>
        <w:footnoteRef/>
      </w:r>
      <w:r w:rsidRPr="0049492A">
        <w:t xml:space="preserve"> Prop. 1993/94:150 bil. 1 s. 122.</w:t>
      </w:r>
    </w:p>
  </w:footnote>
  <w:footnote w:id="80">
    <w:p w:rsidR="008D3479" w:rsidRPr="0049492A" w:rsidRDefault="008D3479">
      <w:pPr>
        <w:pStyle w:val="Fotnotstext"/>
      </w:pPr>
      <w:r w:rsidRPr="0049492A">
        <w:rPr>
          <w:rStyle w:val="Fotnotsreferens"/>
        </w:rPr>
        <w:footnoteRef/>
      </w:r>
      <w:r w:rsidRPr="0049492A">
        <w:t xml:space="preserve"> Telefonsamtal med Svante Holgersson, Statskontoret, 2001-03-07.</w:t>
      </w:r>
    </w:p>
  </w:footnote>
  <w:footnote w:id="81">
    <w:p w:rsidR="008D3479" w:rsidRPr="0049492A" w:rsidRDefault="008D3479">
      <w:pPr>
        <w:pStyle w:val="Fotnotstext"/>
      </w:pPr>
      <w:r w:rsidRPr="0049492A">
        <w:rPr>
          <w:rStyle w:val="Fotnotsreferens"/>
        </w:rPr>
        <w:footnoteRef/>
      </w:r>
      <w:r w:rsidRPr="0049492A">
        <w:t xml:space="preserve"> Prop. 1991/92:44 s. 10.</w:t>
      </w:r>
    </w:p>
  </w:footnote>
  <w:footnote w:id="82">
    <w:p w:rsidR="008D3479" w:rsidRPr="0049492A" w:rsidRDefault="008D3479">
      <w:pPr>
        <w:pStyle w:val="Fotnotstext"/>
      </w:pPr>
      <w:r w:rsidRPr="0049492A">
        <w:rPr>
          <w:rStyle w:val="Fotnotsreferens"/>
        </w:rPr>
        <w:footnoteRef/>
      </w:r>
      <w:r w:rsidRPr="0049492A">
        <w:t xml:space="preserve"> Intervju med Anders Viklund, Finansdepartementet, 2001-03-27.</w:t>
      </w:r>
    </w:p>
  </w:footnote>
  <w:footnote w:id="83">
    <w:p w:rsidR="008D3479" w:rsidRPr="0049492A" w:rsidRDefault="008D3479">
      <w:pPr>
        <w:pStyle w:val="Fotnotstext"/>
      </w:pPr>
      <w:r w:rsidRPr="0049492A">
        <w:rPr>
          <w:rStyle w:val="Fotnotsreferens"/>
        </w:rPr>
        <w:footnoteRef/>
      </w:r>
      <w:r w:rsidRPr="0049492A">
        <w:t xml:space="preserve"> Prop. 1993/94:150 bil.1 s. 122.</w:t>
      </w:r>
    </w:p>
  </w:footnote>
  <w:footnote w:id="84">
    <w:p w:rsidR="008D3479" w:rsidRPr="0049492A" w:rsidRDefault="008D3479">
      <w:pPr>
        <w:pStyle w:val="Fotnotstext"/>
      </w:pPr>
      <w:r w:rsidRPr="0049492A">
        <w:rPr>
          <w:rStyle w:val="Fotnotsreferens"/>
        </w:rPr>
        <w:footnoteRef/>
      </w:r>
      <w:r w:rsidRPr="0049492A">
        <w:t xml:space="preserve"> Statskontoret, 2000 b.</w:t>
      </w:r>
    </w:p>
  </w:footnote>
  <w:footnote w:id="85">
    <w:p w:rsidR="008D3479" w:rsidRPr="0049492A" w:rsidRDefault="008D3479">
      <w:pPr>
        <w:pStyle w:val="Fotnotstext"/>
      </w:pPr>
      <w:r w:rsidRPr="0049492A">
        <w:rPr>
          <w:rStyle w:val="Fotnotsreferens"/>
        </w:rPr>
        <w:footnoteRef/>
      </w:r>
      <w:r w:rsidRPr="0049492A">
        <w:t xml:space="preserve"> Statskontoret, 2001.</w:t>
      </w:r>
    </w:p>
  </w:footnote>
  <w:footnote w:id="86">
    <w:p w:rsidR="008D3479" w:rsidRPr="0049492A" w:rsidRDefault="008D3479">
      <w:pPr>
        <w:pStyle w:val="Fotnotstext"/>
      </w:pPr>
      <w:r w:rsidRPr="0049492A">
        <w:rPr>
          <w:rStyle w:val="Fotnotsreferens"/>
        </w:rPr>
        <w:footnoteRef/>
      </w:r>
      <w:r w:rsidRPr="0049492A">
        <w:t xml:space="preserve"> En arbetsgrupp från Finansdepartementet och Statskontoret. </w:t>
      </w:r>
    </w:p>
  </w:footnote>
  <w:footnote w:id="87">
    <w:p w:rsidR="008D3479" w:rsidRPr="0049492A" w:rsidRDefault="008D3479">
      <w:pPr>
        <w:pStyle w:val="Fotnotstext"/>
      </w:pPr>
      <w:r w:rsidRPr="0049492A">
        <w:rPr>
          <w:rStyle w:val="Fotnotsreferens"/>
        </w:rPr>
        <w:footnoteRef/>
      </w:r>
      <w:r w:rsidRPr="0049492A">
        <w:t xml:space="preserve"> Telefonsamtal med Svante Holgersson, Statskontoret, 2001-03-07.</w:t>
      </w:r>
    </w:p>
  </w:footnote>
  <w:footnote w:id="88">
    <w:p w:rsidR="008D3479" w:rsidRPr="0049492A" w:rsidRDefault="008D3479">
      <w:pPr>
        <w:pStyle w:val="Fotnotstext"/>
      </w:pPr>
      <w:r w:rsidRPr="0049492A">
        <w:rPr>
          <w:rStyle w:val="Fotnotsreferens"/>
        </w:rPr>
        <w:footnoteRef/>
      </w:r>
      <w:r w:rsidRPr="0049492A">
        <w:t xml:space="preserve"> Statskont</w:t>
      </w:r>
      <w:r w:rsidRPr="0049492A">
        <w:t>o</w:t>
      </w:r>
      <w:r w:rsidRPr="0049492A">
        <w:t>ret 1998:31 s. 33 –34.</w:t>
      </w:r>
    </w:p>
  </w:footnote>
  <w:footnote w:id="89">
    <w:p w:rsidR="008D3479" w:rsidRPr="0049492A" w:rsidRDefault="008D3479">
      <w:pPr>
        <w:pStyle w:val="Fotnotstext"/>
      </w:pPr>
      <w:r w:rsidRPr="0049492A">
        <w:rPr>
          <w:rStyle w:val="Fotnotsreferens"/>
        </w:rPr>
        <w:footnoteRef/>
      </w:r>
      <w:r w:rsidRPr="0049492A">
        <w:t xml:space="preserve"> Statskont</w:t>
      </w:r>
      <w:r w:rsidRPr="0049492A">
        <w:t>o</w:t>
      </w:r>
      <w:r w:rsidRPr="0049492A">
        <w:t>ret 1998:31 s. 35.</w:t>
      </w:r>
    </w:p>
  </w:footnote>
  <w:footnote w:id="90">
    <w:p w:rsidR="008D3479" w:rsidRPr="0049492A" w:rsidRDefault="008D3479">
      <w:pPr>
        <w:pStyle w:val="Fotnotstext"/>
      </w:pPr>
      <w:r w:rsidRPr="0049492A">
        <w:rPr>
          <w:rStyle w:val="Fotnotsreferens"/>
        </w:rPr>
        <w:footnoteRef/>
      </w:r>
      <w:r w:rsidRPr="0049492A">
        <w:t xml:space="preserve"> Regeringsbeslut 1998-04-29 (Finansdepartementet).</w:t>
      </w:r>
    </w:p>
  </w:footnote>
  <w:footnote w:id="91">
    <w:p w:rsidR="008D3479" w:rsidRPr="0049492A" w:rsidRDefault="008D3479">
      <w:pPr>
        <w:pStyle w:val="Fotnotstext"/>
      </w:pPr>
      <w:r w:rsidRPr="0049492A">
        <w:rPr>
          <w:rStyle w:val="Fotnotsreferens"/>
        </w:rPr>
        <w:footnoteRef/>
      </w:r>
      <w:r w:rsidRPr="0049492A">
        <w:t xml:space="preserve"> Statskontoret 1998:31 s. 5.</w:t>
      </w:r>
    </w:p>
  </w:footnote>
  <w:footnote w:id="92">
    <w:p w:rsidR="008D3479" w:rsidRPr="0049492A" w:rsidRDefault="008D3479">
      <w:pPr>
        <w:pStyle w:val="Fotnotstext"/>
      </w:pPr>
      <w:r w:rsidRPr="0049492A">
        <w:rPr>
          <w:rStyle w:val="Fotnotsreferens"/>
        </w:rPr>
        <w:footnoteRef/>
      </w:r>
      <w:r w:rsidRPr="0049492A">
        <w:t xml:space="preserve"> Statskont</w:t>
      </w:r>
      <w:r w:rsidRPr="0049492A">
        <w:t>o</w:t>
      </w:r>
      <w:r w:rsidRPr="0049492A">
        <w:t>ret 1998:31 s. 14 -15.</w:t>
      </w:r>
    </w:p>
  </w:footnote>
  <w:footnote w:id="93">
    <w:p w:rsidR="008D3479" w:rsidRPr="0049492A" w:rsidRDefault="008D3479">
      <w:pPr>
        <w:pStyle w:val="Fotnotstext"/>
      </w:pPr>
      <w:r w:rsidRPr="0049492A">
        <w:rPr>
          <w:rStyle w:val="Fotnotsreferens"/>
        </w:rPr>
        <w:footnoteRef/>
      </w:r>
      <w:r w:rsidRPr="0049492A">
        <w:t xml:space="preserve"> Statskont</w:t>
      </w:r>
      <w:r w:rsidRPr="0049492A">
        <w:t>o</w:t>
      </w:r>
      <w:r w:rsidRPr="0049492A">
        <w:t>ret 1998:31 s. 36.</w:t>
      </w:r>
    </w:p>
  </w:footnote>
  <w:footnote w:id="94">
    <w:p w:rsidR="008D3479" w:rsidRPr="0049492A" w:rsidRDefault="008D3479">
      <w:pPr>
        <w:pStyle w:val="Fotnotstext"/>
      </w:pPr>
      <w:r w:rsidRPr="0049492A">
        <w:rPr>
          <w:rStyle w:val="Fotnotsreferens"/>
        </w:rPr>
        <w:footnoteRef/>
      </w:r>
      <w:r w:rsidRPr="0049492A">
        <w:t xml:space="preserve"> SFS 1996:1189.</w:t>
      </w:r>
    </w:p>
  </w:footnote>
  <w:footnote w:id="95">
    <w:p w:rsidR="008D3479" w:rsidRPr="0049492A" w:rsidRDefault="008D3479">
      <w:pPr>
        <w:pStyle w:val="Fotnotstext"/>
      </w:pPr>
      <w:r w:rsidRPr="0049492A">
        <w:rPr>
          <w:rStyle w:val="Fotnotsreferens"/>
        </w:rPr>
        <w:footnoteRef/>
      </w:r>
      <w:r w:rsidRPr="0049492A">
        <w:t xml:space="preserve"> Intervju med Anders Viklund, Finansdepart</w:t>
      </w:r>
      <w:r w:rsidRPr="0049492A">
        <w:t>e</w:t>
      </w:r>
      <w:r w:rsidRPr="0049492A">
        <w:t>mentet, 2001-03-27.</w:t>
      </w:r>
    </w:p>
  </w:footnote>
  <w:footnote w:id="96">
    <w:p w:rsidR="008D3479" w:rsidRPr="0049492A" w:rsidRDefault="008D3479">
      <w:pPr>
        <w:pStyle w:val="Fotnotstext"/>
      </w:pPr>
      <w:r w:rsidRPr="0049492A">
        <w:rPr>
          <w:rStyle w:val="Fotnotsreferens"/>
        </w:rPr>
        <w:footnoteRef/>
      </w:r>
      <w:r w:rsidRPr="0049492A">
        <w:t xml:space="preserve"> Intervju med Anders Viklund, Finansdepart</w:t>
      </w:r>
      <w:r w:rsidRPr="0049492A">
        <w:t>e</w:t>
      </w:r>
      <w:r w:rsidRPr="0049492A">
        <w:t>mentet, 2001-03-27.</w:t>
      </w:r>
    </w:p>
  </w:footnote>
  <w:footnote w:id="97">
    <w:p w:rsidR="008D3479" w:rsidRPr="0049492A" w:rsidRDefault="008D3479">
      <w:pPr>
        <w:pStyle w:val="Fotnotstext"/>
      </w:pPr>
      <w:r w:rsidRPr="0049492A">
        <w:rPr>
          <w:rStyle w:val="Fotnotsreferens"/>
        </w:rPr>
        <w:footnoteRef/>
      </w:r>
      <w:r w:rsidRPr="0049492A">
        <w:t xml:space="preserve"> SOU 1997:96 s. 98.</w:t>
      </w:r>
    </w:p>
  </w:footnote>
  <w:footnote w:id="98">
    <w:p w:rsidR="008D3479" w:rsidRPr="0049492A" w:rsidRDefault="008D3479">
      <w:pPr>
        <w:pStyle w:val="Fotnotstext"/>
      </w:pPr>
      <w:r w:rsidRPr="0049492A">
        <w:rPr>
          <w:rStyle w:val="Fotnotsreferens"/>
        </w:rPr>
        <w:footnoteRef/>
      </w:r>
      <w:r w:rsidRPr="0049492A">
        <w:t xml:space="preserve"> Prop. 1997/98:137 respektive bet. 1997/98:FiU25.</w:t>
      </w:r>
    </w:p>
  </w:footnote>
  <w:footnote w:id="99">
    <w:p w:rsidR="008D3479" w:rsidRPr="0049492A" w:rsidRDefault="008D3479">
      <w:pPr>
        <w:pStyle w:val="Fotnotstext"/>
      </w:pPr>
      <w:r w:rsidRPr="0049492A">
        <w:rPr>
          <w:rStyle w:val="Fotnotsreferens"/>
        </w:rPr>
        <w:footnoteRef/>
      </w:r>
      <w:r w:rsidRPr="0049492A">
        <w:t xml:space="preserve"> Regeringskansliet, 2001. </w:t>
      </w:r>
    </w:p>
  </w:footnote>
  <w:footnote w:id="100">
    <w:p w:rsidR="008D3479" w:rsidRPr="0049492A" w:rsidRDefault="008D3479">
      <w:pPr>
        <w:pStyle w:val="Normaltindrag"/>
        <w:rPr>
          <w:sz w:val="17"/>
        </w:rPr>
      </w:pPr>
      <w:r w:rsidRPr="0049492A">
        <w:rPr>
          <w:rStyle w:val="Fotnotsreferens"/>
        </w:rPr>
        <w:footnoteRef/>
      </w:r>
      <w:r w:rsidRPr="0049492A">
        <w:t xml:space="preserve"> </w:t>
      </w:r>
      <w:r w:rsidRPr="0049492A">
        <w:rPr>
          <w:sz w:val="17"/>
        </w:rPr>
        <w:t xml:space="preserve">Institutionerna tillförs dock reformmedel på sammanlagt 22,1 miljoner kronor. </w:t>
      </w:r>
    </w:p>
  </w:footnote>
  <w:footnote w:id="101">
    <w:p w:rsidR="008D3479" w:rsidRPr="0049492A" w:rsidRDefault="008D3479">
      <w:pPr>
        <w:pStyle w:val="Fotnotstext"/>
      </w:pPr>
      <w:r w:rsidRPr="0049492A">
        <w:rPr>
          <w:rStyle w:val="Fotnotsreferens"/>
        </w:rPr>
        <w:footnoteRef/>
      </w:r>
      <w:r w:rsidRPr="0049492A">
        <w:t xml:space="preserve"> Prop. 2000/01:100 s. 128, bet. 2000/01:FiU20, rskr. 2000/01:288.</w:t>
      </w:r>
    </w:p>
  </w:footnote>
  <w:footnote w:id="102">
    <w:p w:rsidR="008D3479" w:rsidRPr="0049492A" w:rsidRDefault="008D3479">
      <w:pPr>
        <w:pStyle w:val="Fotnotstext"/>
      </w:pPr>
      <w:r w:rsidRPr="0049492A">
        <w:rPr>
          <w:rStyle w:val="Fotnotsreferens"/>
        </w:rPr>
        <w:footnoteRef/>
      </w:r>
      <w:r w:rsidRPr="0049492A">
        <w:t xml:space="preserve"> Lokalkostnader för högskolefastigheter prisomräknas på samma sätt som för gen</w:t>
      </w:r>
      <w:r w:rsidRPr="0049492A">
        <w:t>e</w:t>
      </w:r>
      <w:r w:rsidRPr="0049492A">
        <w:t xml:space="preserve">rella lokaler, vilket innebär att hänsyn tas till hyresutvecklingen på marknaden. </w:t>
      </w:r>
    </w:p>
  </w:footnote>
  <w:footnote w:id="103">
    <w:p w:rsidR="008D3479" w:rsidRPr="0049492A" w:rsidRDefault="008D3479">
      <w:pPr>
        <w:pStyle w:val="Fotnotstext"/>
      </w:pPr>
      <w:r w:rsidRPr="0049492A">
        <w:rPr>
          <w:rStyle w:val="Fotnotsreferens"/>
        </w:rPr>
        <w:footnoteRef/>
      </w:r>
      <w:r w:rsidRPr="0049492A">
        <w:t xml:space="preserve"> Svenska Kommu</w:t>
      </w:r>
      <w:r w:rsidRPr="0049492A">
        <w:t>n</w:t>
      </w:r>
      <w:r w:rsidRPr="0049492A">
        <w:t xml:space="preserve">förbundet 1999 a. </w:t>
      </w:r>
    </w:p>
  </w:footnote>
  <w:footnote w:id="104">
    <w:p w:rsidR="008D3479" w:rsidRPr="0049492A" w:rsidRDefault="008D3479">
      <w:pPr>
        <w:pStyle w:val="Fotnotstext"/>
      </w:pPr>
      <w:r w:rsidRPr="0049492A">
        <w:rPr>
          <w:rStyle w:val="Fotnotsreferens"/>
        </w:rPr>
        <w:footnoteRef/>
      </w:r>
      <w:r w:rsidRPr="0049492A">
        <w:t xml:space="preserve"> Intervju med Stellan Lundström, KTH, 2001-04-10.</w:t>
      </w:r>
    </w:p>
  </w:footnote>
  <w:footnote w:id="105">
    <w:p w:rsidR="008D3479" w:rsidRPr="0049492A" w:rsidRDefault="008D3479">
      <w:pPr>
        <w:pStyle w:val="Fotnotstext"/>
      </w:pPr>
      <w:r w:rsidRPr="0049492A">
        <w:rPr>
          <w:rStyle w:val="Fotnotsreferens"/>
        </w:rPr>
        <w:footnoteRef/>
      </w:r>
      <w:r w:rsidRPr="0049492A">
        <w:t xml:space="preserve"> Statens Lokalförsörjningsverk, 1996, s. 14.</w:t>
      </w:r>
    </w:p>
  </w:footnote>
  <w:footnote w:id="106">
    <w:p w:rsidR="008D3479" w:rsidRPr="0049492A" w:rsidRDefault="008D3479">
      <w:pPr>
        <w:pStyle w:val="Fotnotstext"/>
      </w:pPr>
      <w:r w:rsidRPr="0049492A">
        <w:rPr>
          <w:rStyle w:val="Fotnotsreferens"/>
        </w:rPr>
        <w:footnoteRef/>
      </w:r>
      <w:r w:rsidRPr="0049492A">
        <w:t xml:space="preserve"> Rik</w:t>
      </w:r>
      <w:r w:rsidRPr="0049492A">
        <w:t>s</w:t>
      </w:r>
      <w:r w:rsidRPr="0049492A">
        <w:t>gäldskontorets utlåningsränta enligt förordningen (2000:1172).</w:t>
      </w:r>
    </w:p>
  </w:footnote>
  <w:footnote w:id="107">
    <w:p w:rsidR="008D3479" w:rsidRPr="0049492A" w:rsidRDefault="008D3479">
      <w:pPr>
        <w:pStyle w:val="Fotnotstext"/>
      </w:pPr>
      <w:r w:rsidRPr="0049492A">
        <w:rPr>
          <w:rStyle w:val="Fotnotsreferens"/>
        </w:rPr>
        <w:footnoteRef/>
      </w:r>
      <w:r w:rsidRPr="0049492A">
        <w:t xml:space="preserve"> Regleringsbrev för budgetåret 2001 avseende Fortifikationsverket s. 6.</w:t>
      </w:r>
    </w:p>
  </w:footnote>
  <w:footnote w:id="108">
    <w:p w:rsidR="008D3479" w:rsidRPr="0049492A" w:rsidRDefault="008D3479">
      <w:pPr>
        <w:pStyle w:val="Fotnotstext"/>
      </w:pPr>
      <w:r w:rsidRPr="0049492A">
        <w:rPr>
          <w:rStyle w:val="Fotnotsreferens"/>
        </w:rPr>
        <w:footnoteRef/>
      </w:r>
      <w:r w:rsidRPr="0049492A">
        <w:t xml:space="preserve"> SFS 1996:1188.</w:t>
      </w:r>
    </w:p>
  </w:footnote>
  <w:footnote w:id="109">
    <w:p w:rsidR="008D3479" w:rsidRPr="0049492A" w:rsidRDefault="008D3479">
      <w:pPr>
        <w:pStyle w:val="Fotnotstext"/>
      </w:pPr>
      <w:r w:rsidRPr="0049492A">
        <w:rPr>
          <w:rStyle w:val="Fotnotsreferens"/>
        </w:rPr>
        <w:footnoteRef/>
      </w:r>
      <w:r w:rsidRPr="0049492A">
        <w:t xml:space="preserve"> Svenska Kommunförbundet 1995 s. 25.</w:t>
      </w:r>
    </w:p>
  </w:footnote>
  <w:footnote w:id="110">
    <w:p w:rsidR="008D3479" w:rsidRPr="0049492A" w:rsidRDefault="008D3479">
      <w:pPr>
        <w:pStyle w:val="Fotnotstext"/>
      </w:pPr>
      <w:r w:rsidRPr="0049492A">
        <w:rPr>
          <w:rStyle w:val="Fotnotsreferens"/>
        </w:rPr>
        <w:footnoteRef/>
      </w:r>
      <w:r w:rsidRPr="0049492A">
        <w:t xml:space="preserve"> Svenska Kommunförbundet 1995 s. 24.</w:t>
      </w:r>
    </w:p>
  </w:footnote>
  <w:footnote w:id="111">
    <w:p w:rsidR="008D3479" w:rsidRPr="0049492A" w:rsidRDefault="008D3479">
      <w:pPr>
        <w:pStyle w:val="Fotnotstext"/>
      </w:pPr>
      <w:r w:rsidRPr="0049492A">
        <w:rPr>
          <w:rStyle w:val="Fotnotsreferens"/>
        </w:rPr>
        <w:footnoteRef/>
      </w:r>
      <w:r w:rsidRPr="0049492A">
        <w:t xml:space="preserve"> Svenska Kommunförbundet 1995 s. 18 och s. 60.</w:t>
      </w:r>
    </w:p>
  </w:footnote>
  <w:footnote w:id="112">
    <w:p w:rsidR="008D3479" w:rsidRPr="0049492A" w:rsidRDefault="008D3479">
      <w:pPr>
        <w:pStyle w:val="Fotnotstext"/>
      </w:pPr>
      <w:r w:rsidRPr="0049492A">
        <w:rPr>
          <w:rStyle w:val="Fotnotsreferens"/>
        </w:rPr>
        <w:footnoteRef/>
      </w:r>
      <w:r w:rsidRPr="0049492A">
        <w:t xml:space="preserve"> Svenska Kommunförbundet 1995 s. 21.</w:t>
      </w:r>
    </w:p>
  </w:footnote>
  <w:footnote w:id="113">
    <w:p w:rsidR="008D3479" w:rsidRPr="0049492A" w:rsidRDefault="008D3479">
      <w:pPr>
        <w:pStyle w:val="Fotnotstext"/>
      </w:pPr>
      <w:r w:rsidRPr="0049492A">
        <w:rPr>
          <w:rStyle w:val="Fotnotsreferens"/>
        </w:rPr>
        <w:footnoteRef/>
      </w:r>
      <w:r w:rsidRPr="0049492A">
        <w:t xml:space="preserve"> Svenska Kommunförbundet 1999 b s. 55.</w:t>
      </w:r>
    </w:p>
  </w:footnote>
  <w:footnote w:id="114">
    <w:p w:rsidR="008D3479" w:rsidRPr="0049492A" w:rsidRDefault="008D3479">
      <w:pPr>
        <w:pStyle w:val="Fotnotstext"/>
      </w:pPr>
      <w:r w:rsidRPr="0049492A">
        <w:rPr>
          <w:rStyle w:val="Fotnotsreferens"/>
        </w:rPr>
        <w:footnoteRef/>
      </w:r>
      <w:r w:rsidRPr="0049492A">
        <w:t xml:space="preserve"> Svenska Kommunförbundet 1995 s. 34.</w:t>
      </w:r>
    </w:p>
  </w:footnote>
  <w:footnote w:id="115">
    <w:p w:rsidR="008D3479" w:rsidRPr="0049492A" w:rsidRDefault="008D3479">
      <w:pPr>
        <w:pStyle w:val="Fotnotstext"/>
      </w:pPr>
      <w:r w:rsidRPr="0049492A">
        <w:rPr>
          <w:rStyle w:val="Fotnotsreferens"/>
        </w:rPr>
        <w:footnoteRef/>
      </w:r>
      <w:r w:rsidRPr="0049492A">
        <w:t xml:space="preserve"> Statens lokalförsörjningsverk 1996 s. 11.</w:t>
      </w:r>
    </w:p>
  </w:footnote>
  <w:footnote w:id="116">
    <w:p w:rsidR="008D3479" w:rsidRPr="0049492A" w:rsidRDefault="008D3479">
      <w:pPr>
        <w:pStyle w:val="Fotnotstext"/>
      </w:pPr>
      <w:r w:rsidRPr="0049492A">
        <w:rPr>
          <w:rStyle w:val="Fotnotsreferens"/>
        </w:rPr>
        <w:footnoteRef/>
      </w:r>
      <w:r w:rsidRPr="0049492A">
        <w:t xml:space="preserve"> Lind, Hans 2001.</w:t>
      </w:r>
    </w:p>
  </w:footnote>
  <w:footnote w:id="117">
    <w:p w:rsidR="008D3479" w:rsidRPr="0049492A" w:rsidRDefault="008D3479">
      <w:pPr>
        <w:pStyle w:val="Fotnotstext"/>
      </w:pPr>
      <w:r w:rsidRPr="0049492A">
        <w:rPr>
          <w:rStyle w:val="Fotnotsreferens"/>
        </w:rPr>
        <w:footnoteRef/>
      </w:r>
      <w:r w:rsidRPr="0049492A">
        <w:t xml:space="preserve"> Statens lokalförsörjningsverk 1996 s. 12.</w:t>
      </w:r>
    </w:p>
  </w:footnote>
  <w:footnote w:id="118">
    <w:p w:rsidR="008D3479" w:rsidRPr="0049492A" w:rsidRDefault="008D3479">
      <w:pPr>
        <w:pStyle w:val="Fotnotstext"/>
      </w:pPr>
      <w:r w:rsidRPr="0049492A">
        <w:rPr>
          <w:rStyle w:val="Fotnotsreferens"/>
        </w:rPr>
        <w:footnoteRef/>
      </w:r>
      <w:r w:rsidRPr="0049492A">
        <w:t xml:space="preserve"> SOU 1996:187 s. 55.</w:t>
      </w:r>
    </w:p>
  </w:footnote>
  <w:footnote w:id="119">
    <w:p w:rsidR="008D3479" w:rsidRPr="0049492A" w:rsidRDefault="008D3479">
      <w:pPr>
        <w:pStyle w:val="Fotnotstext"/>
      </w:pPr>
      <w:r w:rsidRPr="0049492A">
        <w:rPr>
          <w:rStyle w:val="Fotnotsreferens"/>
        </w:rPr>
        <w:footnoteRef/>
      </w:r>
      <w:r w:rsidRPr="0049492A">
        <w:t xml:space="preserve"> SOU 1997:96 s. 93.</w:t>
      </w:r>
    </w:p>
  </w:footnote>
  <w:footnote w:id="120">
    <w:p w:rsidR="008D3479" w:rsidRPr="0049492A" w:rsidRDefault="008D3479">
      <w:pPr>
        <w:pStyle w:val="Fotnotstext"/>
      </w:pPr>
      <w:r w:rsidRPr="0049492A">
        <w:rPr>
          <w:rStyle w:val="Fotnotsreferens"/>
        </w:rPr>
        <w:footnoteRef/>
      </w:r>
      <w:r w:rsidRPr="0049492A">
        <w:t xml:space="preserve"> SFS 1996:312 2 §.</w:t>
      </w:r>
    </w:p>
  </w:footnote>
  <w:footnote w:id="121">
    <w:p w:rsidR="008D3479" w:rsidRPr="0049492A" w:rsidRDefault="008D3479">
      <w:pPr>
        <w:pStyle w:val="Fotnotstext"/>
      </w:pPr>
      <w:r w:rsidRPr="0049492A">
        <w:rPr>
          <w:rStyle w:val="Fotnotsreferens"/>
        </w:rPr>
        <w:footnoteRef/>
      </w:r>
      <w:r w:rsidRPr="0049492A">
        <w:t xml:space="preserve"> SOU 1997:96 s. 64.</w:t>
      </w:r>
    </w:p>
  </w:footnote>
  <w:footnote w:id="122">
    <w:p w:rsidR="008D3479" w:rsidRPr="0049492A" w:rsidRDefault="008D3479">
      <w:pPr>
        <w:pStyle w:val="Fotnotstext"/>
      </w:pPr>
      <w:r w:rsidRPr="0049492A">
        <w:rPr>
          <w:rStyle w:val="Fotnotsreferens"/>
        </w:rPr>
        <w:footnoteRef/>
      </w:r>
      <w:r w:rsidRPr="0049492A">
        <w:t xml:space="preserve"> Svenska Kommunförbundet, 1999 a. </w:t>
      </w:r>
    </w:p>
  </w:footnote>
  <w:footnote w:id="123">
    <w:p w:rsidR="008D3479" w:rsidRPr="0049492A" w:rsidRDefault="008D3479">
      <w:pPr>
        <w:pStyle w:val="Fotnotstext"/>
      </w:pPr>
      <w:r w:rsidRPr="0049492A">
        <w:rPr>
          <w:rStyle w:val="Fotnotsreferens"/>
        </w:rPr>
        <w:footnoteRef/>
      </w:r>
      <w:r w:rsidRPr="0049492A">
        <w:t xml:space="preserve"> Avsnittet bygger till största delen på en intervju med Ralf Jonsson, Landstingsrev</w:t>
      </w:r>
      <w:r w:rsidRPr="0049492A">
        <w:t>i</w:t>
      </w:r>
      <w:r w:rsidRPr="0049492A">
        <w:t>s</w:t>
      </w:r>
      <w:r w:rsidRPr="0049492A">
        <w:t>o</w:t>
      </w:r>
      <w:r w:rsidRPr="0049492A">
        <w:t xml:space="preserve">rerna, 2001. </w:t>
      </w:r>
    </w:p>
  </w:footnote>
  <w:footnote w:id="124">
    <w:p w:rsidR="008D3479" w:rsidRPr="0049492A" w:rsidRDefault="008D3479">
      <w:pPr>
        <w:pStyle w:val="Fotnotstext"/>
      </w:pPr>
      <w:r w:rsidRPr="0049492A">
        <w:rPr>
          <w:rStyle w:val="Fotnotsreferens"/>
        </w:rPr>
        <w:footnoteRef/>
      </w:r>
      <w:r w:rsidRPr="0049492A">
        <w:t xml:space="preserve"> Locum 2001.</w:t>
      </w:r>
    </w:p>
  </w:footnote>
  <w:footnote w:id="125">
    <w:p w:rsidR="008D3479" w:rsidRPr="0049492A" w:rsidRDefault="008D3479">
      <w:pPr>
        <w:pStyle w:val="Fotnotstext"/>
      </w:pPr>
      <w:r w:rsidRPr="0049492A">
        <w:rPr>
          <w:rStyle w:val="Fotnotsreferens"/>
        </w:rPr>
        <w:footnoteRef/>
      </w:r>
      <w:r w:rsidRPr="0049492A">
        <w:t xml:space="preserve"> Telefonintervju med Tommy Lenberg, Locum,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p>
  <w:p w:rsidR="008D3479" w:rsidRDefault="008D34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1</w:t>
    </w:r>
  </w:p>
  <w:p w:rsidR="008D3479" w:rsidRDefault="008D34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1</w:t>
    </w:r>
  </w:p>
  <w:p w:rsidR="008D3479" w:rsidRDefault="008D347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7" w:h="2744" w:hRule="exact" w:wrap="around" w:vAnchor="page" w:hAnchor="page" w:x="7371" w:y="567" w:anchorLock="0"/>
    </w:pPr>
  </w:p>
  <w:p w:rsidR="008D3479" w:rsidRDefault="008D347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1</w:t>
    </w:r>
  </w:p>
  <w:p w:rsidR="008D3479" w:rsidRDefault="008D347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1</w:t>
    </w:r>
  </w:p>
  <w:p w:rsidR="008D3479" w:rsidRDefault="008D3479">
    <w:pPr>
      <w:pStyle w:val="SidhuvudKant"/>
      <w:framePr w:w="1758" w:h="2744" w:hRule="exact" w:wrap="around" w:vAnchor="page" w:hAnchor="page" w:x="7372" w:y="568" w:anchorLock="0"/>
    </w:pPr>
    <w:r>
      <w:t>Underbilaga 1</w:t>
    </w:r>
  </w:p>
  <w:p w:rsidR="008D3479" w:rsidRDefault="008D347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1</w:t>
    </w:r>
  </w:p>
  <w:p w:rsidR="008D3479" w:rsidRDefault="008D3479">
    <w:pPr>
      <w:pStyle w:val="SidhuvudKant"/>
      <w:framePr w:w="1758" w:h="2744" w:hRule="exact" w:wrap="around" w:vAnchor="page" w:hAnchor="page" w:x="7372" w:y="568" w:anchorLock="0"/>
    </w:pPr>
    <w:r>
      <w:t>Underbilaga 2</w:t>
    </w:r>
  </w:p>
  <w:p w:rsidR="008D3479" w:rsidRDefault="008D347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479" w:rsidRDefault="008D3479">
    <w:pPr>
      <w:pStyle w:val="SidhuvudKant"/>
      <w:framePr w:w="1758" w:h="2744" w:hRule="exact" w:wrap="around" w:vAnchor="page" w:hAnchor="page" w:x="7372" w:y="568" w:anchorLock="0"/>
    </w:pPr>
    <w:r>
      <w:t>2001/02:RR12</w:t>
    </w:r>
  </w:p>
  <w:p w:rsidR="008D3479" w:rsidRDefault="008D3479">
    <w:pPr>
      <w:pStyle w:val="SidhuvudKant"/>
      <w:framePr w:w="1758" w:h="2744" w:hRule="exact" w:wrap="around" w:vAnchor="page" w:hAnchor="page" w:x="7372" w:y="568" w:anchorLock="0"/>
    </w:pPr>
    <w:r>
      <w:t>Bilaga 2</w:t>
    </w:r>
  </w:p>
  <w:p w:rsidR="008D3479" w:rsidRDefault="008D3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E879DB"/>
    <w:multiLevelType w:val="singleLevel"/>
    <w:tmpl w:val="CA500792"/>
    <w:lvl w:ilvl="0">
      <w:numFmt w:val="bullet"/>
      <w:lvlText w:val="-"/>
      <w:lvlJc w:val="left"/>
      <w:pPr>
        <w:tabs>
          <w:tab w:val="num" w:pos="530"/>
        </w:tabs>
        <w:ind w:left="530" w:hanging="360"/>
      </w:pPr>
      <w:rPr>
        <w:rFonts w:hint="default"/>
      </w:rPr>
    </w:lvl>
  </w:abstractNum>
  <w:abstractNum w:abstractNumId="2" w15:restartNumberingAfterBreak="0">
    <w:nsid w:val="06B163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ED1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5C38B3"/>
    <w:multiLevelType w:val="singleLevel"/>
    <w:tmpl w:val="CA500792"/>
    <w:lvl w:ilvl="0">
      <w:numFmt w:val="bullet"/>
      <w:lvlText w:val="-"/>
      <w:lvlJc w:val="left"/>
      <w:pPr>
        <w:tabs>
          <w:tab w:val="num" w:pos="530"/>
        </w:tabs>
        <w:ind w:left="530" w:hanging="360"/>
      </w:pPr>
      <w:rPr>
        <w:rFonts w:hint="default"/>
      </w:rPr>
    </w:lvl>
  </w:abstractNum>
  <w:abstractNum w:abstractNumId="5" w15:restartNumberingAfterBreak="0">
    <w:nsid w:val="0B17169E"/>
    <w:multiLevelType w:val="singleLevel"/>
    <w:tmpl w:val="CA500792"/>
    <w:lvl w:ilvl="0">
      <w:numFmt w:val="bullet"/>
      <w:lvlText w:val="-"/>
      <w:lvlJc w:val="left"/>
      <w:pPr>
        <w:tabs>
          <w:tab w:val="num" w:pos="530"/>
        </w:tabs>
        <w:ind w:left="530" w:hanging="360"/>
      </w:pPr>
      <w:rPr>
        <w:rFonts w:hint="default"/>
      </w:rPr>
    </w:lvl>
  </w:abstractNum>
  <w:abstractNum w:abstractNumId="6" w15:restartNumberingAfterBreak="0">
    <w:nsid w:val="0BCA7A1D"/>
    <w:multiLevelType w:val="singleLevel"/>
    <w:tmpl w:val="CA500792"/>
    <w:lvl w:ilvl="0">
      <w:numFmt w:val="bullet"/>
      <w:lvlText w:val="-"/>
      <w:lvlJc w:val="left"/>
      <w:pPr>
        <w:tabs>
          <w:tab w:val="num" w:pos="530"/>
        </w:tabs>
        <w:ind w:left="530" w:hanging="360"/>
      </w:pPr>
      <w:rPr>
        <w:rFonts w:hint="default"/>
      </w:rPr>
    </w:lvl>
  </w:abstractNum>
  <w:abstractNum w:abstractNumId="7" w15:restartNumberingAfterBreak="0">
    <w:nsid w:val="0F852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9" w15:restartNumberingAfterBreak="0">
    <w:nsid w:val="19D65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1C3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3A1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450C57"/>
    <w:multiLevelType w:val="singleLevel"/>
    <w:tmpl w:val="CA500792"/>
    <w:lvl w:ilvl="0">
      <w:numFmt w:val="bullet"/>
      <w:lvlText w:val="-"/>
      <w:lvlJc w:val="left"/>
      <w:pPr>
        <w:tabs>
          <w:tab w:val="num" w:pos="530"/>
        </w:tabs>
        <w:ind w:left="530" w:hanging="360"/>
      </w:pPr>
      <w:rPr>
        <w:rFonts w:hint="default"/>
      </w:rPr>
    </w:lvl>
  </w:abstractNum>
  <w:abstractNum w:abstractNumId="13"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4" w15:restartNumberingAfterBreak="0">
    <w:nsid w:val="2282157E"/>
    <w:multiLevelType w:val="singleLevel"/>
    <w:tmpl w:val="CA500792"/>
    <w:lvl w:ilvl="0">
      <w:numFmt w:val="bullet"/>
      <w:lvlText w:val="-"/>
      <w:lvlJc w:val="left"/>
      <w:pPr>
        <w:tabs>
          <w:tab w:val="num" w:pos="530"/>
        </w:tabs>
        <w:ind w:left="530" w:hanging="360"/>
      </w:pPr>
      <w:rPr>
        <w:rFonts w:hint="default"/>
      </w:rPr>
    </w:lvl>
  </w:abstractNum>
  <w:abstractNum w:abstractNumId="15" w15:restartNumberingAfterBreak="0">
    <w:nsid w:val="247D76D5"/>
    <w:multiLevelType w:val="singleLevel"/>
    <w:tmpl w:val="CA500792"/>
    <w:lvl w:ilvl="0">
      <w:numFmt w:val="bullet"/>
      <w:lvlText w:val="-"/>
      <w:lvlJc w:val="left"/>
      <w:pPr>
        <w:tabs>
          <w:tab w:val="num" w:pos="530"/>
        </w:tabs>
        <w:ind w:left="530" w:hanging="360"/>
      </w:pPr>
      <w:rPr>
        <w:rFonts w:hint="default"/>
      </w:rPr>
    </w:lvl>
  </w:abstractNum>
  <w:abstractNum w:abstractNumId="16" w15:restartNumberingAfterBreak="0">
    <w:nsid w:val="25A56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4F58DA"/>
    <w:multiLevelType w:val="singleLevel"/>
    <w:tmpl w:val="CA500792"/>
    <w:lvl w:ilvl="0">
      <w:numFmt w:val="bullet"/>
      <w:lvlText w:val="-"/>
      <w:lvlJc w:val="left"/>
      <w:pPr>
        <w:tabs>
          <w:tab w:val="num" w:pos="530"/>
        </w:tabs>
        <w:ind w:left="530" w:hanging="360"/>
      </w:pPr>
      <w:rPr>
        <w:rFonts w:hint="default"/>
      </w:rPr>
    </w:lvl>
  </w:abstractNum>
  <w:abstractNum w:abstractNumId="18" w15:restartNumberingAfterBreak="0">
    <w:nsid w:val="26AD0092"/>
    <w:multiLevelType w:val="singleLevel"/>
    <w:tmpl w:val="CA500792"/>
    <w:lvl w:ilvl="0">
      <w:numFmt w:val="bullet"/>
      <w:lvlText w:val="-"/>
      <w:lvlJc w:val="left"/>
      <w:pPr>
        <w:tabs>
          <w:tab w:val="num" w:pos="530"/>
        </w:tabs>
        <w:ind w:left="530" w:hanging="360"/>
      </w:pPr>
      <w:rPr>
        <w:rFonts w:hint="default"/>
      </w:rPr>
    </w:lvl>
  </w:abstractNum>
  <w:abstractNum w:abstractNumId="19" w15:restartNumberingAfterBreak="0">
    <w:nsid w:val="27C56FA9"/>
    <w:multiLevelType w:val="singleLevel"/>
    <w:tmpl w:val="CA500792"/>
    <w:lvl w:ilvl="0">
      <w:numFmt w:val="bullet"/>
      <w:lvlText w:val="-"/>
      <w:lvlJc w:val="left"/>
      <w:pPr>
        <w:tabs>
          <w:tab w:val="num" w:pos="530"/>
        </w:tabs>
        <w:ind w:left="530" w:hanging="360"/>
      </w:pPr>
      <w:rPr>
        <w:rFonts w:hint="default"/>
      </w:rPr>
    </w:lvl>
  </w:abstractNum>
  <w:abstractNum w:abstractNumId="20" w15:restartNumberingAfterBreak="0">
    <w:nsid w:val="28922A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E23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CE0C4D"/>
    <w:multiLevelType w:val="singleLevel"/>
    <w:tmpl w:val="CA500792"/>
    <w:lvl w:ilvl="0">
      <w:numFmt w:val="bullet"/>
      <w:lvlText w:val="-"/>
      <w:lvlJc w:val="left"/>
      <w:pPr>
        <w:tabs>
          <w:tab w:val="num" w:pos="530"/>
        </w:tabs>
        <w:ind w:left="530" w:hanging="360"/>
      </w:pPr>
      <w:rPr>
        <w:rFonts w:hint="default"/>
      </w:rPr>
    </w:lvl>
  </w:abstractNum>
  <w:abstractNum w:abstractNumId="23" w15:restartNumberingAfterBreak="0">
    <w:nsid w:val="311A717A"/>
    <w:multiLevelType w:val="singleLevel"/>
    <w:tmpl w:val="5A1C7960"/>
    <w:lvl w:ilvl="0">
      <w:numFmt w:val="bullet"/>
      <w:lvlText w:val="-"/>
      <w:lvlJc w:val="left"/>
      <w:pPr>
        <w:tabs>
          <w:tab w:val="num" w:pos="360"/>
        </w:tabs>
        <w:ind w:left="360" w:hanging="360"/>
      </w:pPr>
      <w:rPr>
        <w:rFonts w:hint="default"/>
      </w:rPr>
    </w:lvl>
  </w:abstractNum>
  <w:abstractNum w:abstractNumId="2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428317A"/>
    <w:multiLevelType w:val="singleLevel"/>
    <w:tmpl w:val="CA500792"/>
    <w:lvl w:ilvl="0">
      <w:numFmt w:val="bullet"/>
      <w:lvlText w:val="-"/>
      <w:lvlJc w:val="left"/>
      <w:pPr>
        <w:tabs>
          <w:tab w:val="num" w:pos="530"/>
        </w:tabs>
        <w:ind w:left="530" w:hanging="360"/>
      </w:pPr>
      <w:rPr>
        <w:rFonts w:hint="default"/>
      </w:rPr>
    </w:lvl>
  </w:abstractNum>
  <w:abstractNum w:abstractNumId="26" w15:restartNumberingAfterBreak="0">
    <w:nsid w:val="3E8B2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C370DA"/>
    <w:multiLevelType w:val="singleLevel"/>
    <w:tmpl w:val="CA500792"/>
    <w:lvl w:ilvl="0">
      <w:numFmt w:val="bullet"/>
      <w:lvlText w:val="-"/>
      <w:lvlJc w:val="left"/>
      <w:pPr>
        <w:tabs>
          <w:tab w:val="num" w:pos="530"/>
        </w:tabs>
        <w:ind w:left="530" w:hanging="360"/>
      </w:pPr>
      <w:rPr>
        <w:rFonts w:hint="default"/>
      </w:rPr>
    </w:lvl>
  </w:abstractNum>
  <w:abstractNum w:abstractNumId="28" w15:restartNumberingAfterBreak="0">
    <w:nsid w:val="43277263"/>
    <w:multiLevelType w:val="singleLevel"/>
    <w:tmpl w:val="CA500792"/>
    <w:lvl w:ilvl="0">
      <w:numFmt w:val="bullet"/>
      <w:lvlText w:val="-"/>
      <w:lvlJc w:val="left"/>
      <w:pPr>
        <w:tabs>
          <w:tab w:val="num" w:pos="530"/>
        </w:tabs>
        <w:ind w:left="530" w:hanging="360"/>
      </w:pPr>
      <w:rPr>
        <w:rFonts w:hint="default"/>
      </w:rPr>
    </w:lvl>
  </w:abstractNum>
  <w:abstractNum w:abstractNumId="29" w15:restartNumberingAfterBreak="0">
    <w:nsid w:val="43F95FA2"/>
    <w:multiLevelType w:val="singleLevel"/>
    <w:tmpl w:val="CA500792"/>
    <w:lvl w:ilvl="0">
      <w:numFmt w:val="bullet"/>
      <w:lvlText w:val="-"/>
      <w:lvlJc w:val="left"/>
      <w:pPr>
        <w:tabs>
          <w:tab w:val="num" w:pos="530"/>
        </w:tabs>
        <w:ind w:left="530" w:hanging="360"/>
      </w:pPr>
      <w:rPr>
        <w:rFonts w:hint="default"/>
      </w:rPr>
    </w:lvl>
  </w:abstractNum>
  <w:abstractNum w:abstractNumId="30" w15:restartNumberingAfterBreak="0">
    <w:nsid w:val="441F0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848C2"/>
    <w:multiLevelType w:val="singleLevel"/>
    <w:tmpl w:val="CA500792"/>
    <w:lvl w:ilvl="0">
      <w:numFmt w:val="bullet"/>
      <w:lvlText w:val="-"/>
      <w:lvlJc w:val="left"/>
      <w:pPr>
        <w:tabs>
          <w:tab w:val="num" w:pos="530"/>
        </w:tabs>
        <w:ind w:left="530" w:hanging="360"/>
      </w:pPr>
      <w:rPr>
        <w:rFonts w:hint="default"/>
      </w:rPr>
    </w:lvl>
  </w:abstractNum>
  <w:abstractNum w:abstractNumId="32" w15:restartNumberingAfterBreak="0">
    <w:nsid w:val="4F99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2543988"/>
    <w:multiLevelType w:val="singleLevel"/>
    <w:tmpl w:val="CA500792"/>
    <w:lvl w:ilvl="0">
      <w:numFmt w:val="bullet"/>
      <w:lvlText w:val="-"/>
      <w:lvlJc w:val="left"/>
      <w:pPr>
        <w:tabs>
          <w:tab w:val="num" w:pos="530"/>
        </w:tabs>
        <w:ind w:left="530" w:hanging="360"/>
      </w:pPr>
      <w:rPr>
        <w:rFonts w:hint="default"/>
      </w:rPr>
    </w:lvl>
  </w:abstractNum>
  <w:abstractNum w:abstractNumId="34" w15:restartNumberingAfterBreak="0">
    <w:nsid w:val="562A3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257917"/>
    <w:multiLevelType w:val="singleLevel"/>
    <w:tmpl w:val="CA500792"/>
    <w:lvl w:ilvl="0">
      <w:numFmt w:val="bullet"/>
      <w:lvlText w:val="-"/>
      <w:lvlJc w:val="left"/>
      <w:pPr>
        <w:tabs>
          <w:tab w:val="num" w:pos="530"/>
        </w:tabs>
        <w:ind w:left="530" w:hanging="360"/>
      </w:pPr>
      <w:rPr>
        <w:rFonts w:hint="default"/>
      </w:rPr>
    </w:lvl>
  </w:abstractNum>
  <w:abstractNum w:abstractNumId="36" w15:restartNumberingAfterBreak="0">
    <w:nsid w:val="5B522D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9D5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6839F7"/>
    <w:multiLevelType w:val="singleLevel"/>
    <w:tmpl w:val="CA500792"/>
    <w:lvl w:ilvl="0">
      <w:numFmt w:val="bullet"/>
      <w:lvlText w:val="-"/>
      <w:lvlJc w:val="left"/>
      <w:pPr>
        <w:tabs>
          <w:tab w:val="num" w:pos="530"/>
        </w:tabs>
        <w:ind w:left="530" w:hanging="360"/>
      </w:pPr>
      <w:rPr>
        <w:rFonts w:hint="default"/>
      </w:rPr>
    </w:lvl>
  </w:abstractNum>
  <w:abstractNum w:abstractNumId="39" w15:restartNumberingAfterBreak="0">
    <w:nsid w:val="62B57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D812E19"/>
    <w:multiLevelType w:val="singleLevel"/>
    <w:tmpl w:val="CA500792"/>
    <w:lvl w:ilvl="0">
      <w:numFmt w:val="bullet"/>
      <w:lvlText w:val="-"/>
      <w:lvlJc w:val="left"/>
      <w:pPr>
        <w:tabs>
          <w:tab w:val="num" w:pos="530"/>
        </w:tabs>
        <w:ind w:left="530" w:hanging="360"/>
      </w:pPr>
      <w:rPr>
        <w:rFonts w:hint="default"/>
      </w:rPr>
    </w:lvl>
  </w:abstractNum>
  <w:abstractNum w:abstractNumId="43" w15:restartNumberingAfterBreak="0">
    <w:nsid w:val="706F2687"/>
    <w:multiLevelType w:val="singleLevel"/>
    <w:tmpl w:val="CA500792"/>
    <w:lvl w:ilvl="0">
      <w:numFmt w:val="bullet"/>
      <w:lvlText w:val="-"/>
      <w:lvlJc w:val="left"/>
      <w:pPr>
        <w:tabs>
          <w:tab w:val="num" w:pos="530"/>
        </w:tabs>
        <w:ind w:left="530" w:hanging="360"/>
      </w:pPr>
      <w:rPr>
        <w:rFonts w:hint="default"/>
      </w:rPr>
    </w:lvl>
  </w:abstractNum>
  <w:abstractNum w:abstractNumId="44" w15:restartNumberingAfterBreak="0">
    <w:nsid w:val="70912932"/>
    <w:multiLevelType w:val="singleLevel"/>
    <w:tmpl w:val="CA500792"/>
    <w:lvl w:ilvl="0">
      <w:numFmt w:val="bullet"/>
      <w:lvlText w:val="-"/>
      <w:lvlJc w:val="left"/>
      <w:pPr>
        <w:tabs>
          <w:tab w:val="num" w:pos="530"/>
        </w:tabs>
        <w:ind w:left="530" w:hanging="360"/>
      </w:pPr>
      <w:rPr>
        <w:rFonts w:hint="default"/>
      </w:rPr>
    </w:lvl>
  </w:abstractNum>
  <w:abstractNum w:abstractNumId="45" w15:restartNumberingAfterBreak="0">
    <w:nsid w:val="77624E52"/>
    <w:multiLevelType w:val="singleLevel"/>
    <w:tmpl w:val="5A1C7960"/>
    <w:lvl w:ilvl="0">
      <w:numFmt w:val="bullet"/>
      <w:lvlText w:val="-"/>
      <w:lvlJc w:val="left"/>
      <w:pPr>
        <w:tabs>
          <w:tab w:val="num" w:pos="360"/>
        </w:tabs>
        <w:ind w:left="360" w:hanging="360"/>
      </w:pPr>
      <w:rPr>
        <w:rFonts w:hint="default"/>
      </w:rPr>
    </w:lvl>
  </w:abstractNum>
  <w:abstractNum w:abstractNumId="46" w15:restartNumberingAfterBreak="0">
    <w:nsid w:val="79B735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6B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8739BC"/>
    <w:multiLevelType w:val="singleLevel"/>
    <w:tmpl w:val="CA500792"/>
    <w:lvl w:ilvl="0">
      <w:numFmt w:val="bullet"/>
      <w:lvlText w:val="-"/>
      <w:lvlJc w:val="left"/>
      <w:pPr>
        <w:tabs>
          <w:tab w:val="num" w:pos="530"/>
        </w:tabs>
        <w:ind w:left="530" w:hanging="360"/>
      </w:pPr>
      <w:rPr>
        <w:rFonts w:hint="default"/>
      </w:rPr>
    </w:lvl>
  </w:abstractNum>
  <w:num w:numId="1" w16cid:durableId="547229665">
    <w:abstractNumId w:val="41"/>
  </w:num>
  <w:num w:numId="2" w16cid:durableId="1462188480">
    <w:abstractNumId w:val="41"/>
  </w:num>
  <w:num w:numId="3" w16cid:durableId="835613057">
    <w:abstractNumId w:val="41"/>
  </w:num>
  <w:num w:numId="4" w16cid:durableId="533882615">
    <w:abstractNumId w:val="41"/>
  </w:num>
  <w:num w:numId="5" w16cid:durableId="1392390417">
    <w:abstractNumId w:val="41"/>
  </w:num>
  <w:num w:numId="6" w16cid:durableId="680089199">
    <w:abstractNumId w:val="41"/>
  </w:num>
  <w:num w:numId="7" w16cid:durableId="387265482">
    <w:abstractNumId w:val="41"/>
  </w:num>
  <w:num w:numId="8" w16cid:durableId="17971364">
    <w:abstractNumId w:val="41"/>
  </w:num>
  <w:num w:numId="9" w16cid:durableId="528491298">
    <w:abstractNumId w:val="20"/>
  </w:num>
  <w:num w:numId="10" w16cid:durableId="2013214897">
    <w:abstractNumId w:val="40"/>
  </w:num>
  <w:num w:numId="11" w16cid:durableId="801846449">
    <w:abstractNumId w:val="13"/>
  </w:num>
  <w:num w:numId="12" w16cid:durableId="865944350">
    <w:abstractNumId w:val="8"/>
  </w:num>
  <w:num w:numId="13" w16cid:durableId="538473409">
    <w:abstractNumId w:val="24"/>
  </w:num>
  <w:num w:numId="14" w16cid:durableId="216937298">
    <w:abstractNumId w:val="0"/>
  </w:num>
  <w:num w:numId="15" w16cid:durableId="156768400">
    <w:abstractNumId w:val="47"/>
  </w:num>
  <w:num w:numId="16" w16cid:durableId="333724314">
    <w:abstractNumId w:val="39"/>
  </w:num>
  <w:num w:numId="17" w16cid:durableId="1412048607">
    <w:abstractNumId w:val="3"/>
  </w:num>
  <w:num w:numId="18" w16cid:durableId="1605961591">
    <w:abstractNumId w:val="17"/>
  </w:num>
  <w:num w:numId="19" w16cid:durableId="546919866">
    <w:abstractNumId w:val="38"/>
  </w:num>
  <w:num w:numId="20" w16cid:durableId="371538718">
    <w:abstractNumId w:val="1"/>
  </w:num>
  <w:num w:numId="21" w16cid:durableId="702361174">
    <w:abstractNumId w:val="14"/>
  </w:num>
  <w:num w:numId="22" w16cid:durableId="1219319547">
    <w:abstractNumId w:val="23"/>
  </w:num>
  <w:num w:numId="23" w16cid:durableId="631519344">
    <w:abstractNumId w:val="45"/>
  </w:num>
  <w:num w:numId="24" w16cid:durableId="1769617575">
    <w:abstractNumId w:val="33"/>
  </w:num>
  <w:num w:numId="25" w16cid:durableId="465052785">
    <w:abstractNumId w:val="31"/>
  </w:num>
  <w:num w:numId="26" w16cid:durableId="920329895">
    <w:abstractNumId w:val="42"/>
  </w:num>
  <w:num w:numId="27" w16cid:durableId="582378514">
    <w:abstractNumId w:val="15"/>
  </w:num>
  <w:num w:numId="28" w16cid:durableId="1541630878">
    <w:abstractNumId w:val="22"/>
  </w:num>
  <w:num w:numId="29" w16cid:durableId="1456437660">
    <w:abstractNumId w:val="5"/>
  </w:num>
  <w:num w:numId="30" w16cid:durableId="573661348">
    <w:abstractNumId w:val="35"/>
  </w:num>
  <w:num w:numId="31" w16cid:durableId="1109931569">
    <w:abstractNumId w:val="27"/>
  </w:num>
  <w:num w:numId="32" w16cid:durableId="653722075">
    <w:abstractNumId w:val="12"/>
  </w:num>
  <w:num w:numId="33" w16cid:durableId="1672642485">
    <w:abstractNumId w:val="19"/>
  </w:num>
  <w:num w:numId="34" w16cid:durableId="145168802">
    <w:abstractNumId w:val="43"/>
  </w:num>
  <w:num w:numId="35" w16cid:durableId="139886133">
    <w:abstractNumId w:val="25"/>
  </w:num>
  <w:num w:numId="36" w16cid:durableId="227498770">
    <w:abstractNumId w:val="34"/>
  </w:num>
  <w:num w:numId="37" w16cid:durableId="2027562817">
    <w:abstractNumId w:val="2"/>
  </w:num>
  <w:num w:numId="38" w16cid:durableId="304091562">
    <w:abstractNumId w:val="10"/>
  </w:num>
  <w:num w:numId="39" w16cid:durableId="1582833160">
    <w:abstractNumId w:val="11"/>
  </w:num>
  <w:num w:numId="40" w16cid:durableId="1638685053">
    <w:abstractNumId w:val="4"/>
  </w:num>
  <w:num w:numId="41" w16cid:durableId="1621910272">
    <w:abstractNumId w:val="28"/>
  </w:num>
  <w:num w:numId="42" w16cid:durableId="1010065787">
    <w:abstractNumId w:val="48"/>
  </w:num>
  <w:num w:numId="43" w16cid:durableId="10034339">
    <w:abstractNumId w:val="16"/>
  </w:num>
  <w:num w:numId="44" w16cid:durableId="1227036521">
    <w:abstractNumId w:val="36"/>
  </w:num>
  <w:num w:numId="45" w16cid:durableId="1399594314">
    <w:abstractNumId w:val="37"/>
  </w:num>
  <w:num w:numId="46" w16cid:durableId="1273124203">
    <w:abstractNumId w:val="21"/>
  </w:num>
  <w:num w:numId="47" w16cid:durableId="775978798">
    <w:abstractNumId w:val="44"/>
  </w:num>
  <w:num w:numId="48" w16cid:durableId="1341275916">
    <w:abstractNumId w:val="29"/>
  </w:num>
  <w:num w:numId="49" w16cid:durableId="2131119073">
    <w:abstractNumId w:val="18"/>
  </w:num>
  <w:num w:numId="50" w16cid:durableId="1278565715">
    <w:abstractNumId w:val="6"/>
  </w:num>
  <w:num w:numId="51" w16cid:durableId="370426396">
    <w:abstractNumId w:val="46"/>
  </w:num>
  <w:num w:numId="52" w16cid:durableId="1868984546">
    <w:abstractNumId w:val="30"/>
  </w:num>
  <w:num w:numId="53" w16cid:durableId="1592347945">
    <w:abstractNumId w:val="26"/>
  </w:num>
  <w:num w:numId="54" w16cid:durableId="1573151750">
    <w:abstractNumId w:val="9"/>
  </w:num>
  <w:num w:numId="55" w16cid:durableId="2093775531">
    <w:abstractNumId w:val="32"/>
  </w:num>
  <w:num w:numId="56" w16cid:durableId="1465542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431710"/>
    <w:rsid w:val="00431710"/>
    <w:rsid w:val="0049492A"/>
    <w:rsid w:val="008D34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8790E-72C8-4B22-B8E8-032D3B34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170"/>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284"/>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2-Utannumrering">
    <w:name w:val="Rubrik 2 - Utan numrering"/>
    <w:basedOn w:val="Rubrik2"/>
    <w:next w:val="Normal"/>
    <w:pPr>
      <w:numPr>
        <w:ilvl w:val="0"/>
        <w:numId w:val="0"/>
      </w:numPr>
      <w:tabs>
        <w:tab w:val="clear" w:pos="227"/>
        <w:tab w:val="clear" w:pos="340"/>
      </w:tabs>
    </w:pPr>
  </w:style>
  <w:style w:type="character" w:styleId="Fotnotsreferens">
    <w:name w:val="footnote reference"/>
    <w:basedOn w:val="Standardstycketeckensnitt"/>
    <w:semiHidden/>
    <w:rPr>
      <w:vertAlign w:val="superscript"/>
    </w:r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27973</Words>
  <Characters>189661</Characters>
  <Application>Microsoft Office Word</Application>
  <DocSecurity>4</DocSecurity>
  <Lines>3647</Lines>
  <Paragraphs>1139</Paragraphs>
  <ScaleCrop>false</ScaleCrop>
  <HeadingPairs>
    <vt:vector size="4" baseType="variant">
      <vt:variant>
        <vt:lpstr>Title</vt:lpstr>
      </vt:variant>
      <vt:variant>
        <vt:i4>1</vt:i4>
      </vt:variant>
      <vt:variant>
        <vt:lpstr>Rubriker</vt:lpstr>
      </vt:variant>
      <vt:variant>
        <vt:i4>86</vt:i4>
      </vt:variant>
    </vt:vector>
  </HeadingPairs>
  <TitlesOfParts>
    <vt:vector size="87" baseType="lpstr">
      <vt:lpstr>Förslag till riksdagen</vt:lpstr>
      <vt:lpstr>Revisorernas granskning</vt:lpstr>
      <vt:lpstr>    Sammanfattning av rapporten </vt:lpstr>
      <vt:lpstr>        Riksdagens riktlinjer för hyressättning och förvaltning</vt:lpstr>
      <vt:lpstr>        Regeringens styrning av fastighetsförvaltarna</vt:lpstr>
      <vt:lpstr>        Tillämpning av riksdagens riktlinjer för hyressättning och förvaltning</vt:lpstr>
      <vt:lpstr>        Kompensations- och anslagssystemen</vt:lpstr>
      <vt:lpstr>        Regeringens översyn </vt:lpstr>
      <vt:lpstr>Revisorernas överväganden</vt:lpstr>
      <vt:lpstr>    Självkostnad när hyresgästen har begränsade alternativ</vt:lpstr>
      <vt:lpstr>        Rapporten </vt:lpstr>
      <vt:lpstr>        Remissinstanserna</vt:lpstr>
      <vt:lpstr>        Revisorerna</vt:lpstr>
      <vt:lpstr>    God insyn i förvaltningen och redovisning av förvaltningskostnader</vt:lpstr>
      <vt:lpstr>        Rapporten</vt:lpstr>
      <vt:lpstr>        Remissinstanserna</vt:lpstr>
      <vt:lpstr>        Revisorerna</vt:lpstr>
      <vt:lpstr>    Gemensamt upprättade förvaltningsplaner</vt:lpstr>
      <vt:lpstr>        Rapporten</vt:lpstr>
      <vt:lpstr>        Remissinstanserna</vt:lpstr>
      <vt:lpstr>        Revisorerna</vt:lpstr>
      <vt:lpstr>    Effektiviseringar i myndigheters lokalutnyttjande</vt:lpstr>
      <vt:lpstr>        Rapporten</vt:lpstr>
      <vt:lpstr>        Remissinstanserna</vt:lpstr>
      <vt:lpstr>        Revisorerna</vt:lpstr>
      <vt:lpstr>    Ett statligt expertorgan för samråd om hyressättning</vt:lpstr>
      <vt:lpstr>        Rapporten </vt:lpstr>
      <vt:lpstr>        Remissinstanserna</vt:lpstr>
      <vt:lpstr>        Revisorerna</vt:lpstr>
      <vt:lpstr>Revisorernas förslag</vt:lpstr>
      <vt:lpstr>        Självkostnad vid begränsade alternativ</vt:lpstr>
      <vt:lpstr>        God insyn i förvaltningen </vt:lpstr>
      <vt:lpstr>        Gemensamt upprättade förvaltningsplaner</vt:lpstr>
      <vt:lpstr>        Effektiviseringar i myndigheters lokalutnyttjande</vt:lpstr>
      <vt:lpstr>        Expertorgan för samråd om hyressättning</vt:lpstr>
      <vt:lpstr/>
      <vt:lpstr/>
      <vt:lpstr/>
      <vt:lpstr>Förord</vt:lpstr>
      <vt:lpstr>Sammanfattning</vt:lpstr>
      <vt:lpstr>    Förändringar i fastighetsförvaltningen</vt:lpstr>
      <vt:lpstr>    Utvärderingar av reformen</vt:lpstr>
      <vt:lpstr>    Vissa förändringar av reformen</vt:lpstr>
      <vt:lpstr>    Regeringens styrning och fastighetsförvaltarnas tillämpning</vt:lpstr>
      <vt:lpstr>    Hyresgästernas uppfattning</vt:lpstr>
      <vt:lpstr>    Brister i anslagssystemet</vt:lpstr>
      <vt:lpstr>    Nya hyror för vissa kulturinstitutioner</vt:lpstr>
      <vt:lpstr>    Revisorernas förslag</vt:lpstr>
      <vt:lpstr>1 Granskningens bakgrund och inriktning</vt:lpstr>
      <vt:lpstr>    Begreppet ändamålsfastigheter</vt:lpstr>
      <vt:lpstr>2 Förändringar i statsförvaltningen</vt:lpstr>
      <vt:lpstr>    Ny styrning av myndigheterna</vt:lpstr>
      <vt:lpstr>    Reform av fastighetsförvaltningen</vt:lpstr>
      <vt:lpstr>        Nytt system</vt:lpstr>
      <vt:lpstr>        Riksdagens beslut</vt:lpstr>
      <vt:lpstr>    Fastighetsorganisationen</vt:lpstr>
      <vt:lpstr>3 Utvärderingar av fastighetsreformen</vt:lpstr>
      <vt:lpstr>    Lokalförsörjningsverkets utvärdering av riktlinjer</vt:lpstr>
      <vt:lpstr>    Utvärderingen av statens fastighetsorganisation</vt:lpstr>
      <vt:lpstr>        Utredningens kritik</vt:lpstr>
      <vt:lpstr>        Förslag på ny hyresmodell</vt:lpstr>
      <vt:lpstr>    Riksdagens revisorers granskning om lokalförsörjning</vt:lpstr>
      <vt:lpstr>Principer för hyressättning </vt:lpstr>
      <vt:lpstr>    Riksdagens ställningstaganden</vt:lpstr>
      <vt:lpstr>        Stödja verksamheten</vt:lpstr>
      <vt:lpstr>        God förvaltning av kapitalet</vt:lpstr>
      <vt:lpstr>        Avvikande meningar</vt:lpstr>
      <vt:lpstr>Tillämpning av principerna för hyressättning och fastighetsförvaltning</vt:lpstr>
      <vt:lpstr>    Regeringens styrning av fastighetsförvaltningen</vt:lpstr>
      <vt:lpstr>    </vt:lpstr>
      <vt:lpstr>    </vt:lpstr>
      <vt:lpstr>    </vt:lpstr>
      <vt:lpstr>    </vt:lpstr>
      <vt:lpstr>    Statens fastigheter av ändamålskaraktär</vt:lpstr>
      <vt:lpstr>    Statens fastighetsverk  </vt:lpstr>
      <vt:lpstr>        Mål för verksamhet och ekonomi </vt:lpstr>
      <vt:lpstr>        Tillämpning av principer </vt:lpstr>
      <vt:lpstr>    Fortifikationsverket  </vt:lpstr>
      <vt:lpstr>        Mål för verksamhet och ekonomi</vt:lpstr>
      <vt:lpstr>        Tillämpning av principer </vt:lpstr>
      <vt:lpstr>        Problem med hyresmodellen och förslag på en ny</vt:lpstr>
      <vt:lpstr>    Akademiska Hus   </vt:lpstr>
      <vt:lpstr>        Mål för verksamhet och ekonomi</vt:lpstr>
      <vt:lpstr>        Tillämpning av principer </vt:lpstr>
      <vt:lpstr>    Specialfastigheter   </vt:lpstr>
      <vt:lpstr>        Mål för verksamhet och ekonomi</vt:lpstr>
      <vt:lpstr>        Tillämpning av principer </vt:lpstr>
    </vt:vector>
  </TitlesOfParts>
  <Company>Riksdagen</Company>
  <LinksUpToDate>false</LinksUpToDate>
  <CharactersWithSpaces>216495</CharactersWithSpaces>
  <SharedDoc>false</SharedDoc>
  <HLinks>
    <vt:vector size="6" baseType="variant">
      <vt:variant>
        <vt:i4>3538987</vt:i4>
      </vt:variant>
      <vt:variant>
        <vt:i4>0</vt:i4>
      </vt:variant>
      <vt:variant>
        <vt:i4>0</vt:i4>
      </vt:variant>
      <vt:variant>
        <vt:i4>5</vt:i4>
      </vt:variant>
      <vt:variant>
        <vt:lpwstr>http://www.standardandpoors.com/ratings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2001-12-14T12:06:00Z</cp:lastPrinted>
  <dcterms:created xsi:type="dcterms:W3CDTF">2025-12-16T00:50:00Z</dcterms:created>
  <dcterms:modified xsi:type="dcterms:W3CDTF">2025-12-16T00:50:00Z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