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7044">
        <w:tblPrEx>
          <w:tblCellMar>
            <w:top w:w="0" w:type="dxa"/>
            <w:bottom w:w="0" w:type="dxa"/>
          </w:tblCellMar>
        </w:tblPrEx>
        <w:trPr>
          <w:cantSplit/>
          <w:trHeight w:val="1720"/>
        </w:trPr>
        <w:tc>
          <w:tcPr>
            <w:tcW w:w="6024" w:type="dxa"/>
            <w:gridSpan w:val="2"/>
          </w:tcPr>
          <w:p w:rsidR="00D1087D" w:rsidRPr="00B47044" w:rsidRDefault="00D1087D">
            <w:pPr>
              <w:pStyle w:val="HuvudRubrik"/>
            </w:pPr>
            <w:r w:rsidRPr="00B47044">
              <w:t>Finansutskottets yttrande</w:t>
            </w:r>
          </w:p>
          <w:p w:rsidR="00D1087D" w:rsidRPr="00B47044" w:rsidRDefault="00D1087D">
            <w:pPr>
              <w:pStyle w:val="HuvudRubrikRad2"/>
            </w:pPr>
            <w:bookmarkStart w:id="0" w:name="BetänkandeNr"/>
            <w:bookmarkEnd w:id="0"/>
            <w:r w:rsidRPr="00B47044">
              <w:t>2000/01:FiU1y</w:t>
            </w:r>
          </w:p>
          <w:p w:rsidR="00D1087D" w:rsidRPr="00B47044" w:rsidRDefault="00D1087D">
            <w:pPr>
              <w:pStyle w:val="HuvudRubrikRad2"/>
            </w:pPr>
          </w:p>
        </w:tc>
        <w:tc>
          <w:tcPr>
            <w:tcW w:w="1418" w:type="dxa"/>
            <w:tcBorders>
              <w:bottom w:val="nil"/>
            </w:tcBorders>
          </w:tcPr>
          <w:p w:rsidR="00D1087D" w:rsidRPr="00B47044" w:rsidRDefault="00B47044">
            <w:pPr>
              <w:spacing w:line="230" w:lineRule="auto"/>
              <w:jc w:val="center"/>
            </w:pPr>
            <w:r w:rsidRPr="00B470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1087D" w:rsidRPr="00B47044" w:rsidRDefault="00D1087D">
            <w:pPr>
              <w:pStyle w:val="Normaltindrag"/>
              <w:jc w:val="center"/>
            </w:pPr>
          </w:p>
          <w:p w:rsidR="00D1087D" w:rsidRPr="00B47044" w:rsidRDefault="00D1087D">
            <w:pPr>
              <w:pStyle w:val="StatusSida1"/>
            </w:pPr>
          </w:p>
          <w:p w:rsidR="00D1087D" w:rsidRPr="00B47044" w:rsidRDefault="00D1087D">
            <w:pPr>
              <w:pStyle w:val="UtskriftsdatumSida1"/>
              <w:framePr w:wrap="around"/>
            </w:pPr>
          </w:p>
        </w:tc>
      </w:tr>
      <w:tr w:rsidR="00000000" w:rsidRPr="00B47044">
        <w:tblPrEx>
          <w:tblCellMar>
            <w:top w:w="0" w:type="dxa"/>
            <w:bottom w:w="0" w:type="dxa"/>
          </w:tblCellMar>
        </w:tblPrEx>
        <w:trPr>
          <w:cantSplit/>
        </w:trPr>
        <w:tc>
          <w:tcPr>
            <w:tcW w:w="6024" w:type="dxa"/>
            <w:gridSpan w:val="2"/>
            <w:tcBorders>
              <w:bottom w:val="single" w:sz="4" w:space="0" w:color="auto"/>
            </w:tcBorders>
          </w:tcPr>
          <w:p w:rsidR="00D1087D" w:rsidRPr="00B47044" w:rsidRDefault="00D1087D">
            <w:pPr>
              <w:pStyle w:val="DokumentRubrik"/>
              <w:rPr>
                <w:noProof w:val="0"/>
              </w:rPr>
            </w:pPr>
            <w:bookmarkStart w:id="1" w:name="Huvudrubrik"/>
            <w:bookmarkEnd w:id="1"/>
            <w:r w:rsidRPr="00B47044">
              <w:rPr>
                <w:noProof w:val="0"/>
              </w:rPr>
              <w:t xml:space="preserve">Behandlingen av riksdagens skrivelser till regeringen </w:t>
            </w:r>
            <w:r w:rsidRPr="00B47044">
              <w:rPr>
                <w:noProof w:val="0"/>
              </w:rPr>
              <w:br/>
            </w:r>
            <w:r w:rsidRPr="00B47044">
              <w:rPr>
                <w:noProof w:val="0"/>
                <w:sz w:val="28"/>
              </w:rPr>
              <w:t>(skr. 1999/2000:75)</w:t>
            </w:r>
          </w:p>
        </w:tc>
        <w:tc>
          <w:tcPr>
            <w:tcW w:w="1418" w:type="dxa"/>
            <w:tcBorders>
              <w:bottom w:val="nil"/>
            </w:tcBorders>
          </w:tcPr>
          <w:p w:rsidR="00D1087D" w:rsidRPr="00B47044" w:rsidRDefault="00D1087D"/>
        </w:tc>
      </w:tr>
      <w:tr w:rsidR="00000000" w:rsidRPr="00B47044">
        <w:tblPrEx>
          <w:tblCellMar>
            <w:top w:w="0" w:type="dxa"/>
            <w:bottom w:w="0" w:type="dxa"/>
          </w:tblCellMar>
        </w:tblPrEx>
        <w:trPr>
          <w:cantSplit/>
          <w:trHeight w:hRule="exact" w:val="360"/>
        </w:trPr>
        <w:tc>
          <w:tcPr>
            <w:tcW w:w="3012" w:type="dxa"/>
          </w:tcPr>
          <w:p w:rsidR="00D1087D" w:rsidRPr="00B47044" w:rsidRDefault="00D1087D"/>
        </w:tc>
        <w:tc>
          <w:tcPr>
            <w:tcW w:w="3012" w:type="dxa"/>
          </w:tcPr>
          <w:p w:rsidR="00D1087D" w:rsidRPr="00B47044" w:rsidRDefault="00D1087D"/>
        </w:tc>
        <w:tc>
          <w:tcPr>
            <w:tcW w:w="1418" w:type="dxa"/>
          </w:tcPr>
          <w:p w:rsidR="00D1087D" w:rsidRPr="00B47044" w:rsidRDefault="00D1087D"/>
        </w:tc>
      </w:tr>
    </w:tbl>
    <w:p w:rsidR="00D1087D" w:rsidRPr="00B47044" w:rsidRDefault="00D1087D">
      <w:pPr>
        <w:pStyle w:val="Rubrik1"/>
        <w:rPr>
          <w:noProof w:val="0"/>
        </w:rPr>
      </w:pPr>
      <w:bookmarkStart w:id="2" w:name="TextStart"/>
      <w:bookmarkStart w:id="3" w:name="Nästa_Hpunkt"/>
      <w:bookmarkStart w:id="4" w:name="Ordförande"/>
      <w:bookmarkStart w:id="5" w:name="Deltagare"/>
      <w:bookmarkStart w:id="6" w:name="_Toc496442040"/>
      <w:bookmarkEnd w:id="2"/>
      <w:bookmarkEnd w:id="3"/>
      <w:bookmarkEnd w:id="4"/>
      <w:bookmarkEnd w:id="5"/>
      <w:r w:rsidRPr="00B47044">
        <w:rPr>
          <w:noProof w:val="0"/>
        </w:rPr>
        <w:t>Till konstitutionsutskottet</w:t>
      </w:r>
      <w:bookmarkEnd w:id="6"/>
    </w:p>
    <w:p w:rsidR="00D1087D" w:rsidRPr="00B47044" w:rsidRDefault="00D1087D">
      <w:r w:rsidRPr="00B47044">
        <w:t xml:space="preserve">Konstitutionsutskottet har den 23 maj 2000 beslutat bereda samtliga utskott tillfälle att </w:t>
      </w:r>
      <w:r w:rsidRPr="00B47044">
        <w:noBreakHyphen/>
        <w:t xml:space="preserve"> i de delar som har samband med respektive utskotts beredning</w:t>
      </w:r>
      <w:r w:rsidRPr="00B47044">
        <w:t>s</w:t>
      </w:r>
      <w:r w:rsidRPr="00B47044">
        <w:t xml:space="preserve">område </w:t>
      </w:r>
      <w:r w:rsidRPr="00B47044">
        <w:noBreakHyphen/>
        <w:t xml:space="preserve"> yttra sig över regeringens skrivelse 1999/2000:75 med redogörelse för b</w:t>
      </w:r>
      <w:r w:rsidRPr="00B47044">
        <w:t>e</w:t>
      </w:r>
      <w:r w:rsidRPr="00B47044">
        <w:t>handlingen av riksdagens skrivelser till regeringen.</w:t>
      </w:r>
    </w:p>
    <w:p w:rsidR="00D1087D" w:rsidRPr="00B47044" w:rsidRDefault="00D1087D">
      <w:pPr>
        <w:pStyle w:val="Rubrik2"/>
        <w:spacing w:before="360" w:after="0"/>
        <w:rPr>
          <w:noProof w:val="0"/>
        </w:rPr>
      </w:pPr>
      <w:r w:rsidRPr="00B47044">
        <w:rPr>
          <w:noProof w:val="0"/>
        </w:rPr>
        <w:t>Utskottets överväganden</w:t>
      </w:r>
    </w:p>
    <w:p w:rsidR="00D1087D" w:rsidRPr="00B47044" w:rsidRDefault="00D1087D">
      <w:pPr>
        <w:pStyle w:val="Rubrik3"/>
        <w:spacing w:after="0"/>
        <w:rPr>
          <w:noProof w:val="0"/>
        </w:rPr>
      </w:pPr>
      <w:r w:rsidRPr="00B47044">
        <w:rPr>
          <w:noProof w:val="0"/>
        </w:rPr>
        <w:t>Generella synpunkter</w:t>
      </w:r>
    </w:p>
    <w:p w:rsidR="00D1087D" w:rsidRPr="00B47044" w:rsidRDefault="00D1087D">
      <w:pPr>
        <w:spacing w:before="62"/>
      </w:pPr>
      <w:r w:rsidRPr="00B47044">
        <w:t>I 2000 års redogörelse omfattas huvudsakligen sådana åtgärder som regerin</w:t>
      </w:r>
      <w:r w:rsidRPr="00B47044">
        <w:t>g</w:t>
      </w:r>
      <w:r w:rsidRPr="00B47044">
        <w:t>en vidtagit under kalenderåret 1999 med anledning av riksdagens skrivelser. För att underlätta riksdagsutskottens möjligheter att vid sitt uppföljningsa</w:t>
      </w:r>
      <w:r w:rsidRPr="00B47044">
        <w:t>r</w:t>
      </w:r>
      <w:r w:rsidRPr="00B47044">
        <w:t>bete få en så aktuell bild som möjligt har redovisningen även fått omfatta vissa regeringsbeslut från tiden efter den egentliga redovisningsperiodens utgång. Detta förfarande har använts om riksdagsskrivelserna därigenom har kunnat rapporteras som slutbehandlade.</w:t>
      </w:r>
    </w:p>
    <w:p w:rsidR="00D1087D" w:rsidRPr="00B47044" w:rsidRDefault="00D1087D">
      <w:pPr>
        <w:pStyle w:val="Normaltindrag"/>
      </w:pPr>
      <w:r w:rsidRPr="00B47044">
        <w:t>Sammantaget 54 skrivelser redovisas i årets redogörelse inom finansu</w:t>
      </w:r>
      <w:r w:rsidRPr="00B47044">
        <w:t>t</w:t>
      </w:r>
      <w:r w:rsidRPr="00B47044">
        <w:t>skottets ansvarsområde. Det skall jämföras med mellan 31 och 43 skrivelser i motsvarande redogörelser åren 1994–1996 och 1998 samt 49 skrivelser 1999. År 1997 lämnades ingen redog</w:t>
      </w:r>
      <w:r w:rsidRPr="00B47044">
        <w:t>ö</w:t>
      </w:r>
      <w:r w:rsidRPr="00B47044">
        <w:t xml:space="preserve">relse. </w:t>
      </w:r>
    </w:p>
    <w:p w:rsidR="00D1087D" w:rsidRPr="00B47044" w:rsidRDefault="00D1087D">
      <w:pPr>
        <w:pStyle w:val="Normaltindrag"/>
      </w:pPr>
      <w:r w:rsidRPr="00B47044">
        <w:t>Det kan också noteras att finansutskottet i sina betänkanden enligt den gällande budgetordningen numera behandlar samtliga ärenden på tilläggsbu</w:t>
      </w:r>
      <w:r w:rsidRPr="00B47044">
        <w:t>d</w:t>
      </w:r>
      <w:r w:rsidRPr="00B47044">
        <w:t>get. Vissa skrivelser omfattar bl.a. av detta skäl ett stort antal moment. En närmare uppföljning av regeringens åtgärder har gjorts för de moment i tilläggsbudgetbetänkandena som faller inom utskottets eget ansvarsområde. Tio av de sammanlagt 54 riksdagsskrivelserna som redovisats i regeringens återrapportering avser frågor som tillhör andra utskotts ansvarsområden men som behandlats av finansutskottet i samband med tilläggsbudgetar. Av rik</w:t>
      </w:r>
      <w:r w:rsidRPr="00B47044">
        <w:t>s</w:t>
      </w:r>
      <w:r w:rsidRPr="00B47044">
        <w:t xml:space="preserve">dagsskrivelserna är elva stycken äldre än två år och sex stycken </w:t>
      </w:r>
      <w:r w:rsidRPr="00B47044">
        <w:t xml:space="preserve">äldre än tre år. Av </w:t>
      </w:r>
      <w:r w:rsidRPr="00B47044">
        <w:lastRenderedPageBreak/>
        <w:t>dessa senare sex redovisas fyra som ännu inte slutbehandlade. Det äldsta inte slutbehan</w:t>
      </w:r>
      <w:r w:rsidRPr="00B47044">
        <w:t>d</w:t>
      </w:r>
      <w:r w:rsidRPr="00B47044">
        <w:t>lade ärendet avser riksmötet 1994/95.</w:t>
      </w:r>
    </w:p>
    <w:p w:rsidR="00D1087D" w:rsidRPr="00B47044" w:rsidRDefault="00D1087D">
      <w:pPr>
        <w:pStyle w:val="Normaltindrag"/>
      </w:pPr>
      <w:r w:rsidRPr="00B47044">
        <w:t xml:space="preserve">Allmänt kan sägas att riksdagens beslut inom utskottets ansvarsområde i allt väsentligt fullföljts på det sätt som riksdagen avsåg vid beslutstillfället och genomförts i rimlig tid. </w:t>
      </w:r>
    </w:p>
    <w:p w:rsidR="00D1087D" w:rsidRPr="00B47044" w:rsidRDefault="00D1087D">
      <w:pPr>
        <w:pStyle w:val="Normaltindrag"/>
      </w:pPr>
      <w:r w:rsidRPr="00B47044">
        <w:t>Utskottet vill göra ett generellt påpekande beträffande regeringens återra</w:t>
      </w:r>
      <w:r w:rsidRPr="00B47044">
        <w:t>p</w:t>
      </w:r>
      <w:r w:rsidRPr="00B47044">
        <w:t>portering till riksdagen. I regeringens skrivelse redovisas en riksdagsskrivelse som ännu inte slutbehandlad så länge som inte vidtagna åtgärder för samtliga moment återrapporterats till riksdagen. Det går emellertid i nuvarande red</w:t>
      </w:r>
      <w:r w:rsidRPr="00B47044">
        <w:t>o</w:t>
      </w:r>
      <w:r w:rsidRPr="00B47044">
        <w:t>visning inte att utläsa vilka eller hur många moment som är utestående. U</w:t>
      </w:r>
      <w:r w:rsidRPr="00B47044">
        <w:t>t</w:t>
      </w:r>
      <w:r w:rsidRPr="00B47044">
        <w:t>skottens uppföljningsarbete skulle underlättas om det av redogörelsen också framgick vilka moment som återstår att behandla. Enligt utskottets uppfat</w:t>
      </w:r>
      <w:r w:rsidRPr="00B47044">
        <w:t>t</w:t>
      </w:r>
      <w:r w:rsidRPr="00B47044">
        <w:t>ning är antalet moment sannolikt en bättre mätare på d</w:t>
      </w:r>
      <w:r w:rsidRPr="00B47044">
        <w:t>en utestående ärend</w:t>
      </w:r>
      <w:r w:rsidRPr="00B47044">
        <w:t>e</w:t>
      </w:r>
      <w:r w:rsidRPr="00B47044">
        <w:t>mängden än antalet riksdagsskrivelser. I likhet med vad utskottet framhöll i förra årets yttrande är det därför önskvärt att redogörelsen kompletteras på denna punkt.</w:t>
      </w:r>
    </w:p>
    <w:p w:rsidR="00D1087D" w:rsidRPr="00B47044" w:rsidRDefault="00D1087D">
      <w:pPr>
        <w:pStyle w:val="Normaltindrag"/>
      </w:pPr>
      <w:r w:rsidRPr="00B47044">
        <w:t>Beträffande bemyndiganden anser utskottet att det kan övervägas om en rapportering av huruvida regeringen utnyttjat bemyndigandet eller inte bör ingå i regeringens skrivelse.</w:t>
      </w:r>
    </w:p>
    <w:p w:rsidR="00D1087D" w:rsidRPr="00B47044" w:rsidRDefault="00D1087D">
      <w:pPr>
        <w:pStyle w:val="Rubrik3"/>
        <w:spacing w:before="360"/>
        <w:rPr>
          <w:noProof w:val="0"/>
        </w:rPr>
      </w:pPr>
      <w:r w:rsidRPr="00B47044">
        <w:rPr>
          <w:noProof w:val="0"/>
        </w:rPr>
        <w:t>Synpunkter på enskilda punkter i regeringens skrivelse</w:t>
      </w:r>
    </w:p>
    <w:p w:rsidR="00D1087D" w:rsidRPr="00B47044" w:rsidRDefault="00D1087D">
      <w:r w:rsidRPr="00B47044">
        <w:t>I det följande redovisas ett antal punkter där utskottet funnit anledning att kommentera regeringens redovisning.</w:t>
      </w:r>
    </w:p>
    <w:p w:rsidR="00D1087D" w:rsidRPr="00B47044" w:rsidRDefault="00D1087D">
      <w:pPr>
        <w:spacing w:before="60"/>
        <w:rPr>
          <w:i/>
        </w:rPr>
      </w:pPr>
      <w:r w:rsidRPr="00B47044">
        <w:rPr>
          <w:i/>
        </w:rPr>
        <w:t>Utgiftsramar och beräkning av statsinkomsterna (punkt Fi 13, mom. 11)</w:t>
      </w:r>
    </w:p>
    <w:p w:rsidR="00D1087D" w:rsidRPr="00B47044" w:rsidRDefault="00D1087D">
      <w:r w:rsidRPr="00B47044">
        <w:t>I betänkande 1997/98:FiU1 skrev utskottet: ”Utskottet vill understryka ... att i synnerhet frågan om bedömningen av lägesfaktorerna och deras betydelse för taxeringen ges särskild prioritet. Utredaren bör så snart som möjligt, helst under första halvåret 1998, presentera resultatet av sina överväganden när det gäller lägesfaktorerna ... Detta bör ges regeringen till känna.”</w:t>
      </w:r>
    </w:p>
    <w:p w:rsidR="00D1087D" w:rsidRPr="00B47044" w:rsidRDefault="00D1087D">
      <w:pPr>
        <w:pStyle w:val="Normaltindrag"/>
      </w:pPr>
      <w:r w:rsidRPr="00B47044">
        <w:t>I skrivelse 1999/2000:75 skriver regeringen: ”Fastighetstaxerings</w:t>
      </w:r>
      <w:r w:rsidRPr="00B47044">
        <w:softHyphen/>
        <w:t>utred</w:t>
      </w:r>
      <w:r w:rsidRPr="00B47044">
        <w:softHyphen/>
        <w:t>ningen (1997:06) genomför en omfattande statistisk undersökning för att klarlägga vilka värdefaktorer som påverkar fastighetspriserna och med vilken tyngd detta sker. Lägesfaktorn är en av flera värdefaktorer som ingår i denna undersökning. Frågan om vilken inverkan olika faktorer har – enskilt eller i samspel med andra – måste bedömas i ett sammanhang. Det är därför inte möjligt att behandla frågan om lägesfaktorns betydelse för sig.”</w:t>
      </w:r>
    </w:p>
    <w:p w:rsidR="00D1087D" w:rsidRPr="00B47044" w:rsidRDefault="00D1087D">
      <w:pPr>
        <w:pStyle w:val="Normaltindrag"/>
      </w:pPr>
      <w:r w:rsidRPr="00B47044">
        <w:t>Det är enligt utskottets mening inte klart om regeringen anser at</w:t>
      </w:r>
      <w:r w:rsidRPr="00B47044">
        <w:t xml:space="preserve">t ärendet i och med detta är slutbehandlat. </w:t>
      </w:r>
    </w:p>
    <w:p w:rsidR="00D1087D" w:rsidRPr="00B47044" w:rsidRDefault="00D1087D">
      <w:pPr>
        <w:spacing w:before="125"/>
        <w:rPr>
          <w:i/>
        </w:rPr>
      </w:pPr>
      <w:r w:rsidRPr="00B47044">
        <w:rPr>
          <w:i/>
        </w:rPr>
        <w:br w:type="page"/>
        <w:t xml:space="preserve">Förändringar i utjämningssystemet för kommuner och landsting (punkt Fi 55) </w:t>
      </w:r>
    </w:p>
    <w:p w:rsidR="00D1087D" w:rsidRPr="00B47044" w:rsidRDefault="00D1087D">
      <w:r w:rsidRPr="00B47044">
        <w:t>Under denna punkt redovisas utfärdandet av de lagar som regeringen antagit. Momentet 3 i betänkande 1998/99:FiU25 innehöll emellertid även en dels-sats om att godkänna regeringens förslag till riktlinjer för förändringar av utjämningssystemet. Innan regeringen avslutar ärendet bör enligt utskottets up</w:t>
      </w:r>
      <w:r w:rsidRPr="00B47044">
        <w:t>p</w:t>
      </w:r>
      <w:r w:rsidRPr="00B47044">
        <w:t>fattning även frågan om riktlinjer för fortsatta förändringar kommenteras.</w:t>
      </w:r>
    </w:p>
    <w:p w:rsidR="00D1087D" w:rsidRPr="00B47044" w:rsidRDefault="00D1087D">
      <w:pPr>
        <w:pStyle w:val="Normaltindrag"/>
        <w:spacing w:before="185"/>
        <w:ind w:firstLine="0"/>
        <w:rPr>
          <w:i/>
        </w:rPr>
      </w:pPr>
      <w:r w:rsidRPr="00B47044">
        <w:rPr>
          <w:i/>
        </w:rPr>
        <w:t>Utvärdering av Riksgäldskontorets upplåning och skuldförvaltning 1993/94–1998 (punkt Fi 59, mom. 6)</w:t>
      </w:r>
    </w:p>
    <w:p w:rsidR="00D1087D" w:rsidRPr="00B47044" w:rsidRDefault="00D1087D">
      <w:r w:rsidRPr="00B47044">
        <w:t>Regeringen hänvisar i sin återrapportering tillbaka till samma skrivelse som riksdagen behandlat. Lämpligare hade varit att hänvisa till det beslut som regeringen fattade den 11 november 1999 om riktlinjer för statsskuldens förvaltning 2000 och som lämnades till Rik</w:t>
      </w:r>
      <w:r w:rsidRPr="00B47044">
        <w:t>s</w:t>
      </w:r>
      <w:r w:rsidRPr="00B47044">
        <w:t>gäldskontoret.</w:t>
      </w:r>
    </w:p>
    <w:p w:rsidR="00D1087D" w:rsidRPr="00B47044" w:rsidRDefault="00D1087D">
      <w:pPr>
        <w:pStyle w:val="Normaltindrag"/>
        <w:spacing w:before="185"/>
        <w:ind w:firstLine="0"/>
        <w:rPr>
          <w:i/>
        </w:rPr>
      </w:pPr>
      <w:r w:rsidRPr="00B47044">
        <w:rPr>
          <w:i/>
        </w:rPr>
        <w:t>Allmänna bidrag till kommuner (punkt Fi 82)</w:t>
      </w:r>
    </w:p>
    <w:p w:rsidR="00D1087D" w:rsidRPr="00B47044" w:rsidRDefault="00D1087D">
      <w:r w:rsidRPr="00B47044">
        <w:t>A</w:t>
      </w:r>
      <w:r w:rsidRPr="00B47044">
        <w:rPr>
          <w:snapToGrid w:val="0"/>
          <w:lang w:eastAsia="sv-SE"/>
        </w:rPr>
        <w:t>ndra dels-satsen i betänkandet 1999/2000:FiU3 mom. 1 handlar om nettor</w:t>
      </w:r>
      <w:r w:rsidRPr="00B47044">
        <w:rPr>
          <w:snapToGrid w:val="0"/>
          <w:lang w:eastAsia="sv-SE"/>
        </w:rPr>
        <w:t>e</w:t>
      </w:r>
      <w:r w:rsidRPr="00B47044">
        <w:rPr>
          <w:snapToGrid w:val="0"/>
          <w:lang w:eastAsia="sv-SE"/>
        </w:rPr>
        <w:t xml:space="preserve">dovisningen av inkomsterna från försäljningen av Haningebostäder medan det i regeringens redovisning handlar om regleringsbrev för anslaget A2 Bidrag till särskilda insatser i kommuner och landsting och Bostadsdelegationen. Anslaget A2 och Bostadsdelegationen behandlas även senare i samma punkt eftersom anslaget ingår som en del av utgiftsområde 25. Regeringen anger att skrivelsen är slutbehandlad men det får enligt utskottets bedömning </w:t>
      </w:r>
      <w:r w:rsidRPr="00B47044">
        <w:rPr>
          <w:snapToGrid w:val="0"/>
          <w:lang w:eastAsia="sv-SE"/>
        </w:rPr>
        <w:t>anses tveksamt om regeringen har behandlat andra dels-satsen i betänkande FiU3 mom. 1.</w:t>
      </w:r>
      <w:r w:rsidRPr="00B47044">
        <w:t xml:space="preserve"> </w:t>
      </w:r>
    </w:p>
    <w:p w:rsidR="00D1087D" w:rsidRPr="00B47044" w:rsidRDefault="00D1087D">
      <w:pPr>
        <w:pStyle w:val="Utskriftsdatum"/>
        <w:spacing w:before="125"/>
      </w:pPr>
      <w:bookmarkStart w:id="7" w:name="Nästa_Reservation"/>
      <w:bookmarkEnd w:id="7"/>
      <w:r w:rsidRPr="00B47044">
        <w:t xml:space="preserve">Stockholm den 26 oktober 2000 </w:t>
      </w:r>
    </w:p>
    <w:p w:rsidR="00D1087D" w:rsidRPr="00B47044" w:rsidRDefault="00D1087D">
      <w:pPr>
        <w:pStyle w:val="Utskriftsdatum"/>
      </w:pPr>
      <w:r w:rsidRPr="00B47044">
        <w:t>På finansutskottets vägnar</w:t>
      </w:r>
    </w:p>
    <w:p w:rsidR="00D1087D" w:rsidRPr="00B47044" w:rsidRDefault="00D1087D">
      <w:pPr>
        <w:pStyle w:val="Ordfranden"/>
        <w:spacing w:before="125"/>
        <w:rPr>
          <w:noProof w:val="0"/>
        </w:rPr>
      </w:pPr>
      <w:r w:rsidRPr="00B47044">
        <w:rPr>
          <w:noProof w:val="0"/>
        </w:rPr>
        <w:t xml:space="preserve">Jan Bergqvist </w:t>
      </w:r>
    </w:p>
    <w:p w:rsidR="00D1087D" w:rsidRPr="00B47044" w:rsidRDefault="00D1087D">
      <w:pPr>
        <w:pStyle w:val="Deltagare"/>
        <w:spacing w:before="375"/>
        <w:rPr>
          <w:noProof w:val="0"/>
        </w:rPr>
      </w:pPr>
      <w:r w:rsidRPr="00B47044">
        <w:rPr>
          <w:noProof w:val="0"/>
        </w:rPr>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Waidelich (s).</w:t>
      </w:r>
    </w:p>
    <w:p w:rsidR="00D1087D" w:rsidRPr="00B47044" w:rsidRDefault="00D1087D">
      <w:pPr>
        <w:pStyle w:val="Deltagare"/>
        <w:rPr>
          <w:noProof w:val="0"/>
        </w:rPr>
      </w:pPr>
    </w:p>
    <w:p w:rsidR="00D1087D" w:rsidRPr="00B47044" w:rsidRDefault="00D1087D">
      <w:pPr>
        <w:pStyle w:val="Tryckort"/>
        <w:framePr w:wrap="around"/>
        <w:jc w:val="left"/>
      </w:pPr>
      <w:r w:rsidRPr="00B47044">
        <w:t>Elanders Gotab, Stockholm  2000</w:t>
      </w:r>
    </w:p>
    <w:p w:rsidR="00D1087D" w:rsidRPr="00B47044" w:rsidRDefault="00D1087D">
      <w:pPr>
        <w:pStyle w:val="Normaltindrag"/>
      </w:pPr>
    </w:p>
    <w:sectPr w:rsidR="00D1087D" w:rsidRPr="00B47044">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87D" w:rsidRPr="00B47044" w:rsidRDefault="00D1087D">
      <w:pPr>
        <w:spacing w:line="240" w:lineRule="auto"/>
      </w:pPr>
      <w:r w:rsidRPr="00B47044">
        <w:separator/>
      </w:r>
    </w:p>
  </w:endnote>
  <w:endnote w:type="continuationSeparator" w:id="0">
    <w:p w:rsidR="00D1087D" w:rsidRPr="00B47044" w:rsidRDefault="00D1087D">
      <w:pPr>
        <w:spacing w:line="240" w:lineRule="auto"/>
      </w:pPr>
      <w:r w:rsidRPr="00B47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fotV"/>
      <w:framePr w:w="8732" w:h="284" w:hRule="exact" w:hSpace="0" w:vSpace="0" w:wrap="around" w:xAlign="inside" w:y="13042" w:anchorLock="0"/>
    </w:pPr>
    <w:r w:rsidRPr="00B47044">
      <w:fldChar w:fldCharType="begin" w:fldLock="1"/>
    </w:r>
    <w:r w:rsidRPr="00B47044">
      <w:instrText xml:space="preserve"> P</w:instrText>
    </w:r>
    <w:r w:rsidRPr="00B47044">
      <w:instrText>A</w:instrText>
    </w:r>
    <w:r w:rsidRPr="00B47044">
      <w:instrText xml:space="preserve">GE </w:instrText>
    </w:r>
    <w:r w:rsidRPr="00B47044">
      <w:fldChar w:fldCharType="separate"/>
    </w:r>
    <w:r w:rsidRPr="00B47044">
      <w:t>2</w:t>
    </w:r>
    <w:r w:rsidRPr="00B47044">
      <w:fldChar w:fldCharType="end"/>
    </w:r>
  </w:p>
  <w:p w:rsidR="00D1087D" w:rsidRPr="00B47044" w:rsidRDefault="00D108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fotH"/>
      <w:framePr w:w="8732" w:h="284" w:hRule="exact" w:hSpace="0" w:vSpace="0" w:wrap="around" w:xAlign="inside" w:y="13042" w:anchorLock="0"/>
    </w:pPr>
    <w:r w:rsidRPr="00B47044">
      <w:fldChar w:fldCharType="begin" w:fldLock="1"/>
    </w:r>
    <w:r w:rsidRPr="00B47044">
      <w:instrText xml:space="preserve"> P</w:instrText>
    </w:r>
    <w:r w:rsidRPr="00B47044">
      <w:instrText>A</w:instrText>
    </w:r>
    <w:r w:rsidRPr="00B47044">
      <w:instrText xml:space="preserve">GE </w:instrText>
    </w:r>
    <w:r w:rsidRPr="00B47044">
      <w:fldChar w:fldCharType="separate"/>
    </w:r>
    <w:r w:rsidRPr="00B47044">
      <w:t>3</w:t>
    </w:r>
    <w:r w:rsidRPr="00B47044">
      <w:fldChar w:fldCharType="end"/>
    </w:r>
  </w:p>
  <w:p w:rsidR="00D1087D" w:rsidRPr="00B47044" w:rsidRDefault="00D108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fotV"/>
      <w:framePr w:w="8732" w:h="284" w:hRule="exact" w:hSpace="0" w:vSpace="0" w:wrap="around" w:xAlign="inside" w:y="13042" w:anchorLock="0"/>
    </w:pPr>
    <w:r w:rsidRPr="00B47044">
      <w:fldChar w:fldCharType="begin" w:fldLock="1"/>
    </w:r>
    <w:r w:rsidRPr="00B47044">
      <w:instrText xml:space="preserve"> if </w:instrText>
    </w:r>
    <w:r w:rsidRPr="00B47044">
      <w:fldChar w:fldCharType="begin" w:fldLock="1"/>
    </w:r>
    <w:r w:rsidRPr="00B47044">
      <w:instrText xml:space="preserve"> = </w:instrText>
    </w:r>
    <w:r w:rsidRPr="00B47044">
      <w:fldChar w:fldCharType="begin" w:fldLock="1"/>
    </w:r>
    <w:r w:rsidRPr="00B47044">
      <w:instrText xml:space="preserve"> = </w:instrText>
    </w:r>
    <w:r w:rsidRPr="00B47044">
      <w:fldChar w:fldCharType="begin" w:fldLock="1"/>
    </w:r>
    <w:r w:rsidRPr="00B47044">
      <w:instrText xml:space="preserve"> page</w:instrText>
    </w:r>
    <w:r w:rsidRPr="00B47044">
      <w:fldChar w:fldCharType="separate"/>
    </w:r>
    <w:r w:rsidR="00B47044">
      <w:rPr>
        <w:noProof/>
      </w:rPr>
      <w:instrText>1</w:instrText>
    </w:r>
    <w:r w:rsidRPr="00B47044">
      <w:fldChar w:fldCharType="end"/>
    </w:r>
    <w:r w:rsidRPr="00B47044">
      <w:instrText xml:space="preserve">/2 </w:instrText>
    </w:r>
    <w:r w:rsidRPr="00B47044">
      <w:fldChar w:fldCharType="separate"/>
    </w:r>
    <w:r w:rsidR="00B47044">
      <w:rPr>
        <w:noProof/>
      </w:rPr>
      <w:instrText>0,5</w:instrText>
    </w:r>
    <w:r w:rsidRPr="00B47044">
      <w:fldChar w:fldCharType="end"/>
    </w:r>
    <w:r w:rsidRPr="00B47044">
      <w:instrText xml:space="preserve"> - </w:instrText>
    </w:r>
    <w:r w:rsidRPr="00B47044">
      <w:fldChar w:fldCharType="begin" w:fldLock="1"/>
    </w:r>
    <w:r w:rsidRPr="00B47044">
      <w:instrText xml:space="preserve"> = int(</w:instrText>
    </w:r>
    <w:r w:rsidRPr="00B47044">
      <w:fldChar w:fldCharType="begin" w:fldLock="1"/>
    </w:r>
    <w:r w:rsidRPr="00B47044">
      <w:instrText xml:space="preserve"> page</w:instrText>
    </w:r>
    <w:r w:rsidRPr="00B47044">
      <w:fldChar w:fldCharType="separate"/>
    </w:r>
    <w:r w:rsidR="00B47044">
      <w:rPr>
        <w:noProof/>
      </w:rPr>
      <w:instrText>1</w:instrText>
    </w:r>
    <w:r w:rsidRPr="00B47044">
      <w:fldChar w:fldCharType="end"/>
    </w:r>
    <w:r w:rsidRPr="00B47044">
      <w:instrText xml:space="preserve">/2) </w:instrText>
    </w:r>
    <w:r w:rsidRPr="00B47044">
      <w:fldChar w:fldCharType="separate"/>
    </w:r>
    <w:r w:rsidR="00B47044">
      <w:rPr>
        <w:noProof/>
      </w:rPr>
      <w:instrText>0</w:instrText>
    </w:r>
    <w:r w:rsidRPr="00B47044">
      <w:fldChar w:fldCharType="end"/>
    </w:r>
    <w:r w:rsidRPr="00B47044">
      <w:fldChar w:fldCharType="separate"/>
    </w:r>
    <w:r w:rsidR="00B47044">
      <w:rPr>
        <w:noProof/>
      </w:rPr>
      <w:instrText>0,5</w:instrText>
    </w:r>
    <w:r w:rsidRPr="00B47044">
      <w:fldChar w:fldCharType="end"/>
    </w:r>
    <w:r w:rsidRPr="00B47044">
      <w:instrText xml:space="preserve"> = 0 "</w:instrText>
    </w:r>
    <w:r w:rsidRPr="00B47044">
      <w:fldChar w:fldCharType="begin" w:fldLock="1"/>
    </w:r>
    <w:r w:rsidRPr="00B47044">
      <w:instrText xml:space="preserve"> P</w:instrText>
    </w:r>
    <w:r w:rsidRPr="00B47044">
      <w:instrText>A</w:instrText>
    </w:r>
    <w:r w:rsidRPr="00B47044">
      <w:instrText xml:space="preserve">GE </w:instrText>
    </w:r>
    <w:r w:rsidRPr="00B47044">
      <w:fldChar w:fldCharType="separate"/>
    </w:r>
    <w:r w:rsidRPr="00B47044">
      <w:instrText>2</w:instrText>
    </w:r>
    <w:r w:rsidRPr="00B47044">
      <w:fldChar w:fldCharType="end"/>
    </w:r>
  </w:p>
  <w:p w:rsidR="00D1087D" w:rsidRPr="00B47044" w:rsidRDefault="00D1087D">
    <w:pPr>
      <w:pStyle w:val="SidfotH"/>
      <w:framePr w:w="8732" w:h="284" w:hRule="exact" w:hSpace="0" w:vSpace="0" w:wrap="around" w:xAlign="inside" w:y="13042" w:anchorLock="0"/>
    </w:pPr>
    <w:r w:rsidRPr="00B47044">
      <w:instrText>""</w:instrText>
    </w:r>
    <w:r w:rsidRPr="00B47044">
      <w:fldChar w:fldCharType="begin" w:fldLock="1"/>
    </w:r>
    <w:r w:rsidRPr="00B47044">
      <w:instrText xml:space="preserve"> P</w:instrText>
    </w:r>
    <w:r w:rsidRPr="00B47044">
      <w:instrText>A</w:instrText>
    </w:r>
    <w:r w:rsidRPr="00B47044">
      <w:instrText xml:space="preserve">GE </w:instrText>
    </w:r>
    <w:r w:rsidRPr="00B47044">
      <w:fldChar w:fldCharType="separate"/>
    </w:r>
    <w:r w:rsidR="00B47044">
      <w:rPr>
        <w:noProof/>
      </w:rPr>
      <w:instrText>1</w:instrText>
    </w:r>
    <w:r w:rsidRPr="00B47044">
      <w:fldChar w:fldCharType="end"/>
    </w:r>
    <w:r w:rsidRPr="00B47044">
      <w:instrText>"</w:instrText>
    </w:r>
    <w:r w:rsidRPr="00B47044">
      <w:fldChar w:fldCharType="separate"/>
    </w:r>
    <w:r w:rsidR="00B47044">
      <w:rPr>
        <w:noProof/>
      </w:rPr>
      <w:t>1</w:t>
    </w:r>
    <w:r w:rsidRPr="00B47044">
      <w:fldChar w:fldCharType="end"/>
    </w:r>
  </w:p>
  <w:p w:rsidR="00D1087D" w:rsidRPr="00B47044" w:rsidRDefault="00D10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87D" w:rsidRPr="00B47044" w:rsidRDefault="00D1087D">
      <w:pPr>
        <w:pStyle w:val="Sidfot"/>
      </w:pPr>
    </w:p>
  </w:footnote>
  <w:footnote w:type="continuationSeparator" w:id="0">
    <w:p w:rsidR="00D1087D" w:rsidRPr="00B47044" w:rsidRDefault="00D1087D">
      <w:pPr>
        <w:spacing w:line="240" w:lineRule="auto"/>
      </w:pPr>
      <w:r w:rsidRPr="00B470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huvudKantJmn"/>
      <w:framePr w:w="8732" w:h="567" w:hRule="exact" w:vSpace="0" w:wrap="around" w:vAnchor="page" w:y="341" w:anchorLock="0"/>
    </w:pPr>
    <w:r w:rsidRPr="00B47044">
      <w:rPr>
        <w:rStyle w:val="SidhuvudUtskott"/>
      </w:rPr>
      <w:t>2000/01:FiU1y</w:t>
    </w:r>
    <w:r w:rsidRPr="00B47044">
      <w:t xml:space="preserve">     </w:t>
    </w:r>
    <w:r w:rsidRPr="00B47044">
      <w:rPr>
        <w:rStyle w:val="SidhuvudBilaga"/>
      </w:rPr>
      <w:t xml:space="preserve"> </w:t>
    </w:r>
    <w:r w:rsidRPr="00B47044">
      <w:rPr>
        <w:rStyle w:val="SidhuvudRubrikReferens"/>
      </w:rPr>
      <w:t>Till konstitutionsutskottet</w:t>
    </w:r>
  </w:p>
  <w:p w:rsidR="00D1087D" w:rsidRPr="00B47044" w:rsidRDefault="00D1087D">
    <w:pPr>
      <w:pStyle w:val="SidhuvudKantJmn"/>
      <w:framePr w:w="8732" w:h="567" w:hRule="exact" w:vSpace="0" w:wrap="around" w:vAnchor="page" w:y="341" w:anchorLock="0"/>
    </w:pPr>
  </w:p>
  <w:p w:rsidR="00D1087D" w:rsidRPr="00B47044" w:rsidRDefault="00D1087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huvudKantUdda"/>
      <w:framePr w:w="8732" w:h="567" w:hRule="exact" w:vSpace="0" w:wrap="around" w:vAnchor="page" w:y="341" w:anchorLock="0"/>
    </w:pPr>
    <w:r w:rsidRPr="00B47044">
      <w:rPr>
        <w:rStyle w:val="SidhuvudRubrikReferens"/>
      </w:rPr>
      <w:t>Till konstitutionsutskottet</w:t>
    </w:r>
    <w:r w:rsidRPr="00B47044">
      <w:rPr>
        <w:rStyle w:val="SidhuvudBilaga"/>
      </w:rPr>
      <w:t xml:space="preserve"> </w:t>
    </w:r>
    <w:r w:rsidRPr="00B47044">
      <w:t xml:space="preserve">     </w:t>
    </w:r>
    <w:r w:rsidRPr="00B47044">
      <w:rPr>
        <w:rStyle w:val="SidhuvudUtskott"/>
      </w:rPr>
      <w:t>2000/01:FiU1y</w:t>
    </w:r>
  </w:p>
  <w:p w:rsidR="00D1087D" w:rsidRPr="00B47044" w:rsidRDefault="00D1087D">
    <w:pPr>
      <w:pStyle w:val="SidhuvudKantUdda"/>
      <w:framePr w:w="8732" w:h="567" w:hRule="exact" w:vSpace="0" w:wrap="around" w:vAnchor="page" w:y="341" w:anchorLock="0"/>
    </w:pPr>
  </w:p>
  <w:p w:rsidR="00D1087D" w:rsidRPr="00B47044" w:rsidRDefault="00D1087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87D" w:rsidRPr="00B47044" w:rsidRDefault="00D1087D">
    <w:pPr>
      <w:pStyle w:val="SidhuvudKantUdda"/>
      <w:framePr w:w="8732" w:h="567" w:hRule="exact" w:vSpace="0" w:wrap="around" w:vAnchor="page" w:y="341" w:anchorLock="0"/>
    </w:pPr>
    <w:r w:rsidRPr="00B47044">
      <w:t xml:space="preserve"> </w:t>
    </w:r>
  </w:p>
  <w:p w:rsidR="00D1087D" w:rsidRPr="00B47044" w:rsidRDefault="00D1087D">
    <w:pPr>
      <w:pStyle w:val="Sidhuvud"/>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B47DDF"/>
    <w:rsid w:val="00B47044"/>
    <w:rsid w:val="00B47DDF"/>
    <w:rsid w:val="00D108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EF907A-57EC-4AF7-A3DB-DAA633EF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line="250" w:lineRule="atLeast"/>
      <w:jc w:val="both"/>
    </w:pPr>
    <w:rPr>
      <w:sz w:val="19"/>
      <w:lang w:val="sv-SE"/>
    </w:rPr>
  </w:style>
  <w:style w:type="paragraph" w:styleId="Rubrik1">
    <w:name w:val="heading 1"/>
    <w:basedOn w:val="Normal"/>
    <w:next w:val="Normal"/>
    <w:qFormat/>
    <w:pPr>
      <w:keepNext/>
      <w:keepLines/>
      <w:suppressAutoHyphens/>
      <w:spacing w:after="680" w:line="320" w:lineRule="exact"/>
      <w:jc w:val="left"/>
      <w:outlineLvl w:val="0"/>
    </w:pPr>
    <w:rPr>
      <w:noProof/>
      <w:sz w:val="32"/>
    </w:rPr>
  </w:style>
  <w:style w:type="paragraph" w:styleId="Rubrik2">
    <w:name w:val="heading 2"/>
    <w:basedOn w:val="Rubrik1"/>
    <w:next w:val="Normal"/>
    <w:qFormat/>
    <w:pPr>
      <w:spacing w:before="250" w:after="250" w:line="250" w:lineRule="exact"/>
      <w:outlineLvl w:val="1"/>
    </w:pPr>
    <w:rPr>
      <w:sz w:val="27"/>
    </w:rPr>
  </w:style>
  <w:style w:type="paragraph" w:styleId="Rubrik3">
    <w:name w:val="heading 3"/>
    <w:basedOn w:val="Rubrik1"/>
    <w:next w:val="Normal"/>
    <w:qFormat/>
    <w:pPr>
      <w:spacing w:before="125" w:after="125"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50" w:line="200" w:lineRule="exact"/>
      <w:jc w:val="left"/>
      <w:outlineLvl w:val="5"/>
    </w:pPr>
    <w:rPr>
      <w:caps/>
      <w:sz w:val="1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firstLine="227"/>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StatusSida1">
    <w:name w:val="Status Sida1"/>
    <w:basedOn w:val="Normal"/>
    <w:pPr>
      <w:spacing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ind w:right="567"/>
    </w:pPr>
  </w:style>
  <w:style w:type="paragraph" w:styleId="Innehll2">
    <w:name w:val="toc 2"/>
    <w:basedOn w:val="Innehll1"/>
    <w:autoRedefine/>
    <w:semiHidden/>
    <w:pPr>
      <w:ind w:left="284"/>
    </w:pPr>
  </w:style>
  <w:style w:type="paragraph" w:styleId="Innehll3">
    <w:name w:val="toc 3"/>
    <w:basedOn w:val="Innehll1"/>
    <w:autoRedefine/>
    <w:semiHidden/>
    <w:pPr>
      <w:ind w:left="567"/>
    </w:pPr>
  </w:style>
  <w:style w:type="paragraph" w:styleId="Innehll4">
    <w:name w:val="toc 4"/>
    <w:basedOn w:val="Innehll1"/>
    <w:autoRedefine/>
    <w:semiHidden/>
    <w:pPr>
      <w:ind w:left="851"/>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Rubrik1"/>
    <w:next w:val="Normal"/>
    <w:pPr>
      <w:outlineLvl w:val="9"/>
    </w:pPr>
  </w:style>
  <w:style w:type="paragraph" w:customStyle="1" w:styleId="R2">
    <w:name w:val="R2"/>
    <w:basedOn w:val="Rubrik2"/>
    <w:next w:val="Normal"/>
  </w:style>
  <w:style w:type="paragraph" w:customStyle="1" w:styleId="R3">
    <w:name w:val="R3"/>
    <w:basedOn w:val="Rubrik3"/>
    <w:next w:val="Normal"/>
  </w:style>
  <w:style w:type="paragraph" w:customStyle="1" w:styleId="R4">
    <w:name w:val="R4"/>
    <w:basedOn w:val="Rubrik4"/>
    <w:next w:val="Normal"/>
  </w:style>
  <w:style w:type="paragraph" w:styleId="Sidfot">
    <w:name w:val="footer"/>
    <w:basedOn w:val="Normal"/>
    <w:semiHidden/>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after="20" w:line="240" w:lineRule="atLeast"/>
      <w:jc w:val="left"/>
    </w:pPr>
    <w:rPr>
      <w:noProof/>
      <w:sz w:val="40"/>
    </w:rPr>
  </w:style>
  <w:style w:type="paragraph" w:customStyle="1" w:styleId="Frslagspunkt">
    <w:name w:val="Förslagspunkt"/>
    <w:basedOn w:val="Rubrik3"/>
    <w:pPr>
      <w:spacing w:before="250" w:after="0"/>
      <w:ind w:left="340" w:hanging="340"/>
      <w:outlineLvl w:val="9"/>
    </w:pPr>
  </w:style>
  <w:style w:type="paragraph" w:customStyle="1" w:styleId="Frslagstext">
    <w:name w:val="Förslagstext"/>
    <w:basedOn w:val="Normal"/>
    <w:pPr>
      <w:ind w:left="340"/>
    </w:pPr>
  </w:style>
  <w:style w:type="paragraph" w:styleId="Kommentarer">
    <w:name w:val="annotation text"/>
    <w:basedOn w:val="Normal"/>
    <w:semiHidden/>
    <w:rPr>
      <w:sz w:val="20"/>
    </w:rPr>
  </w:style>
  <w:style w:type="paragraph" w:customStyle="1" w:styleId="Reservanter">
    <w:name w:val="Reservanter"/>
    <w:basedOn w:val="Normaltindrag"/>
    <w:pPr>
      <w:spacing w:after="60"/>
      <w:ind w:left="340" w:firstLine="0"/>
    </w:pPr>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eservationspunkt">
    <w:name w:val="Reservationspunkt"/>
    <w:basedOn w:val="Frslagspunkt"/>
    <w:next w:val="Reservanter"/>
    <w:pPr>
      <w:outlineLvl w:val="1"/>
    </w:pPr>
  </w:style>
  <w:style w:type="paragraph" w:customStyle="1" w:styleId="Rubrik1b">
    <w:name w:val="Rubrik 1b"/>
    <w:basedOn w:val="Rubrik2"/>
    <w:rPr>
      <w:b/>
    </w:rPr>
  </w:style>
  <w:style w:type="paragraph" w:customStyle="1" w:styleId="Rubrik2b">
    <w:name w:val="Rubrik 2b"/>
    <w:basedOn w:val="Rubrik2"/>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after="0"/>
      <w:ind w:left="113" w:right="113"/>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after="250"/>
    </w:pPr>
  </w:style>
  <w:style w:type="paragraph" w:customStyle="1" w:styleId="Utskottetsvervganden-RubrikFrslagspunkt">
    <w:name w:val="Utskottets överväganden - Rubrik Förslagspunkt"/>
    <w:basedOn w:val="Rubrik2"/>
    <w:next w:val="Utskottsfrslagikorthet-Rubrik"/>
    <w:pPr>
      <w:spacing w:before="500" w:after="0"/>
    </w:pPr>
  </w:style>
  <w:style w:type="paragraph" w:customStyle="1" w:styleId="Reservationer-underrubrik">
    <w:name w:val="Reservationer - underrubrik"/>
    <w:basedOn w:val="Utskottetsvervganden-kursivrubrik"/>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line="240" w:lineRule="auto"/>
      <w:ind w:left="113"/>
      <w:jc w:val="left"/>
    </w:pPr>
    <w:rPr>
      <w:sz w:val="24"/>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5520</Characters>
  <Application>Microsoft Office Word</Application>
  <DocSecurity>4</DocSecurity>
  <Lines>112</Lines>
  <Paragraphs>34</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Finansutskottets yttrande</vt:lpstr>
      <vt:lpstr>Till konstitutionsutskottet</vt:lpstr>
      <vt:lpstr>    Utskottets överväganden</vt:lpstr>
      <vt:lpstr>        Generella synpunkter</vt:lpstr>
      <vt:lpstr>        Synpunkter på enskilda punkter i regeringens skrivelse</vt:lpstr>
    </vt:vector>
  </TitlesOfParts>
  <Company>Riksdagen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2000-11-08T11:31:00Z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FiU1y</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