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34A8782CFB24A9FA8BCFA1F5BD12EA8"/>
        </w:placeholder>
        <w:text/>
      </w:sdtPr>
      <w:sdtEndPr/>
      <w:sdtContent>
        <w:p w:rsidRPr="009B062B" w:rsidR="00AF30DD" w:rsidP="00F01916" w:rsidRDefault="00AF30DD" w14:paraId="5E15C7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c1b8ad-eb59-4ab7-971e-cba65d33aa57"/>
        <w:id w:val="-1443301556"/>
        <w:lock w:val="sdtLocked"/>
      </w:sdtPr>
      <w:sdtEndPr/>
      <w:sdtContent>
        <w:p w:rsidR="00095AB3" w:rsidRDefault="00CE76E1" w14:paraId="60235F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samhällsnyttiga insatser som en del av aktiveringen för försörjningsstödsmottagare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66E2FCB5434163842E38D0AE7893D8"/>
        </w:placeholder>
        <w:text/>
      </w:sdtPr>
      <w:sdtEndPr/>
      <w:sdtContent>
        <w:p w:rsidRPr="009B062B" w:rsidR="006D79C9" w:rsidP="00333E95" w:rsidRDefault="006D79C9" w14:paraId="2419E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5B6A" w:rsidP="00E85B6A" w:rsidRDefault="00E85B6A" w14:paraId="69E25889" w14:textId="7F8B1C45">
      <w:pPr>
        <w:pStyle w:val="Normalutanindragellerluft"/>
      </w:pPr>
      <w:r>
        <w:t>Heltidsaktivering är en grundpelare i en fungerande arbetslinje. Utöver moraliska argument – att den som lever på andras pengar ska göra en motprestation – finns starkt forskningsstöd för att krav på heltidsaktivering minskar arbetslöshet</w:t>
      </w:r>
      <w:r w:rsidR="00174EF8">
        <w:t>en</w:t>
      </w:r>
      <w:r>
        <w:t xml:space="preserve"> genom att dels öka sökintensiteten inför och under aktivering</w:t>
      </w:r>
      <w:r w:rsidR="00174EF8">
        <w:t>en</w:t>
      </w:r>
      <w:r>
        <w:rPr>
          <w:rStyle w:val="Fotnotsreferens"/>
        </w:rPr>
        <w:footnoteReference w:id="1"/>
      </w:r>
      <w:r>
        <w:t xml:space="preserve">, dels minska kostnaden av att arbeta när fritidsmängden blir densamma med bidrag eller jobb, dels </w:t>
      </w:r>
      <w:r w:rsidR="00174EF8">
        <w:t>öka</w:t>
      </w:r>
      <w:r>
        <w:t xml:space="preserve"> anställningsbarheten med träffsäkra insatser </w:t>
      </w:r>
      <w:r w:rsidR="00174EF8">
        <w:t>under</w:t>
      </w:r>
      <w:r>
        <w:t xml:space="preserve"> aktivering</w:t>
      </w:r>
      <w:r w:rsidR="00174EF8">
        <w:t>en</w:t>
      </w:r>
      <w:r>
        <w:rPr>
          <w:rStyle w:val="Fotnotsreferens"/>
        </w:rPr>
        <w:footnoteReference w:id="2"/>
      </w:r>
      <w:r>
        <w:t>. När tiden går åt till aktivering minskar risken att tiden ägnas åt kriminell verksamhet eller svartarbete.</w:t>
      </w:r>
    </w:p>
    <w:p w:rsidR="00CF4B04" w:rsidP="001358B7" w:rsidRDefault="00E85B6A" w14:paraId="266DE646" w14:textId="0C60BB51">
      <w:r>
        <w:t>Aktivitetskrav kan idag ställas av både Arbetsförmedlingen och socialtjänsten. Det finns brister i implementeringen. Inspektionen för arbetslöshetsförsäkringen visar exempelvis att Arbetsförmedlingen avstått från sanktioner i fyra av fem fall när deltagare inte följt sin etableringsplan</w:t>
      </w:r>
      <w:r w:rsidR="00174EF8">
        <w:t>.</w:t>
      </w:r>
      <w:r w:rsidR="006B661D">
        <w:rPr>
          <w:rStyle w:val="Fotnotsreferens"/>
        </w:rPr>
        <w:footnoteReference w:id="3"/>
      </w:r>
      <w:r w:rsidR="006B661D">
        <w:t xml:space="preserve"> Bland kommunerna varierar innehållet i aktivitetskravet, och även om många menar att de ställer krav på motprestation kan den faktiska aktiveringen vara så låg som att bara ställa krav på att delta i Arbetsförmed</w:t>
      </w:r>
      <w:r w:rsidR="001358B7">
        <w:softHyphen/>
      </w:r>
      <w:r w:rsidR="006B661D">
        <w:t>lingens insatser, som för samma person kanske bara är att söka ett antal jobb.</w:t>
      </w:r>
    </w:p>
    <w:p w:rsidRPr="00CF4B04" w:rsidR="00CF4B04" w:rsidP="001358B7" w:rsidRDefault="006B661D" w14:paraId="75E0F477" w14:textId="220CCA7E">
      <w:r>
        <w:t>Kommunernas möjlighet att ställa krav regleras i 4</w:t>
      </w:r>
      <w:r w:rsidR="00174EF8">
        <w:t> </w:t>
      </w:r>
      <w:r>
        <w:t>kap. 4</w:t>
      </w:r>
      <w:r w:rsidR="00174EF8">
        <w:t> </w:t>
      </w:r>
      <w:r>
        <w:t>§ socialtjänstlagen och är där begränsa</w:t>
      </w:r>
      <w:r w:rsidR="00174EF8">
        <w:t>d</w:t>
      </w:r>
      <w:r>
        <w:t xml:space="preserve"> till kompetenshöjande insatser. Det kan innebära praktik, viss utbildning och jobbsökande. Det finns stöd i forskning för att jobbsökande behövs som ett inslag, </w:t>
      </w:r>
      <w:r>
        <w:lastRenderedPageBreak/>
        <w:t xml:space="preserve">annars riskerar aktiveringen istället </w:t>
      </w:r>
      <w:r w:rsidR="00174EF8">
        <w:t xml:space="preserve">att </w:t>
      </w:r>
      <w:r>
        <w:t>få inlåsningseffekter där de arbetslösa får förlängda arbetslöshetstider</w:t>
      </w:r>
      <w:r w:rsidR="00174EF8">
        <w:t>.</w:t>
      </w:r>
      <w:r>
        <w:rPr>
          <w:rStyle w:val="Fotnotsreferens"/>
        </w:rPr>
        <w:footnoteReference w:id="4"/>
      </w:r>
      <w:r>
        <w:t xml:space="preserve"> Utan krav på jobbsök</w:t>
      </w:r>
      <w:r w:rsidR="00174EF8">
        <w:t>ande</w:t>
      </w:r>
      <w:r>
        <w:t xml:space="preserve"> faller antalet sökta jobb</w:t>
      </w:r>
      <w:r w:rsidR="00174EF8">
        <w:t>.</w:t>
      </w:r>
      <w:r>
        <w:rPr>
          <w:rStyle w:val="Fotnotsreferens"/>
        </w:rPr>
        <w:footnoteReference w:id="5"/>
      </w:r>
    </w:p>
    <w:p w:rsidR="0045303E" w:rsidP="001358B7" w:rsidRDefault="006B661D" w14:paraId="6C9A5FB0" w14:textId="75FECFCA">
      <w:r>
        <w:t>Tidöavtalet innehåller en överenskommelse om en bidragsreform med heltids</w:t>
      </w:r>
      <w:r w:rsidR="001358B7">
        <w:softHyphen/>
      </w:r>
      <w:r>
        <w:t>aktivering efter arbetsförmåga som krav på motprestation för bidrag</w:t>
      </w:r>
      <w:r w:rsidR="0045303E">
        <w:t xml:space="preserve">. </w:t>
      </w:r>
    </w:p>
    <w:p w:rsidR="0045303E" w:rsidP="001358B7" w:rsidRDefault="0045303E" w14:paraId="62D52A6B" w14:textId="19A113F7">
      <w:r>
        <w:t>Kommunernas möjlighet att komplettera kompetenshöjande insatser, jobbsök</w:t>
      </w:r>
      <w:r w:rsidR="00174EF8">
        <w:t>ande</w:t>
      </w:r>
      <w:r>
        <w:t xml:space="preserve"> och andra aktiviteter med samhällsnyttiga insatser är betydelsefullt för att personer, särskilt de som varit utan arbete en längre tid</w:t>
      </w:r>
      <w:r w:rsidR="00174EF8">
        <w:t>,</w:t>
      </w:r>
      <w:r>
        <w:t xml:space="preserve"> ska känna mening och en möjlighet att bidra till samhället. Växjö kommun beslutade i början av </w:t>
      </w:r>
      <w:r w:rsidR="00174EF8">
        <w:t>c</w:t>
      </w:r>
      <w:r>
        <w:t xml:space="preserve">oronapandemin att låta bidragstagare producera skyddsutrustning som </w:t>
      </w:r>
      <w:r w:rsidR="00174EF8">
        <w:t xml:space="preserve">det </w:t>
      </w:r>
      <w:r>
        <w:t xml:space="preserve">riskerade </w:t>
      </w:r>
      <w:r w:rsidR="00174EF8">
        <w:t xml:space="preserve">att bli </w:t>
      </w:r>
      <w:r>
        <w:t xml:space="preserve">brist </w:t>
      </w:r>
      <w:r w:rsidR="00174EF8">
        <w:t xml:space="preserve">på </w:t>
      </w:r>
      <w:r>
        <w:t>i vård och omsorg. Det var då en åtgärd i ett krisläge. För att kommunerna ska kunna utforma permanenta och välfungerande insatser behövs ett uttryckligt lagstöd för samhälls</w:t>
      </w:r>
      <w:r w:rsidR="001358B7">
        <w:softHyphen/>
      </w:r>
      <w:r>
        <w:t>nyttiga insatser som del av aktiveringen. Då kan försörjningsstödsmottagare bidra till höjd kvalitet i exempelvis gaturenhållning, parkskötsel eller enklare fastighetsförvalt</w:t>
      </w:r>
      <w:r w:rsidR="001358B7">
        <w:softHyphen/>
      </w:r>
      <w:r>
        <w:t>ning.</w:t>
      </w:r>
    </w:p>
    <w:p w:rsidR="00B94046" w:rsidP="00B94046" w:rsidRDefault="00B94046" w14:paraId="6A4AC70B" w14:textId="4A1FAA69">
      <w:pPr>
        <w:pStyle w:val="Rubrik3"/>
      </w:pPr>
      <w:r>
        <w:t>Referenser</w:t>
      </w:r>
    </w:p>
    <w:p w:rsidR="00B94046" w:rsidP="00B94046" w:rsidRDefault="00B94046" w14:paraId="3BD94DCB" w14:textId="5387AB9E">
      <w:pPr>
        <w:ind w:firstLine="0"/>
      </w:pPr>
      <w:r w:rsidRPr="00B94046">
        <w:rPr>
          <w:b/>
          <w:bCs/>
        </w:rPr>
        <w:t>Inspektionen för arbetslöshetsförsäkringen</w:t>
      </w:r>
      <w:r>
        <w:t xml:space="preserve"> (2019). </w:t>
      </w:r>
      <w:r w:rsidRPr="00B94046">
        <w:rPr>
          <w:i/>
          <w:iCs/>
        </w:rPr>
        <w:t>Sanktioner inom etablerings</w:t>
      </w:r>
      <w:r w:rsidR="001358B7">
        <w:rPr>
          <w:i/>
          <w:iCs/>
        </w:rPr>
        <w:softHyphen/>
      </w:r>
      <w:r w:rsidRPr="00B94046">
        <w:rPr>
          <w:i/>
          <w:iCs/>
        </w:rPr>
        <w:t>ersättningen</w:t>
      </w:r>
      <w:r>
        <w:t xml:space="preserve"> (IAF 2019:10). Inspektionen för arbetslöshetsförsäkringen, Katrineholm.</w:t>
      </w:r>
    </w:p>
    <w:p w:rsidR="00B94046" w:rsidP="001358B7" w:rsidRDefault="00B94046" w14:paraId="2C107D8B" w14:textId="16CFB1C7">
      <w:pPr>
        <w:spacing w:before="150"/>
        <w:ind w:firstLine="0"/>
      </w:pPr>
      <w:r w:rsidRPr="00B94046">
        <w:rPr>
          <w:b/>
          <w:bCs/>
        </w:rPr>
        <w:t>Hensvik, Lena</w:t>
      </w:r>
      <w:r w:rsidR="00CE76E1">
        <w:rPr>
          <w:b/>
          <w:bCs/>
        </w:rPr>
        <w:t>,</w:t>
      </w:r>
      <w:r w:rsidRPr="00B94046">
        <w:rPr>
          <w:b/>
          <w:bCs/>
        </w:rPr>
        <w:t xml:space="preserve"> Le Barbanchon, Thomas</w:t>
      </w:r>
      <w:r w:rsidR="00CE76E1">
        <w:rPr>
          <w:b/>
          <w:bCs/>
        </w:rPr>
        <w:t>,</w:t>
      </w:r>
      <w:r w:rsidRPr="00B94046">
        <w:rPr>
          <w:b/>
          <w:bCs/>
        </w:rPr>
        <w:t xml:space="preserve"> Rathelot, Roland</w:t>
      </w:r>
      <w:r>
        <w:t xml:space="preserve"> (2021). </w:t>
      </w:r>
      <w:r w:rsidRPr="00B94046">
        <w:rPr>
          <w:i/>
          <w:iCs/>
        </w:rPr>
        <w:t>Hur har jobb</w:t>
      </w:r>
      <w:r w:rsidR="001358B7">
        <w:rPr>
          <w:i/>
          <w:iCs/>
        </w:rPr>
        <w:softHyphen/>
      </w:r>
      <w:r w:rsidRPr="00B94046">
        <w:rPr>
          <w:i/>
          <w:iCs/>
        </w:rPr>
        <w:t>sökandet förändrats under covid-19?</w:t>
      </w:r>
      <w:r>
        <w:t xml:space="preserve"> (IFAU 2021:1). Institutet för arbetsmarknads- och utbildningspolitisk utvärdering, Uppsala.</w:t>
      </w:r>
    </w:p>
    <w:p w:rsidR="00B94046" w:rsidP="001358B7" w:rsidRDefault="00B94046" w14:paraId="6D2A68CA" w14:textId="38E3EFEB">
      <w:pPr>
        <w:spacing w:before="150"/>
        <w:ind w:firstLine="0"/>
      </w:pPr>
      <w:r w:rsidRPr="00B94046">
        <w:rPr>
          <w:b/>
          <w:bCs/>
        </w:rPr>
        <w:t>Vikström, Johan</w:t>
      </w:r>
      <w:r w:rsidR="00CE76E1">
        <w:rPr>
          <w:b/>
          <w:bCs/>
        </w:rPr>
        <w:t xml:space="preserve"> och</w:t>
      </w:r>
      <w:r w:rsidRPr="00B94046">
        <w:rPr>
          <w:b/>
          <w:bCs/>
        </w:rPr>
        <w:t xml:space="preserve"> Lombardi, Stefan</w:t>
      </w:r>
      <w:r>
        <w:t xml:space="preserve"> (2019). </w:t>
      </w:r>
      <w:r w:rsidRPr="00B94046">
        <w:rPr>
          <w:i/>
          <w:iCs/>
        </w:rPr>
        <w:t>Arbetsförmedlingens kontrollarbete, sanktioner och de arbetslösas sökbeteende</w:t>
      </w:r>
      <w:r>
        <w:t xml:space="preserve"> (IFAU 2019:23). Institutet för arbets</w:t>
      </w:r>
      <w:r w:rsidR="001358B7">
        <w:softHyphen/>
      </w:r>
      <w:r>
        <w:t>marknads- och utbildningspolitisk utvärdering, Uppsala.</w:t>
      </w:r>
    </w:p>
    <w:p w:rsidR="00B94046" w:rsidP="001358B7" w:rsidRDefault="00B94046" w14:paraId="719533BA" w14:textId="242BB9CE">
      <w:pPr>
        <w:spacing w:before="150"/>
        <w:ind w:firstLine="0"/>
      </w:pPr>
      <w:r w:rsidRPr="00B94046">
        <w:rPr>
          <w:b/>
          <w:bCs/>
        </w:rPr>
        <w:t>Dahlberg, Matz</w:t>
      </w:r>
      <w:r w:rsidR="00CE76E1">
        <w:rPr>
          <w:b/>
          <w:bCs/>
        </w:rPr>
        <w:t>,</w:t>
      </w:r>
      <w:r w:rsidRPr="00B94046">
        <w:rPr>
          <w:b/>
          <w:bCs/>
        </w:rPr>
        <w:t xml:space="preserve"> Edmark, Karin</w:t>
      </w:r>
      <w:r w:rsidR="00CE76E1">
        <w:rPr>
          <w:b/>
          <w:bCs/>
        </w:rPr>
        <w:t>,</w:t>
      </w:r>
      <w:r w:rsidRPr="00B94046">
        <w:rPr>
          <w:b/>
          <w:bCs/>
        </w:rPr>
        <w:t xml:space="preserve"> Hansen, Jörgen</w:t>
      </w:r>
      <w:r w:rsidR="00CE76E1">
        <w:rPr>
          <w:b/>
          <w:bCs/>
        </w:rPr>
        <w:t>,</w:t>
      </w:r>
      <w:r w:rsidRPr="00B94046">
        <w:rPr>
          <w:b/>
          <w:bCs/>
        </w:rPr>
        <w:t xml:space="preserve"> Mörk, Eva</w:t>
      </w:r>
      <w:r>
        <w:t xml:space="preserve"> (2009). </w:t>
      </w:r>
      <w:r w:rsidRPr="00B94046">
        <w:rPr>
          <w:i/>
          <w:iCs/>
        </w:rPr>
        <w:t>Fattigdom i folkhemmet – från socialbidrag till självförsörjning</w:t>
      </w:r>
      <w:r>
        <w:t xml:space="preserve"> (IFAU 2009:4). Institutet för arbetsmarknads- och utbildningspolitisk utvärdering, Uppsala.</w:t>
      </w:r>
    </w:p>
    <w:p w:rsidR="00B94046" w:rsidP="001358B7" w:rsidRDefault="00B94046" w14:paraId="2E5E5B2C" w14:textId="418C0249">
      <w:pPr>
        <w:spacing w:before="150"/>
        <w:ind w:firstLine="0"/>
      </w:pPr>
      <w:r w:rsidRPr="00B94046">
        <w:rPr>
          <w:b/>
          <w:bCs/>
        </w:rPr>
        <w:t>Statens offentliga utredningar</w:t>
      </w:r>
      <w:r>
        <w:t xml:space="preserve"> (2007). </w:t>
      </w:r>
      <w:r w:rsidRPr="00B94046">
        <w:rPr>
          <w:i/>
          <w:iCs/>
        </w:rPr>
        <w:t>Från socialbidrag till arbete</w:t>
      </w:r>
      <w:r>
        <w:t xml:space="preserve"> (SOU 2007:2). Regeringskansliet, Stockholm.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6E162190FB40D0BF3F9646C220EEA4"/>
        </w:placeholder>
      </w:sdtPr>
      <w:sdtEndPr>
        <w:rPr>
          <w:i w:val="0"/>
          <w:noProof w:val="0"/>
        </w:rPr>
      </w:sdtEndPr>
      <w:sdtContent>
        <w:p w:rsidR="00F01916" w:rsidP="00F01916" w:rsidRDefault="00F01916" w14:paraId="7D3A0347" w14:textId="77777777"/>
        <w:p w:rsidRPr="008E0FE2" w:rsidR="004801AC" w:rsidP="00F01916" w:rsidRDefault="001358B7" w14:paraId="7D4EF146" w14:textId="00D7BB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5AB3" w14:paraId="0246FB03" w14:textId="77777777">
        <w:trPr>
          <w:cantSplit/>
        </w:trPr>
        <w:tc>
          <w:tcPr>
            <w:tcW w:w="50" w:type="pct"/>
            <w:vAlign w:val="bottom"/>
          </w:tcPr>
          <w:p w:rsidR="00095AB3" w:rsidRDefault="00CE76E1" w14:paraId="725B1FF3" w14:textId="77777777">
            <w:pPr>
              <w:pStyle w:val="Underskrifter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095AB3" w:rsidRDefault="00095AB3" w14:paraId="2CE5ADBD" w14:textId="77777777">
            <w:pPr>
              <w:pStyle w:val="Underskrifter"/>
            </w:pPr>
          </w:p>
        </w:tc>
      </w:tr>
    </w:tbl>
    <w:p w:rsidR="007C0619" w:rsidRDefault="007C0619" w14:paraId="05657E49" w14:textId="77777777"/>
    <w:sectPr w:rsidR="007C061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1C3C" w14:textId="77777777" w:rsidR="000F5E2C" w:rsidRDefault="000F5E2C" w:rsidP="000C1CAD">
      <w:pPr>
        <w:spacing w:line="240" w:lineRule="auto"/>
      </w:pPr>
      <w:r>
        <w:separator/>
      </w:r>
    </w:p>
  </w:endnote>
  <w:endnote w:type="continuationSeparator" w:id="0">
    <w:p w14:paraId="2A668378" w14:textId="77777777" w:rsidR="000F5E2C" w:rsidRDefault="000F5E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05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A8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6204" w14:textId="77777777" w:rsidR="001358B7" w:rsidRDefault="001358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34E8" w14:textId="71698164" w:rsidR="000F5E2C" w:rsidRDefault="000F5E2C" w:rsidP="000C1CAD">
      <w:pPr>
        <w:spacing w:line="240" w:lineRule="auto"/>
      </w:pPr>
    </w:p>
  </w:footnote>
  <w:footnote w:type="continuationSeparator" w:id="0">
    <w:p w14:paraId="0C1D3395" w14:textId="77777777" w:rsidR="000F5E2C" w:rsidRDefault="000F5E2C" w:rsidP="000C1CAD">
      <w:pPr>
        <w:spacing w:line="240" w:lineRule="auto"/>
      </w:pPr>
      <w:r>
        <w:continuationSeparator/>
      </w:r>
    </w:p>
  </w:footnote>
  <w:footnote w:id="1">
    <w:p w14:paraId="0A25DD79" w14:textId="16C891E2" w:rsidR="00E85B6A" w:rsidRDefault="00E85B6A">
      <w:pPr>
        <w:pStyle w:val="Fotnotstext"/>
      </w:pPr>
      <w:r>
        <w:rPr>
          <w:rStyle w:val="Fotnotsreferens"/>
        </w:rPr>
        <w:footnoteRef/>
      </w:r>
      <w:r>
        <w:t xml:space="preserve"> IFAU 2019:23</w:t>
      </w:r>
      <w:r w:rsidR="00174EF8">
        <w:t>.</w:t>
      </w:r>
    </w:p>
  </w:footnote>
  <w:footnote w:id="2">
    <w:p w14:paraId="142F8B2E" w14:textId="279146AC" w:rsidR="00E85B6A" w:rsidRDefault="00E85B6A">
      <w:pPr>
        <w:pStyle w:val="Fotnotstext"/>
      </w:pPr>
      <w:r>
        <w:rPr>
          <w:rStyle w:val="Fotnotsreferens"/>
        </w:rPr>
        <w:footnoteRef/>
      </w:r>
      <w:r>
        <w:t xml:space="preserve"> SOU 2007:2</w:t>
      </w:r>
      <w:r w:rsidR="00174EF8">
        <w:t>.</w:t>
      </w:r>
    </w:p>
  </w:footnote>
  <w:footnote w:id="3">
    <w:p w14:paraId="3D1316AA" w14:textId="0B50F779" w:rsidR="006B661D" w:rsidRDefault="006B661D">
      <w:pPr>
        <w:pStyle w:val="Fotnotstext"/>
      </w:pPr>
      <w:r>
        <w:rPr>
          <w:rStyle w:val="Fotnotsreferens"/>
        </w:rPr>
        <w:footnoteRef/>
      </w:r>
      <w:r>
        <w:t xml:space="preserve"> IAF 2019:10</w:t>
      </w:r>
      <w:r w:rsidR="00174EF8">
        <w:t>.</w:t>
      </w:r>
    </w:p>
  </w:footnote>
  <w:footnote w:id="4">
    <w:p w14:paraId="20D7A493" w14:textId="2670CD61" w:rsidR="006B661D" w:rsidRDefault="006B661D">
      <w:pPr>
        <w:pStyle w:val="Fotnotstext"/>
      </w:pPr>
      <w:r>
        <w:rPr>
          <w:rStyle w:val="Fotnotsreferens"/>
        </w:rPr>
        <w:footnoteRef/>
      </w:r>
      <w:r>
        <w:t xml:space="preserve"> IFAU 2009:4</w:t>
      </w:r>
      <w:r w:rsidR="00174EF8">
        <w:t>.</w:t>
      </w:r>
    </w:p>
  </w:footnote>
  <w:footnote w:id="5">
    <w:p w14:paraId="2CC4A7A3" w14:textId="5083CDFD" w:rsidR="006B661D" w:rsidRDefault="006B661D">
      <w:pPr>
        <w:pStyle w:val="Fotnotstext"/>
      </w:pPr>
      <w:r>
        <w:rPr>
          <w:rStyle w:val="Fotnotsreferens"/>
        </w:rPr>
        <w:footnoteRef/>
      </w:r>
      <w:r>
        <w:t xml:space="preserve"> IFAU 2021:1</w:t>
      </w:r>
      <w:r w:rsidR="00174E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C0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0B37FB" wp14:editId="656F6A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91D184" w14:textId="2C7EE1F7" w:rsidR="00262EA3" w:rsidRDefault="001358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5E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12EA7">
                                <w:t>1242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0B37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91D184" w14:textId="2C7EE1F7" w:rsidR="00262EA3" w:rsidRDefault="001358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5E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12EA7">
                          <w:t>1242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A186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02F2" w14:textId="77777777" w:rsidR="00262EA3" w:rsidRDefault="00262EA3" w:rsidP="008563AC">
    <w:pPr>
      <w:jc w:val="right"/>
    </w:pPr>
  </w:p>
  <w:p w14:paraId="4DBDD9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EE6B" w14:textId="77777777" w:rsidR="00262EA3" w:rsidRDefault="001358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56AEC8" wp14:editId="5E7C24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4E5916" w14:textId="5BFDB967" w:rsidR="00262EA3" w:rsidRDefault="001358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19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5E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12EA7">
          <w:t>1242</w:t>
        </w:r>
      </w:sdtContent>
    </w:sdt>
  </w:p>
  <w:p w14:paraId="0BBC6F25" w14:textId="77777777" w:rsidR="00262EA3" w:rsidRPr="008227B3" w:rsidRDefault="001358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00A339" w14:textId="00943B77" w:rsidR="00262EA3" w:rsidRPr="008227B3" w:rsidRDefault="001358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91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916">
          <w:t>:65</w:t>
        </w:r>
      </w:sdtContent>
    </w:sdt>
  </w:p>
  <w:p w14:paraId="4E82B82B" w14:textId="0BDE5C4D" w:rsidR="00262EA3" w:rsidRDefault="001358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1916">
          <w:t>av Oliver Rosengren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E02A22" w14:textId="6EF02EC8" w:rsidR="00262EA3" w:rsidRDefault="00CF4B04" w:rsidP="00283E0F">
        <w:pPr>
          <w:pStyle w:val="FSHRub2"/>
        </w:pPr>
        <w:r>
          <w:t>Samhällsnyttiga insatser som del av aktiveringen för försörjningsstödsmottagare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BD0C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F5E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AB3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E2C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8B7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EF8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EA7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2D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03E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1DE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61D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323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44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1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046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CE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EE0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6E1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B04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B6A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9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C5ACF5"/>
  <w15:chartTrackingRefBased/>
  <w15:docId w15:val="{68EBE3B7-2FBA-45CC-B32A-73CB86F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85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A8782CFB24A9FA8BCFA1F5BD12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99CCB-B733-4AAA-B012-47B43413A82C}"/>
      </w:docPartPr>
      <w:docPartBody>
        <w:p w:rsidR="000F0FC1" w:rsidRDefault="000F0FC1">
          <w:pPr>
            <w:pStyle w:val="234A8782CFB24A9FA8BCFA1F5BD12E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66E2FCB5434163842E38D0AE789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321EA-DEEF-4CBE-8828-C5CD6D0DB2DD}"/>
      </w:docPartPr>
      <w:docPartBody>
        <w:p w:rsidR="000F0FC1" w:rsidRDefault="000F0FC1">
          <w:pPr>
            <w:pStyle w:val="0666E2FCB5434163842E38D0AE7893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6E162190FB40D0BF3F9646C220E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398CE-0CC3-42AD-B2D3-0F78392C7B94}"/>
      </w:docPartPr>
      <w:docPartBody>
        <w:p w:rsidR="00F42B45" w:rsidRDefault="00F42B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1"/>
    <w:rsid w:val="000F0FC1"/>
    <w:rsid w:val="00F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4A8782CFB24A9FA8BCFA1F5BD12EA8">
    <w:name w:val="234A8782CFB24A9FA8BCFA1F5BD12EA8"/>
  </w:style>
  <w:style w:type="paragraph" w:customStyle="1" w:styleId="0666E2FCB5434163842E38D0AE7893D8">
    <w:name w:val="0666E2FCB5434163842E38D0AE789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67E15-0AD4-4FFB-B4CC-E2A4D287CE64}"/>
</file>

<file path=customXml/itemProps2.xml><?xml version="1.0" encoding="utf-8"?>
<ds:datastoreItem xmlns:ds="http://schemas.openxmlformats.org/officeDocument/2006/customXml" ds:itemID="{79B3FE13-44C5-4552-8A16-0C80274A8552}"/>
</file>

<file path=customXml/itemProps3.xml><?xml version="1.0" encoding="utf-8"?>
<ds:datastoreItem xmlns:ds="http://schemas.openxmlformats.org/officeDocument/2006/customXml" ds:itemID="{008E9D29-50BC-4E8B-965E-DF3E11DAA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3225</Characters>
  <Application>Microsoft Office Word</Application>
  <DocSecurity>0</DocSecurity>
  <Lines>63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M1242 Samhällsnyttiga insatser som del av aktiveringen för försörjningsstödmottagare</vt:lpstr>
      <vt:lpstr>
      </vt:lpstr>
    </vt:vector>
  </TitlesOfParts>
  <Company>Sveriges riksdag</Company>
  <LinksUpToDate>false</LinksUpToDate>
  <CharactersWithSpaces>3682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