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590162" w:rsidP="007242A3">
            <w:pPr>
              <w:framePr w:w="5035" w:h="1644" w:wrap="notBeside" w:vAnchor="page" w:hAnchor="page" w:x="6573" w:y="721"/>
              <w:rPr>
                <w:sz w:val="20"/>
              </w:rPr>
            </w:pPr>
            <w:r>
              <w:rPr>
                <w:sz w:val="20"/>
              </w:rPr>
              <w:t xml:space="preserve">Dnr </w:t>
            </w:r>
            <w:r w:rsidR="006A4324">
              <w:rPr>
                <w:sz w:val="20"/>
              </w:rPr>
              <w:t>Fi2015</w:t>
            </w:r>
            <w:r w:rsidR="00D423F6">
              <w:rPr>
                <w:sz w:val="20"/>
              </w:rPr>
              <w:t>/</w:t>
            </w:r>
            <w:r w:rsidR="006A4324">
              <w:rPr>
                <w:sz w:val="20"/>
              </w:rPr>
              <w:t>903/POL3/ESA</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590162">
            <w:pPr>
              <w:pStyle w:val="Avsndare"/>
              <w:framePr w:h="2483" w:wrap="notBeside" w:x="1504"/>
              <w:rPr>
                <w:b/>
                <w:i w:val="0"/>
                <w:sz w:val="22"/>
              </w:rPr>
            </w:pPr>
            <w:r>
              <w:rPr>
                <w:b/>
                <w:i w:val="0"/>
                <w:sz w:val="22"/>
              </w:rPr>
              <w:t>Finansdepartementet</w:t>
            </w:r>
          </w:p>
        </w:tc>
      </w:tr>
      <w:tr w:rsidR="006E4E11">
        <w:trPr>
          <w:trHeight w:val="284"/>
        </w:trPr>
        <w:tc>
          <w:tcPr>
            <w:tcW w:w="4911" w:type="dxa"/>
          </w:tcPr>
          <w:p w:rsidR="006E4E11" w:rsidRDefault="00590162">
            <w:pPr>
              <w:pStyle w:val="Avsndare"/>
              <w:framePr w:h="2483" w:wrap="notBeside" w:x="1504"/>
              <w:rPr>
                <w:bCs/>
                <w:iCs/>
              </w:rPr>
            </w:pPr>
            <w:r>
              <w:rPr>
                <w:bCs/>
                <w:iCs/>
              </w:rPr>
              <w:t>Civilministern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590162">
      <w:pPr>
        <w:framePr w:w="4400" w:h="2523" w:wrap="notBeside" w:vAnchor="page" w:hAnchor="page" w:x="6453" w:y="2445"/>
        <w:ind w:left="142"/>
      </w:pPr>
      <w:r>
        <w:t>Till riksdagen</w:t>
      </w:r>
    </w:p>
    <w:p w:rsidR="006E4E11" w:rsidRDefault="00590162" w:rsidP="00590162">
      <w:pPr>
        <w:pStyle w:val="RKrubrik"/>
        <w:pBdr>
          <w:bottom w:val="single" w:sz="4" w:space="1" w:color="auto"/>
        </w:pBdr>
        <w:spacing w:before="0" w:after="0"/>
      </w:pPr>
      <w:r>
        <w:t>Svar på fråga av Jasenko Omanovic (S) 2014/15:238 Statsanställd och förtroendevald</w:t>
      </w:r>
    </w:p>
    <w:p w:rsidR="006E4E11" w:rsidRDefault="006E4E11">
      <w:pPr>
        <w:pStyle w:val="RKnormal"/>
      </w:pPr>
    </w:p>
    <w:p w:rsidR="00590162" w:rsidRDefault="00590162" w:rsidP="00590162">
      <w:pPr>
        <w:pStyle w:val="RKnormal"/>
      </w:pPr>
      <w:r>
        <w:t>Jasenko Omanovic har frågat mig</w:t>
      </w:r>
      <w:r w:rsidR="003020D4">
        <w:t xml:space="preserve"> om</w:t>
      </w:r>
      <w:r>
        <w:t xml:space="preserve"> jag avser att ta några initiativ för att säkerställa att statligt anställda kan inneha offentliga förtroendeuppdrag.</w:t>
      </w:r>
    </w:p>
    <w:p w:rsidR="00590162" w:rsidRDefault="00590162" w:rsidP="00590162">
      <w:pPr>
        <w:pStyle w:val="RKnormal"/>
      </w:pPr>
    </w:p>
    <w:p w:rsidR="00590162" w:rsidRDefault="008A2945" w:rsidP="00590162">
      <w:pPr>
        <w:pStyle w:val="RKnormal"/>
      </w:pPr>
      <w:r>
        <w:t xml:space="preserve">Regeringen anser att ett demokratiskt samhälle bäst skapas av aktiva och delaktiga människor. Det sker bl.a. genom att människor deltar i verksamheter vid sidan av sin </w:t>
      </w:r>
      <w:r w:rsidR="00673880">
        <w:t xml:space="preserve">ordinarie </w:t>
      </w:r>
      <w:r>
        <w:t xml:space="preserve">anställning, en s.k. bisyssla. </w:t>
      </w:r>
      <w:r w:rsidR="00673880">
        <w:t xml:space="preserve">En typisk bisyssla är ett förtroendeuppdrag inom statlig eller kommunal verksamhet. Sådana bisysslor uppfattas vanligen som meriterande och utvecklande för både samhället, den enskilde och arbetsgivaren. Om den förtroendevalde samtidigt innehar en offentlig anställning kan det dock ge upphov till en problematik som föranlett viss reglering. </w:t>
      </w:r>
      <w:r w:rsidR="00590162">
        <w:t>Regleringen av bisysslor syftar till en rimlig avvägning mellan den enskildes intresse av att på fritiden medverka i aktiviteter vid sidan av anställningen och samhällets krav på att sådan verksamhet inte sker på</w:t>
      </w:r>
      <w:r w:rsidR="003020D4">
        <w:t xml:space="preserve"> ett</w:t>
      </w:r>
      <w:r w:rsidR="00590162">
        <w:t xml:space="preserve"> sätt som är ägna</w:t>
      </w:r>
      <w:r w:rsidR="003020D4">
        <w:t>t</w:t>
      </w:r>
      <w:r w:rsidR="00590162">
        <w:t xml:space="preserve"> att rubba förtroendet för förvaltningens objektivitet och opartiskhet. En offentlig arbetsgivare måste således ta tillvara det allmänna intresset av att de anställda inte har bisysslor som kan medf</w:t>
      </w:r>
      <w:r w:rsidR="006A4324">
        <w:t xml:space="preserve">öra att allmänhetens förtroende </w:t>
      </w:r>
      <w:r w:rsidR="00590162">
        <w:t xml:space="preserve">för myndigheterna och deras anställdas opartiskhet sätts i </w:t>
      </w:r>
      <w:r w:rsidR="003020D4">
        <w:t>fråga</w:t>
      </w:r>
      <w:r w:rsidR="00590162">
        <w:t>. En bisyssla får heller</w:t>
      </w:r>
      <w:r w:rsidR="003020D4">
        <w:t xml:space="preserve"> </w:t>
      </w:r>
      <w:r w:rsidR="00590162">
        <w:t>inte vara av en sådan omfattning att den verkar hindrande på utförandet av det ordinarie arbetet. Det ligger också i statens och kommunernas intresse att en anställd i största möjliga utsträckning använder sin arbetskraft för de arbetsuppgifter för vilka de får lön och att de inte sysslar med verksamhet som konku</w:t>
      </w:r>
      <w:r w:rsidR="006A4324">
        <w:t>rrerar med staten och kommunen.</w:t>
      </w:r>
    </w:p>
    <w:p w:rsidR="00590162" w:rsidRDefault="00590162" w:rsidP="00590162">
      <w:pPr>
        <w:pStyle w:val="RKnormal"/>
      </w:pPr>
    </w:p>
    <w:p w:rsidR="00590162" w:rsidRDefault="00590162" w:rsidP="00590162">
      <w:pPr>
        <w:pStyle w:val="RKnormal"/>
      </w:pPr>
      <w:r>
        <w:t>Det finns därför en reglering som begränsar möjligheten att inneha vissa slag av bisysslor</w:t>
      </w:r>
      <w:r w:rsidR="003020D4">
        <w:t xml:space="preserve">. </w:t>
      </w:r>
      <w:r>
        <w:t xml:space="preserve">Regleringen följer primärt av </w:t>
      </w:r>
      <w:r w:rsidR="003020D4">
        <w:t>l</w:t>
      </w:r>
      <w:r>
        <w:t xml:space="preserve">agen (1994:260) om offentlig anställning (LOA). Av 7 a § LOA framgår att det inte alltid är tillåtet att inneha bisysslor </w:t>
      </w:r>
      <w:r w:rsidR="003020D4">
        <w:t xml:space="preserve">samt att </w:t>
      </w:r>
      <w:r>
        <w:t xml:space="preserve">arbetsgivaren på </w:t>
      </w:r>
      <w:r w:rsidR="003020D4">
        <w:t xml:space="preserve">ett </w:t>
      </w:r>
      <w:r>
        <w:t>lämpligt sätt</w:t>
      </w:r>
      <w:r w:rsidR="003020D4">
        <w:t xml:space="preserve"> måste</w:t>
      </w:r>
      <w:r>
        <w:t xml:space="preserve"> informera arbetstagarna om vilka slags förhållanden som kan göra en bisyssla otillåten. Det finns även regleringar </w:t>
      </w:r>
      <w:r w:rsidR="003020D4">
        <w:t xml:space="preserve">om detta </w:t>
      </w:r>
      <w:r>
        <w:t xml:space="preserve">som följer av kollektivavtal. </w:t>
      </w:r>
    </w:p>
    <w:p w:rsidR="00590162" w:rsidRDefault="00590162" w:rsidP="00590162">
      <w:pPr>
        <w:pStyle w:val="RKnormal"/>
      </w:pPr>
    </w:p>
    <w:p w:rsidR="00590162" w:rsidRDefault="00590162" w:rsidP="00590162">
      <w:pPr>
        <w:pStyle w:val="RKnormal"/>
      </w:pPr>
      <w:r>
        <w:t xml:space="preserve">Av lagen följer ett ömsesidigt ansvar för arbetsgivare och arbetstagare.  Arbetstagaren ska vara mån om att inte försätta sig i en position som kan medföra risk för jäv eller liknande. Arbetsgivaren har samtidigt ett ansvar för att en medarbetare i offentlig anställning inte åtar sig vad som kan visa sig vara en otillåten bisyssla. </w:t>
      </w:r>
    </w:p>
    <w:p w:rsidR="00590162" w:rsidRDefault="00590162" w:rsidP="00590162">
      <w:pPr>
        <w:pStyle w:val="RKnormal"/>
      </w:pPr>
    </w:p>
    <w:p w:rsidR="00590162" w:rsidRDefault="00590162" w:rsidP="00590162">
      <w:pPr>
        <w:pStyle w:val="RKnormal"/>
      </w:pPr>
      <w:r>
        <w:t>Det finns i övrigt inga regler som säger att en statsanställd är förhindrad att åta sig uppdrag som förtroendevald. Däremot kan det uppkomma situationer där en offentlig arbetsgivare måste klargöra för både sig själv och en arbetstagare vad som är en lämplig sysselsättning. Avgränsningen av vad som är lämpligt avgörs i slutändan genom ställningstaganden av Arbetsdomstolen, JK och JO samt Statens ansvarsnämnd.</w:t>
      </w:r>
    </w:p>
    <w:p w:rsidR="00590162" w:rsidRDefault="00590162" w:rsidP="00590162">
      <w:pPr>
        <w:pStyle w:val="RKnormal"/>
      </w:pPr>
      <w:r>
        <w:t xml:space="preserve"> </w:t>
      </w:r>
    </w:p>
    <w:p w:rsidR="006E4E11" w:rsidRDefault="00590162" w:rsidP="00590162">
      <w:pPr>
        <w:pStyle w:val="RKnormal"/>
      </w:pPr>
      <w:r>
        <w:t xml:space="preserve">Jag kan inte se att det föreligger något motsatsförhållande mellan den gällande regleringen och det faktum att de fackliga organisationerna har drivit mål i domstol. Tvärtom klargör utgången av sådana mål rättsläget för både den offentliga arbetsgivaren och arbetstagarna. Den praxis som utvecklas ligger till grund för myndigheternas framtida ställningstaganden.  </w:t>
      </w:r>
    </w:p>
    <w:p w:rsidR="00590162" w:rsidRDefault="00590162">
      <w:pPr>
        <w:pStyle w:val="RKnormal"/>
      </w:pPr>
    </w:p>
    <w:p w:rsidR="00590162" w:rsidRDefault="001F760F">
      <w:pPr>
        <w:pStyle w:val="RKnormal"/>
      </w:pPr>
      <w:r>
        <w:t>Stoc</w:t>
      </w:r>
      <w:r w:rsidR="003861B7">
        <w:t>kholm den 2</w:t>
      </w:r>
      <w:r w:rsidR="00590162">
        <w:t xml:space="preserve"> </w:t>
      </w:r>
      <w:r w:rsidR="0015098B">
        <w:t>mars</w:t>
      </w:r>
      <w:r w:rsidR="00590162">
        <w:t xml:space="preserve"> 2015</w:t>
      </w:r>
    </w:p>
    <w:p w:rsidR="00590162" w:rsidRDefault="00590162">
      <w:pPr>
        <w:pStyle w:val="RKnormal"/>
      </w:pPr>
    </w:p>
    <w:p w:rsidR="00590162" w:rsidRDefault="00590162">
      <w:pPr>
        <w:pStyle w:val="RKnormal"/>
      </w:pPr>
    </w:p>
    <w:p w:rsidR="00590162" w:rsidRDefault="00590162">
      <w:pPr>
        <w:pStyle w:val="RKnormal"/>
      </w:pPr>
      <w:r>
        <w:t>Ardalan Shekarabi</w:t>
      </w:r>
    </w:p>
    <w:sectPr w:rsidR="0059016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891" w:rsidRDefault="00584891">
      <w:r>
        <w:separator/>
      </w:r>
    </w:p>
  </w:endnote>
  <w:endnote w:type="continuationSeparator" w:id="0">
    <w:p w:rsidR="00584891" w:rsidRDefault="00584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891" w:rsidRDefault="00584891">
      <w:r>
        <w:separator/>
      </w:r>
    </w:p>
  </w:footnote>
  <w:footnote w:type="continuationSeparator" w:id="0">
    <w:p w:rsidR="00584891" w:rsidRDefault="00584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D11A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62" w:rsidRDefault="00590162">
    <w:pPr>
      <w:framePr w:w="2948" w:h="1321" w:hRule="exact" w:wrap="notBeside" w:vAnchor="page" w:hAnchor="page" w:x="1362" w:y="653"/>
    </w:pPr>
    <w:r>
      <w:rPr>
        <w:noProof/>
        <w:lang w:eastAsia="sv-SE"/>
      </w:rPr>
      <w:drawing>
        <wp:inline distT="0" distB="0" distL="0" distR="0" wp14:anchorId="0C211DAB" wp14:editId="6D7BE5E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162"/>
    <w:rsid w:val="0013071F"/>
    <w:rsid w:val="00150384"/>
    <w:rsid w:val="0015098B"/>
    <w:rsid w:val="00160901"/>
    <w:rsid w:val="001805B7"/>
    <w:rsid w:val="001F760F"/>
    <w:rsid w:val="003020D4"/>
    <w:rsid w:val="00367B1C"/>
    <w:rsid w:val="003861B7"/>
    <w:rsid w:val="003D0892"/>
    <w:rsid w:val="003E5662"/>
    <w:rsid w:val="0040258D"/>
    <w:rsid w:val="00475B41"/>
    <w:rsid w:val="00482869"/>
    <w:rsid w:val="004A328D"/>
    <w:rsid w:val="00584891"/>
    <w:rsid w:val="0058762B"/>
    <w:rsid w:val="00590162"/>
    <w:rsid w:val="005D1B0F"/>
    <w:rsid w:val="005F63D3"/>
    <w:rsid w:val="00673880"/>
    <w:rsid w:val="006A4324"/>
    <w:rsid w:val="006E4E11"/>
    <w:rsid w:val="007242A3"/>
    <w:rsid w:val="007A6855"/>
    <w:rsid w:val="007D11A2"/>
    <w:rsid w:val="00801E65"/>
    <w:rsid w:val="00830331"/>
    <w:rsid w:val="008A2945"/>
    <w:rsid w:val="008D25B1"/>
    <w:rsid w:val="0092027A"/>
    <w:rsid w:val="00955E31"/>
    <w:rsid w:val="00992E72"/>
    <w:rsid w:val="00AF26D1"/>
    <w:rsid w:val="00CF3131"/>
    <w:rsid w:val="00D133D7"/>
    <w:rsid w:val="00D423F6"/>
    <w:rsid w:val="00E80146"/>
    <w:rsid w:val="00E904D0"/>
    <w:rsid w:val="00EC25F9"/>
    <w:rsid w:val="00ED583F"/>
    <w:rsid w:val="00F92C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01E6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01E6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01E6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01E6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e1525d53-9aec-447f-aedb-0f77f4b5bfed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yckelord xmlns="dcb81040-491a-46f2-bec5-0dd8947ba205" xsi:nil="true"/>
    <k46d94c0acf84ab9a79866a9d8b1905f xmlns="dcb81040-491a-46f2-bec5-0dd8947ba205">
      <Terms xmlns="http://schemas.microsoft.com/office/infopath/2007/PartnerControls"/>
    </k46d94c0acf84ab9a79866a9d8b1905f>
    <c9cd366cc722410295b9eacffbd73909 xmlns="dcb81040-491a-46f2-bec5-0dd8947ba205">
      <Terms xmlns="http://schemas.microsoft.com/office/infopath/2007/PartnerControls"/>
    </c9cd366cc722410295b9eacffbd73909>
    <Diarienummer xmlns="dcb81040-491a-46f2-bec5-0dd8947ba205" xsi:nil="true"/>
    <Sekretess_x0020_m.m. xmlns="dcb81040-491a-46f2-bec5-0dd8947ba205" xsi:nil="true"/>
    <TaxCatchAll xmlns="dcb81040-491a-46f2-bec5-0dd8947ba205"/>
    <_dlc_DocId xmlns="dcb81040-491a-46f2-bec5-0dd8947ba205">24HEQXXME2N3-2-1487</_dlc_DocId>
    <_dlc_DocIdUrl xmlns="dcb81040-491a-46f2-bec5-0dd8947ba205">
      <Url>http://rkdhs/personal/ksa1218/_layouts/DocIdRedir.aspx?ID=24HEQXXME2N3-2-1487</Url>
      <Description>24HEQXXME2N3-2-1487</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8F3F7E-872D-4087-ABAC-DD192C9C2FBA}"/>
</file>

<file path=customXml/itemProps2.xml><?xml version="1.0" encoding="utf-8"?>
<ds:datastoreItem xmlns:ds="http://schemas.openxmlformats.org/officeDocument/2006/customXml" ds:itemID="{BBCA94F1-FB0D-4749-8309-EA178170E1CC}"/>
</file>

<file path=customXml/itemProps3.xml><?xml version="1.0" encoding="utf-8"?>
<ds:datastoreItem xmlns:ds="http://schemas.openxmlformats.org/officeDocument/2006/customXml" ds:itemID="{6C64E08F-7072-4D75-B9EF-2500288AF9F5}"/>
</file>

<file path=customXml/itemProps4.xml><?xml version="1.0" encoding="utf-8"?>
<ds:datastoreItem xmlns:ds="http://schemas.openxmlformats.org/officeDocument/2006/customXml" ds:itemID="{BBCA94F1-FB0D-4749-8309-EA178170E1CC}">
  <ds:schemaRefs>
    <ds:schemaRef ds:uri="http://purl.org/dc/terms/"/>
    <ds:schemaRef ds:uri="http://schemas.microsoft.com/office/2006/documentManagement/types"/>
    <ds:schemaRef ds:uri="http://purl.org/dc/dcmitype/"/>
    <ds:schemaRef ds:uri="http://www.w3.org/XML/1998/namespace"/>
    <ds:schemaRef ds:uri="http://schemas.microsoft.com/office/infopath/2007/PartnerControls"/>
    <ds:schemaRef ds:uri="http://purl.org/dc/elements/1.1/"/>
    <ds:schemaRef ds:uri="http://schemas.openxmlformats.org/package/2006/metadata/core-properties"/>
    <ds:schemaRef ds:uri="dcb81040-491a-46f2-bec5-0dd8947ba205"/>
    <ds:schemaRef ds:uri="http://schemas.microsoft.com/office/2006/metadata/properties"/>
  </ds:schemaRefs>
</ds:datastoreItem>
</file>

<file path=customXml/itemProps5.xml><?xml version="1.0" encoding="utf-8"?>
<ds:datastoreItem xmlns:ds="http://schemas.openxmlformats.org/officeDocument/2006/customXml" ds:itemID="{32C56E67-ADA0-420D-AC01-F99D734AA0A3}">
  <ds:schemaRefs>
    <ds:schemaRef ds:uri="http://schemas.microsoft.com/sharepoint/v3/contenttype/forms/url"/>
  </ds:schemaRefs>
</ds:datastoreItem>
</file>

<file path=customXml/itemProps6.xml><?xml version="1.0" encoding="utf-8"?>
<ds:datastoreItem xmlns:ds="http://schemas.openxmlformats.org/officeDocument/2006/customXml" ds:itemID="{6C64E08F-7072-4D75-B9EF-2500288AF9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2913</Characters>
  <Application>Microsoft Office Word</Application>
  <DocSecurity>4</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Kalle Sevilä</dc:creator>
  <cp:lastModifiedBy>Elisabet Ceder-Attalides</cp:lastModifiedBy>
  <cp:revision>2</cp:revision>
  <cp:lastPrinted>2015-03-02T07:18:00Z</cp:lastPrinted>
  <dcterms:created xsi:type="dcterms:W3CDTF">2015-03-02T07:39:00Z</dcterms:created>
  <dcterms:modified xsi:type="dcterms:W3CDTF">2015-03-02T07:39:00Z</dcterms:modified>
  <cp:category>Svar på fråga</cp:category>
  <cp:contentStatus>Slutgiltig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6;0;0;572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Aktivitetskategori">
    <vt:lpwstr/>
  </property>
  <property fmtid="{D5CDD505-2E9C-101B-9397-08002B2CF9AE}" pid="7" name="RKDepartementsenhet">
    <vt:lpwstr/>
  </property>
  <property fmtid="{D5CDD505-2E9C-101B-9397-08002B2CF9AE}" pid="8" name="_dlc_DocIdItemGuid">
    <vt:lpwstr>0e06832f-8a67-44a2-9aa4-c383082b5e22</vt:lpwstr>
  </property>
  <property fmtid="{D5CDD505-2E9C-101B-9397-08002B2CF9AE}" pid="9" name="_MarkAsFinal">
    <vt:bool>true</vt:bool>
  </property>
</Properties>
</file>