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DB2342">
        <w:t xml:space="preserve"> </w:t>
      </w:r>
      <w:r w:rsidR="00AE5B91">
        <w:t>27 april</w:t>
      </w:r>
      <w:r w:rsidR="00DB2342">
        <w:t xml:space="preserve"> </w:t>
      </w:r>
      <w:r w:rsidR="00851BAD">
        <w:t xml:space="preserve">– </w:t>
      </w:r>
      <w:r w:rsidR="00537557">
        <w:t>10 maj 2016</w:t>
      </w:r>
      <w:bookmarkStart w:id="0" w:name="_GoBack"/>
      <w:bookmarkEnd w:id="0"/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27670A" w:rsidTr="00EA4398">
        <w:tc>
          <w:tcPr>
            <w:tcW w:w="1413" w:type="dxa"/>
          </w:tcPr>
          <w:p w:rsidR="005670C5" w:rsidRPr="009B0AD7" w:rsidRDefault="0027670A" w:rsidP="00EA4398">
            <w:r>
              <w:t>2016-05-02</w:t>
            </w:r>
          </w:p>
        </w:tc>
        <w:tc>
          <w:tcPr>
            <w:tcW w:w="1701" w:type="dxa"/>
          </w:tcPr>
          <w:p w:rsidR="005670C5" w:rsidRPr="009B0AD7" w:rsidRDefault="00BF6611" w:rsidP="00BF525B">
            <w:pPr>
              <w:spacing w:after="0" w:line="240" w:lineRule="auto"/>
            </w:pPr>
            <w:r>
              <w:t>C</w:t>
            </w:r>
            <w:r w:rsidR="0027670A">
              <w:t>OM(2016) 237</w:t>
            </w:r>
          </w:p>
        </w:tc>
        <w:tc>
          <w:tcPr>
            <w:tcW w:w="3827" w:type="dxa"/>
          </w:tcPr>
          <w:p w:rsidR="008820A9" w:rsidRPr="00BF6611" w:rsidRDefault="00537557" w:rsidP="00BF6611">
            <w:pPr>
              <w:pStyle w:val="Oformateradtext"/>
            </w:pPr>
            <w:hyperlink r:id="rId8" w:history="1">
              <w:r w:rsidR="00BF6611" w:rsidRPr="00BF6611">
                <w:rPr>
                  <w:rStyle w:val="Hyperlnk"/>
                </w:rPr>
                <w:t>Förslag till RÅDETS BESLUT om ingående, på Europeiska unionens vägnar, av ett avtal mellan Amerikas förenta stater och Europeiska unionen om skydd av personuppgifter i samband med förebyggande, utredning, upptäckt och lagföring av brott</w:t>
              </w:r>
            </w:hyperlink>
            <w:r w:rsidR="00BF6611">
              <w:t xml:space="preserve"> </w:t>
            </w:r>
          </w:p>
        </w:tc>
        <w:tc>
          <w:tcPr>
            <w:tcW w:w="2829" w:type="dxa"/>
          </w:tcPr>
          <w:p w:rsidR="005670C5" w:rsidRPr="00BF6611" w:rsidRDefault="00BF6611" w:rsidP="008F69FF">
            <w:r>
              <w:t xml:space="preserve">Det s.k. paraplyavtalet. Ärendet var uppe som en informationspunkt på RIF-rådet den 10-11 mars 2016. </w:t>
            </w:r>
          </w:p>
        </w:tc>
      </w:tr>
      <w:tr w:rsidR="009B0AD7" w:rsidRPr="00BF6611" w:rsidTr="00EA4398">
        <w:tc>
          <w:tcPr>
            <w:tcW w:w="1413" w:type="dxa"/>
          </w:tcPr>
          <w:p w:rsidR="005670C5" w:rsidRPr="00BF6611" w:rsidRDefault="0027670A" w:rsidP="00EA4398">
            <w:r>
              <w:t>2016-05-02</w:t>
            </w:r>
          </w:p>
        </w:tc>
        <w:tc>
          <w:tcPr>
            <w:tcW w:w="1701" w:type="dxa"/>
          </w:tcPr>
          <w:p w:rsidR="005670C5" w:rsidRPr="00BF6611" w:rsidRDefault="00BF6611" w:rsidP="00EA4398">
            <w:r>
              <w:t>C</w:t>
            </w:r>
            <w:r w:rsidR="0027670A">
              <w:t>OM(2016) 238</w:t>
            </w:r>
          </w:p>
        </w:tc>
        <w:tc>
          <w:tcPr>
            <w:tcW w:w="3827" w:type="dxa"/>
          </w:tcPr>
          <w:p w:rsidR="00BF6611" w:rsidRDefault="00537557" w:rsidP="00BF6611">
            <w:pPr>
              <w:pStyle w:val="Oformateradtext"/>
            </w:pPr>
            <w:hyperlink r:id="rId9" w:history="1">
              <w:r w:rsidR="00BF6611" w:rsidRPr="00BF6611">
                <w:rPr>
                  <w:rStyle w:val="Hyperlnk"/>
                </w:rPr>
                <w:t>Förslag till RÅDETS BESLUT om undertecknande, på Europeiska unionens vägnar, av ett avtal mellan Amerikas förenta stater och Europeiska unionen om skydd av personuppgifter i samband med förebyggande, utredning, upptäckt och lagföring av brott</w:t>
              </w:r>
            </w:hyperlink>
            <w:r w:rsidR="00BF6611">
              <w:t xml:space="preserve"> </w:t>
            </w:r>
          </w:p>
          <w:p w:rsidR="005670C5" w:rsidRPr="00BF6611" w:rsidRDefault="005670C5" w:rsidP="00BF6611">
            <w:pPr>
              <w:pStyle w:val="Oformateradtext"/>
            </w:pPr>
          </w:p>
        </w:tc>
        <w:tc>
          <w:tcPr>
            <w:tcW w:w="2829" w:type="dxa"/>
          </w:tcPr>
          <w:p w:rsidR="005670C5" w:rsidRDefault="00BF6611" w:rsidP="00EA4398">
            <w:r>
              <w:t>Det s.k. paraplyavtalet. Ärendet var uppe som en informationspunkt på RIF-rådet den 10-11 mars 2016.</w:t>
            </w:r>
          </w:p>
          <w:p w:rsidR="00BF6611" w:rsidRPr="00BF6611" w:rsidRDefault="00BF6611" w:rsidP="00EA4398"/>
        </w:tc>
      </w:tr>
      <w:tr w:rsidR="000C12EC" w:rsidRPr="00BF6611" w:rsidTr="00EA4398">
        <w:tc>
          <w:tcPr>
            <w:tcW w:w="1413" w:type="dxa"/>
          </w:tcPr>
          <w:p w:rsidR="000C12EC" w:rsidRDefault="000C12EC" w:rsidP="00EA4398">
            <w:r>
              <w:t>2016-05-03</w:t>
            </w:r>
          </w:p>
        </w:tc>
        <w:tc>
          <w:tcPr>
            <w:tcW w:w="1701" w:type="dxa"/>
          </w:tcPr>
          <w:p w:rsidR="000C12EC" w:rsidRDefault="000C12EC" w:rsidP="00EA4398">
            <w:r>
              <w:t>COM(2016) 194</w:t>
            </w:r>
          </w:p>
        </w:tc>
        <w:tc>
          <w:tcPr>
            <w:tcW w:w="3827" w:type="dxa"/>
          </w:tcPr>
          <w:p w:rsidR="000C12EC" w:rsidRDefault="00537557" w:rsidP="00BF6611">
            <w:pPr>
              <w:pStyle w:val="Oformateradtext"/>
            </w:pPr>
            <w:hyperlink r:id="rId10" w:history="1">
              <w:r w:rsidR="000C12EC" w:rsidRPr="000C12EC">
                <w:rPr>
                  <w:rStyle w:val="Hyperlnk"/>
                </w:rPr>
                <w:t>Förslag till EUROPAPARLAMENTETS OCH RÅDETS FÖRORDNING om inrättande av ett in- och utresesystem som har till syfte att registrera in- och utreseuppgifter och uppgifter om nekad inresa för tredjelandsmedborgare som passerar Europeiska unionens medlemsstaters yttre gränser och om fastställande av villkoren för åtkomst till in- och utresesystemet för brottsbekämpande ändamål och om ändring av förordning (EG) nr 767/2008 och förordning (EU) nr 1077/2011</w:t>
              </w:r>
            </w:hyperlink>
            <w:r w:rsidR="000C12EC">
              <w:t xml:space="preserve"> </w:t>
            </w:r>
          </w:p>
        </w:tc>
        <w:tc>
          <w:tcPr>
            <w:tcW w:w="2829" w:type="dxa"/>
          </w:tcPr>
          <w:p w:rsidR="000C12EC" w:rsidRDefault="000C12EC" w:rsidP="000C12EC">
            <w:pPr>
              <w:pStyle w:val="Oformateradtext"/>
            </w:pPr>
            <w:r>
              <w:t xml:space="preserve">Förslaget hänvisas till JuU för subsidiaritetskontroll. Åttaveckorsfristen löper ut den </w:t>
            </w:r>
            <w:r>
              <w:rPr>
                <w:b/>
                <w:bCs/>
              </w:rPr>
              <w:t>28 juni</w:t>
            </w:r>
            <w:r>
              <w:t>. Sista arbetsplenum innan sommaren äger rum den 22 juni.</w:t>
            </w:r>
          </w:p>
          <w:p w:rsidR="000C12EC" w:rsidRDefault="000C12EC" w:rsidP="00EA4398"/>
        </w:tc>
      </w:tr>
      <w:tr w:rsidR="000C12EC" w:rsidRPr="00BF6611" w:rsidTr="00EA4398">
        <w:tc>
          <w:tcPr>
            <w:tcW w:w="1413" w:type="dxa"/>
          </w:tcPr>
          <w:p w:rsidR="000C12EC" w:rsidRDefault="000C12EC" w:rsidP="00EA4398">
            <w:r>
              <w:t>2016-05-03</w:t>
            </w:r>
          </w:p>
        </w:tc>
        <w:tc>
          <w:tcPr>
            <w:tcW w:w="1701" w:type="dxa"/>
          </w:tcPr>
          <w:p w:rsidR="000C12EC" w:rsidRDefault="000C12EC" w:rsidP="00EA4398">
            <w:r>
              <w:t>COM(2016) 196</w:t>
            </w:r>
          </w:p>
        </w:tc>
        <w:tc>
          <w:tcPr>
            <w:tcW w:w="3827" w:type="dxa"/>
          </w:tcPr>
          <w:p w:rsidR="000C12EC" w:rsidRDefault="00537557" w:rsidP="000C12EC">
            <w:pPr>
              <w:pStyle w:val="Oformateradtext"/>
            </w:pPr>
            <w:hyperlink r:id="rId11" w:history="1">
              <w:r w:rsidR="000C12EC" w:rsidRPr="000C12EC">
                <w:rPr>
                  <w:rStyle w:val="Hyperlnk"/>
                </w:rPr>
                <w:t>Förslag till EUROPAPARLAMENTETS OCH RÅDETS FÖRORDNING om ändring av förordning (EU) 2016/399 vad gäller användningen av in- och utresesystemet</w:t>
              </w:r>
            </w:hyperlink>
            <w:r w:rsidR="000C12EC">
              <w:t xml:space="preserve"> </w:t>
            </w:r>
          </w:p>
          <w:p w:rsidR="000C12EC" w:rsidRDefault="000C12EC" w:rsidP="00BF6611">
            <w:pPr>
              <w:pStyle w:val="Oformateradtext"/>
            </w:pPr>
          </w:p>
        </w:tc>
        <w:tc>
          <w:tcPr>
            <w:tcW w:w="2829" w:type="dxa"/>
          </w:tcPr>
          <w:p w:rsidR="000C12EC" w:rsidRDefault="000C12EC" w:rsidP="000C12EC">
            <w:pPr>
              <w:pStyle w:val="Oformateradtext"/>
            </w:pPr>
            <w:r>
              <w:t xml:space="preserve">Förslaget hänvisas till JuU för subsidiaritetskontroll. Åttaveckorsfristen löper ut den </w:t>
            </w:r>
            <w:r>
              <w:rPr>
                <w:b/>
                <w:bCs/>
              </w:rPr>
              <w:t>28 juni</w:t>
            </w:r>
            <w:r>
              <w:t>. Sista arbetsplenum innan sommaren äger rum den 22 juni.</w:t>
            </w:r>
          </w:p>
          <w:p w:rsidR="000C12EC" w:rsidRDefault="000C12EC" w:rsidP="000C12EC">
            <w:pPr>
              <w:pStyle w:val="Oformateradtext"/>
            </w:pPr>
          </w:p>
        </w:tc>
      </w:tr>
      <w:tr w:rsidR="00BE763A" w:rsidRPr="00BE763A" w:rsidTr="00EA4398">
        <w:tc>
          <w:tcPr>
            <w:tcW w:w="1413" w:type="dxa"/>
          </w:tcPr>
          <w:p w:rsidR="00BE763A" w:rsidRDefault="00BE763A" w:rsidP="00EA4398">
            <w:r>
              <w:t>2016-05-04</w:t>
            </w:r>
          </w:p>
        </w:tc>
        <w:tc>
          <w:tcPr>
            <w:tcW w:w="1701" w:type="dxa"/>
          </w:tcPr>
          <w:p w:rsidR="00BE763A" w:rsidRDefault="00BE763A" w:rsidP="00EA4398">
            <w:r>
              <w:t xml:space="preserve">COM(2016) 275 </w:t>
            </w:r>
          </w:p>
        </w:tc>
        <w:tc>
          <w:tcPr>
            <w:tcW w:w="3827" w:type="dxa"/>
          </w:tcPr>
          <w:p w:rsidR="00BE763A" w:rsidRPr="00BE763A" w:rsidRDefault="00537557" w:rsidP="000C12EC">
            <w:pPr>
              <w:pStyle w:val="Oformateradtext"/>
            </w:pPr>
            <w:hyperlink r:id="rId12" w:history="1">
              <w:r w:rsidR="00BE763A" w:rsidRPr="00BE763A">
                <w:rPr>
                  <w:rStyle w:val="Hyperlnk"/>
                </w:rPr>
                <w:t xml:space="preserve">Förslag till RÅDETS GENOMFÖRANDEBESLUT om en rekommendation om tillfälliga kontroller vid de inre gränserna under exceptionella omständigheter som utgör </w:t>
              </w:r>
              <w:r w:rsidR="00BE763A" w:rsidRPr="00BE763A">
                <w:rPr>
                  <w:rStyle w:val="Hyperlnk"/>
                </w:rPr>
                <w:lastRenderedPageBreak/>
                <w:t>en risk för det övergripande funktionssättet för Schengenområdet</w:t>
              </w:r>
            </w:hyperlink>
            <w:r w:rsidR="00BE763A">
              <w:t xml:space="preserve"> </w:t>
            </w:r>
          </w:p>
        </w:tc>
        <w:tc>
          <w:tcPr>
            <w:tcW w:w="2829" w:type="dxa"/>
          </w:tcPr>
          <w:p w:rsidR="00BE763A" w:rsidRPr="00BE763A" w:rsidRDefault="00537557" w:rsidP="00537557">
            <w:pPr>
              <w:pStyle w:val="Oformateradtext"/>
            </w:pPr>
            <w:r>
              <w:lastRenderedPageBreak/>
              <w:t xml:space="preserve">Förslag om att förlänga de inre gränskontrollerna i Tyskland, Österrike, Sverige, Danmark och Norge under högst sex månader. Även om kommissionen anser att </w:t>
            </w:r>
            <w:r>
              <w:lastRenderedPageBreak/>
              <w:t xml:space="preserve">Grekland har gjort betydande framsteg kvarstår allvarliga brister i den yttre gränsförvaltningen. </w:t>
            </w:r>
          </w:p>
        </w:tc>
      </w:tr>
    </w:tbl>
    <w:p w:rsidR="005670C5" w:rsidRPr="00BE763A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AE5B91" w:rsidP="0014597B">
            <w:r>
              <w:t>2016-04-29</w:t>
            </w:r>
          </w:p>
        </w:tc>
        <w:tc>
          <w:tcPr>
            <w:tcW w:w="1701" w:type="dxa"/>
          </w:tcPr>
          <w:p w:rsidR="00EA4398" w:rsidRPr="009B0AD7" w:rsidRDefault="00AE5B91" w:rsidP="0014597B">
            <w:pPr>
              <w:spacing w:after="0" w:line="240" w:lineRule="auto"/>
            </w:pPr>
            <w:r>
              <w:t>6109/16</w:t>
            </w:r>
          </w:p>
        </w:tc>
        <w:tc>
          <w:tcPr>
            <w:tcW w:w="3827" w:type="dxa"/>
          </w:tcPr>
          <w:p w:rsidR="008F69FF" w:rsidRPr="009B0AD7" w:rsidRDefault="00537557" w:rsidP="00AE5B91">
            <w:pPr>
              <w:pStyle w:val="Oformateradtext"/>
            </w:pPr>
            <w:hyperlink r:id="rId13" w:history="1">
              <w:r w:rsidR="00AE5B91" w:rsidRPr="00AE5B91">
                <w:rPr>
                  <w:rStyle w:val="Hyperlnk"/>
                </w:rPr>
                <w:t>UTKAST TILL PROTOKOLL 3445:e mötet i Europeiska unionens råd (EKONOMISKA OCH FINANSIELLA FRÅGOR) i Bryssel den 12 februari 2016</w:t>
              </w:r>
            </w:hyperlink>
          </w:p>
        </w:tc>
        <w:tc>
          <w:tcPr>
            <w:tcW w:w="2829" w:type="dxa"/>
          </w:tcPr>
          <w:p w:rsidR="00EA4398" w:rsidRPr="009B0AD7" w:rsidRDefault="00811A98" w:rsidP="0014597B">
            <w:r>
              <w:t xml:space="preserve">Två A-punkter inom JuU:s område, se s. 4. 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AE5B91" w:rsidP="0014597B">
            <w:r>
              <w:t>2016-04-29</w:t>
            </w:r>
          </w:p>
        </w:tc>
        <w:tc>
          <w:tcPr>
            <w:tcW w:w="1701" w:type="dxa"/>
          </w:tcPr>
          <w:p w:rsidR="00EA4398" w:rsidRPr="009B0AD7" w:rsidRDefault="00AE5B91" w:rsidP="0014597B">
            <w:r>
              <w:t>6510/16</w:t>
            </w:r>
          </w:p>
        </w:tc>
        <w:tc>
          <w:tcPr>
            <w:tcW w:w="3827" w:type="dxa"/>
          </w:tcPr>
          <w:p w:rsidR="00EA4398" w:rsidRPr="009B0AD7" w:rsidRDefault="00537557" w:rsidP="00AE5B91">
            <w:pPr>
              <w:pStyle w:val="Oformateradtext"/>
            </w:pPr>
            <w:hyperlink r:id="rId14" w:history="1">
              <w:r w:rsidR="00AE5B91" w:rsidRPr="00AE5B91">
                <w:rPr>
                  <w:rStyle w:val="Hyperlnk"/>
                </w:rPr>
                <w:t>UTKAST TILL PROTOKOLL 3450:e mötet i Europeiska unionens råd (RÄTTSLIGA OCH INRIKES FRÅGOR) i Bryssel den 25 februari 2016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  <w:tr w:rsidR="000C12EC" w:rsidRPr="000C12EC" w:rsidTr="0014597B">
        <w:tc>
          <w:tcPr>
            <w:tcW w:w="1413" w:type="dxa"/>
          </w:tcPr>
          <w:p w:rsidR="000C12EC" w:rsidRDefault="000C12EC" w:rsidP="0014597B">
            <w:r>
              <w:t>2016-05-03</w:t>
            </w:r>
          </w:p>
        </w:tc>
        <w:tc>
          <w:tcPr>
            <w:tcW w:w="1701" w:type="dxa"/>
          </w:tcPr>
          <w:p w:rsidR="000C12EC" w:rsidRDefault="000C12EC" w:rsidP="0014597B">
            <w:r>
              <w:t>CM 2552/16</w:t>
            </w:r>
          </w:p>
        </w:tc>
        <w:tc>
          <w:tcPr>
            <w:tcW w:w="3827" w:type="dxa"/>
          </w:tcPr>
          <w:p w:rsidR="000C12EC" w:rsidRPr="000C12EC" w:rsidRDefault="00537557" w:rsidP="00AE5B91">
            <w:pPr>
              <w:pStyle w:val="Oformateradtext"/>
            </w:pPr>
            <w:hyperlink r:id="rId15" w:history="1">
              <w:r w:rsidR="000C12EC" w:rsidRPr="000C12EC">
                <w:rPr>
                  <w:rStyle w:val="Hyperlnk"/>
                </w:rPr>
                <w:t>KALLELSE OCH PRELIMINÄR DAGORDNING 3465:e mötet i EUROPEISKA UNIONENS RÅD (rättsliga och inrikes frågor) 20 maj 2016</w:t>
              </w:r>
            </w:hyperlink>
          </w:p>
        </w:tc>
        <w:tc>
          <w:tcPr>
            <w:tcW w:w="2829" w:type="dxa"/>
          </w:tcPr>
          <w:p w:rsidR="000C12EC" w:rsidRPr="000C12EC" w:rsidRDefault="000C12EC" w:rsidP="0014597B"/>
        </w:tc>
      </w:tr>
    </w:tbl>
    <w:p w:rsidR="00EA4398" w:rsidRPr="000C12EC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AE5B91" w:rsidP="0014597B">
            <w:r>
              <w:t>2016-04-29</w:t>
            </w:r>
          </w:p>
        </w:tc>
        <w:tc>
          <w:tcPr>
            <w:tcW w:w="1701" w:type="dxa"/>
          </w:tcPr>
          <w:p w:rsidR="00EA4398" w:rsidRPr="009B0AD7" w:rsidRDefault="00EA4398" w:rsidP="0014597B">
            <w:pPr>
              <w:spacing w:after="0" w:line="240" w:lineRule="auto"/>
            </w:pPr>
          </w:p>
        </w:tc>
        <w:tc>
          <w:tcPr>
            <w:tcW w:w="3827" w:type="dxa"/>
          </w:tcPr>
          <w:p w:rsidR="00EA4398" w:rsidRPr="009B0AD7" w:rsidRDefault="00537557" w:rsidP="00AE5B91">
            <w:pPr>
              <w:pStyle w:val="Oformateradtext"/>
            </w:pPr>
            <w:hyperlink r:id="rId16" w:history="1">
              <w:r w:rsidR="00AE5B91" w:rsidRPr="00AE5B91">
                <w:rPr>
                  <w:rStyle w:val="Hyperlnk"/>
                </w:rPr>
                <w:t>Rapport från möte i rådet (rättsliga och inrikes frågor) den 21 april 2016</w:t>
              </w:r>
            </w:hyperlink>
          </w:p>
        </w:tc>
        <w:tc>
          <w:tcPr>
            <w:tcW w:w="2829" w:type="dxa"/>
          </w:tcPr>
          <w:p w:rsidR="00EA4398" w:rsidRPr="009B0AD7" w:rsidRDefault="00AE5B91" w:rsidP="0014597B">
            <w:r>
              <w:t>Hemlig enligt OSL 15:1.</w:t>
            </w:r>
            <w:r w:rsidR="00BF6611">
              <w:t xml:space="preserve"> Delas ut på sammanträdet den 12 maj. </w:t>
            </w:r>
          </w:p>
        </w:tc>
      </w:tr>
    </w:tbl>
    <w:p w:rsidR="00EA4398" w:rsidRDefault="00EA4398" w:rsidP="009B0AD7"/>
    <w:p w:rsidR="00607323" w:rsidRDefault="00607323" w:rsidP="009B0AD7"/>
    <w:sectPr w:rsidR="00607323" w:rsidSect="009B0AD7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537557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537557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37557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53755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537557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12EC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670A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4E17"/>
    <w:rsid w:val="004E66F8"/>
    <w:rsid w:val="004F5F02"/>
    <w:rsid w:val="005063F1"/>
    <w:rsid w:val="0051338E"/>
    <w:rsid w:val="00522E29"/>
    <w:rsid w:val="00524766"/>
    <w:rsid w:val="00527427"/>
    <w:rsid w:val="0053755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11A98"/>
    <w:rsid w:val="008236F3"/>
    <w:rsid w:val="00823BCE"/>
    <w:rsid w:val="00824FD1"/>
    <w:rsid w:val="008316A6"/>
    <w:rsid w:val="0083183D"/>
    <w:rsid w:val="0083504D"/>
    <w:rsid w:val="0084232C"/>
    <w:rsid w:val="00847D1B"/>
    <w:rsid w:val="00851BAD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0328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7478"/>
    <w:rsid w:val="00971803"/>
    <w:rsid w:val="00975912"/>
    <w:rsid w:val="00980020"/>
    <w:rsid w:val="00981EDD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C2975"/>
    <w:rsid w:val="00AD1458"/>
    <w:rsid w:val="00AD2E46"/>
    <w:rsid w:val="00AD33EB"/>
    <w:rsid w:val="00AE057B"/>
    <w:rsid w:val="00AE0823"/>
    <w:rsid w:val="00AE5B91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E763A"/>
    <w:rsid w:val="00BF3B63"/>
    <w:rsid w:val="00BF525B"/>
    <w:rsid w:val="00BF6611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2342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0C03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Plain Text" w:uiPriority="99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link w:val="OformateradtextChar"/>
    <w:uiPriority w:val="99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E5B91"/>
    <w:rPr>
      <w:rFonts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3047" TargetMode="External"/><Relationship Id="rId13" Type="http://schemas.openxmlformats.org/officeDocument/2006/relationships/hyperlink" Target="http://lemur.riksdagen.se/Dokument/Visa.aspx?ID=230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307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Dokument/Visa.aspx?ID=2303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28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.aspx?ID=23065" TargetMode="External"/><Relationship Id="rId10" Type="http://schemas.openxmlformats.org/officeDocument/2006/relationships/hyperlink" Target="http://lemur.riksdagen.se/Dokument/Visa.aspx?ID=2283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3046" TargetMode="External"/><Relationship Id="rId14" Type="http://schemas.openxmlformats.org/officeDocument/2006/relationships/hyperlink" Target="http://lemur.riksdagen.se/Dokument/Visa.aspx?ID=2304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120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09DB-5152-4EE3-B9A5-D67B658F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152</TotalTime>
  <Pages>2</Pages>
  <Words>533</Words>
  <Characters>3306</Characters>
  <Application>Microsoft Office Word</Application>
  <DocSecurity>0</DocSecurity>
  <Lines>183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Stina Nordström</cp:lastModifiedBy>
  <cp:revision>9</cp:revision>
  <dcterms:created xsi:type="dcterms:W3CDTF">2016-05-02T06:48:00Z</dcterms:created>
  <dcterms:modified xsi:type="dcterms:W3CDTF">2016-05-10T10:54:00Z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