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113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10 juni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Protokollet från sammanträdet tisdagen den 26 maj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2014/15:629 av Hans Wallmark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Öresundssamarbete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2014/15:635 av Roger Haddad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Tillämpning av terroristlagen för återvändare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2014/15:643 av Daniel Bäckström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Osäkerhet kring ansökningar om jordbruksstöd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2014/15:682 av Margareta B Kjellin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Bekämpning av översvämningsmygg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2014/15:KrU9 Litteratur, läsande och språk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2014/15:KrU11 Politik för det civila samhället inklusive idrott och trossamfund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2014/15:FiU19 Några värdepappersmarknadsfrågor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2014/15:FiU32 En utredning om ett regelverk för säkerställande av valfrihet, mångfald och kvalitet i fråga om välfärdstjänster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2014/15:UbU7 Statens dimensionering av lärarutbildning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2014/15:UbU13 Ökad individanpassning och en effektivare sfi och vuxenutbildning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2014/15:UbU16 Stiftelsen Riksbankens Jubileumsfonds verksamhet och årsredovisning 2014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2014/15:AU11 Arbetsförmedlingen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MP, C,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2014/15:UU9 Norden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2014/15:KU13 Verksamhetsredogörelser för riksdagens nämnder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2014/15:KU17 Indelning i utgiftsområden m.m.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2014/15:KU21 Redogörelse för behandlingen av riksdagens skrivelser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2014/15:NU16 Säkring av bevis vid Konkurrensverkets platsundersökningar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2014/15:NU18 Riksrevisionens rapport om näringspolitikens effekter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10 juni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2015-06-10</SAFIR_Sammantradesdatum_Doc>
    <SAFIR_SammantradeID xmlns="C07A1A6C-0B19-41D9-BDF8-F523BA3921EB">18be6d16-7898-440d-b6c3-9dac3b3019d6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731F35-4A3B-45A7-9E88-2B70742113C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10 juni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