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542A" w:rsidRPr="00BE0A54" w:rsidRDefault="004A542A" w:rsidP="006F3CFF">
      <w:pPr>
        <w:pStyle w:val="Hemstlrubrik"/>
      </w:pPr>
      <w:r w:rsidRPr="00BE0A54">
        <w:t>Förslag till riksdagsbeslut</w:t>
      </w:r>
    </w:p>
    <w:p w:rsidR="004A542A" w:rsidRPr="00BE0A54" w:rsidRDefault="004A542A" w:rsidP="004A542A">
      <w:pPr>
        <w:pStyle w:val="Hemstlatt"/>
      </w:pPr>
      <w:r w:rsidRPr="00BE0A54">
        <w:t xml:space="preserve">Riksdagen tillkännager för regeringen som sin mening vad i motionen anförs om kostnader som belastar </w:t>
      </w:r>
      <w:r w:rsidR="000050BA" w:rsidRPr="00BE0A54">
        <w:t xml:space="preserve">Naturvårdsverket </w:t>
      </w:r>
      <w:r w:rsidRPr="00BE0A54">
        <w:t>i samband med flytt av verksamhet till Östersund</w:t>
      </w:r>
      <w:r w:rsidR="0014043C" w:rsidRPr="00BE0A54">
        <w:t>.</w:t>
      </w:r>
    </w:p>
    <w:p w:rsidR="004A542A" w:rsidRPr="00BE0A54" w:rsidRDefault="0014043C" w:rsidP="0014043C">
      <w:pPr>
        <w:pStyle w:val="Hemstlatt"/>
      </w:pPr>
      <w:r w:rsidRPr="00BE0A54">
        <w:t xml:space="preserve">Riksdagen </w:t>
      </w:r>
      <w:r w:rsidR="000050BA" w:rsidRPr="00BE0A54">
        <w:t xml:space="preserve">avslår </w:t>
      </w:r>
      <w:r w:rsidR="004A542A" w:rsidRPr="00BE0A54">
        <w:t>regeringen</w:t>
      </w:r>
      <w:r w:rsidR="000050BA" w:rsidRPr="00BE0A54">
        <w:t xml:space="preserve">s förslag till bemyndigande att </w:t>
      </w:r>
      <w:r w:rsidR="004A542A" w:rsidRPr="00BE0A54">
        <w:t>ingå ekon</w:t>
      </w:r>
      <w:r w:rsidR="004A542A" w:rsidRPr="00BE0A54">
        <w:t>o</w:t>
      </w:r>
      <w:r w:rsidR="004A542A" w:rsidRPr="00BE0A54">
        <w:t xml:space="preserve">miska förpliktelser under anslag 34:13 </w:t>
      </w:r>
      <w:r w:rsidR="006F3CFF" w:rsidRPr="00BE0A54">
        <w:t xml:space="preserve">Stöd </w:t>
      </w:r>
      <w:r w:rsidR="004A542A" w:rsidRPr="00BE0A54">
        <w:t>till klimatinvesteringar</w:t>
      </w:r>
      <w:r w:rsidR="00AC3AC3" w:rsidRPr="00BE0A54">
        <w:t>.</w:t>
      </w:r>
    </w:p>
    <w:p w:rsidR="004A542A" w:rsidRPr="00BE0A54" w:rsidRDefault="00AC3AC3" w:rsidP="00334515">
      <w:pPr>
        <w:pStyle w:val="Hemstlatt"/>
        <w:spacing w:after="40"/>
      </w:pPr>
      <w:r w:rsidRPr="00BE0A54">
        <w:t xml:space="preserve">Riksdagen </w:t>
      </w:r>
      <w:r w:rsidR="004A542A" w:rsidRPr="00BE0A54">
        <w:t xml:space="preserve">anvisar med följande ändringar i förhållande till regeringens </w:t>
      </w:r>
      <w:r w:rsidR="004A542A" w:rsidRPr="00BE0A54">
        <w:rPr>
          <w:spacing w:val="-2"/>
          <w:szCs w:val="19"/>
        </w:rPr>
        <w:t>förslag för år 2005 anslagen under utgifts</w:t>
      </w:r>
      <w:r w:rsidRPr="00BE0A54">
        <w:rPr>
          <w:spacing w:val="-2"/>
          <w:szCs w:val="19"/>
        </w:rPr>
        <w:t>område 20 enligt uppställnin</w:t>
      </w:r>
      <w:r w:rsidRPr="00BE0A54">
        <w:rPr>
          <w:spacing w:val="-2"/>
          <w:szCs w:val="19"/>
        </w:rPr>
        <w:t>g</w:t>
      </w:r>
      <w:r w:rsidRPr="00BE0A54">
        <w:rPr>
          <w:spacing w:val="-2"/>
          <w:szCs w:val="19"/>
        </w:rPr>
        <w:t>en</w:t>
      </w:r>
      <w:r w:rsidRPr="00BE0A54">
        <w:t>.</w:t>
      </w:r>
    </w:p>
    <w:tbl>
      <w:tblPr>
        <w:tblW w:w="6428"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75" w:firstRow="1" w:lastRow="1" w:firstColumn="0" w:lastColumn="0" w:noHBand="0" w:noVBand="0"/>
      </w:tblPr>
      <w:tblGrid>
        <w:gridCol w:w="4000"/>
        <w:gridCol w:w="1214"/>
        <w:gridCol w:w="1214"/>
      </w:tblGrid>
      <w:tr w:rsidR="004A542A" w:rsidRPr="00BE0A54">
        <w:tblPrEx>
          <w:tblCellMar>
            <w:top w:w="0" w:type="dxa"/>
            <w:bottom w:w="0" w:type="dxa"/>
          </w:tblCellMar>
        </w:tblPrEx>
        <w:tc>
          <w:tcPr>
            <w:tcW w:w="4060" w:type="dxa"/>
            <w:tcBorders>
              <w:top w:val="single" w:sz="6" w:space="0" w:color="000000"/>
              <w:bottom w:val="single" w:sz="6" w:space="0" w:color="000000"/>
            </w:tcBorders>
          </w:tcPr>
          <w:p w:rsidR="004A542A" w:rsidRPr="00BE0A54" w:rsidRDefault="004A542A" w:rsidP="00294213">
            <w:pPr>
              <w:spacing w:before="0" w:line="200" w:lineRule="exact"/>
              <w:rPr>
                <w:b/>
                <w:sz w:val="16"/>
                <w:szCs w:val="16"/>
              </w:rPr>
            </w:pPr>
            <w:r w:rsidRPr="00BE0A54">
              <w:rPr>
                <w:b/>
                <w:sz w:val="16"/>
                <w:szCs w:val="16"/>
              </w:rPr>
              <w:t>Anslag</w:t>
            </w:r>
          </w:p>
        </w:tc>
        <w:tc>
          <w:tcPr>
            <w:tcW w:w="1230" w:type="dxa"/>
            <w:tcBorders>
              <w:top w:val="single" w:sz="6" w:space="0" w:color="000000"/>
              <w:bottom w:val="single" w:sz="6" w:space="0" w:color="000000"/>
            </w:tcBorders>
          </w:tcPr>
          <w:p w:rsidR="004A542A" w:rsidRPr="00BE0A54" w:rsidRDefault="004A542A" w:rsidP="00294213">
            <w:pPr>
              <w:spacing w:before="0" w:line="200" w:lineRule="exact"/>
              <w:jc w:val="right"/>
              <w:rPr>
                <w:b/>
                <w:sz w:val="16"/>
                <w:szCs w:val="16"/>
              </w:rPr>
            </w:pPr>
            <w:r w:rsidRPr="00BE0A54">
              <w:rPr>
                <w:b/>
                <w:sz w:val="16"/>
                <w:szCs w:val="16"/>
              </w:rPr>
              <w:t>Regeringens förslag</w:t>
            </w:r>
          </w:p>
        </w:tc>
        <w:tc>
          <w:tcPr>
            <w:tcW w:w="1230" w:type="dxa"/>
            <w:tcBorders>
              <w:top w:val="single" w:sz="6" w:space="0" w:color="000000"/>
              <w:bottom w:val="single" w:sz="6" w:space="0" w:color="000000"/>
            </w:tcBorders>
          </w:tcPr>
          <w:p w:rsidR="004A542A" w:rsidRPr="00BE0A54" w:rsidRDefault="004A542A" w:rsidP="00294213">
            <w:pPr>
              <w:spacing w:before="0" w:line="200" w:lineRule="exact"/>
              <w:jc w:val="right"/>
              <w:rPr>
                <w:b/>
                <w:sz w:val="16"/>
                <w:szCs w:val="16"/>
              </w:rPr>
            </w:pPr>
            <w:r w:rsidRPr="00BE0A54">
              <w:rPr>
                <w:b/>
                <w:sz w:val="16"/>
                <w:szCs w:val="16"/>
              </w:rPr>
              <w:t>Anslags</w:t>
            </w:r>
            <w:r w:rsidR="00294213" w:rsidRPr="00BE0A54">
              <w:rPr>
                <w:b/>
                <w:sz w:val="16"/>
                <w:szCs w:val="16"/>
              </w:rPr>
              <w:t>-</w:t>
            </w:r>
            <w:r w:rsidR="00294213" w:rsidRPr="00BE0A54">
              <w:rPr>
                <w:b/>
                <w:sz w:val="16"/>
                <w:szCs w:val="16"/>
              </w:rPr>
              <w:br/>
            </w:r>
            <w:r w:rsidRPr="00BE0A54">
              <w:rPr>
                <w:b/>
                <w:sz w:val="16"/>
                <w:szCs w:val="16"/>
              </w:rPr>
              <w:t>förän</w:t>
            </w:r>
            <w:r w:rsidRPr="00BE0A54">
              <w:rPr>
                <w:b/>
                <w:sz w:val="16"/>
                <w:szCs w:val="16"/>
              </w:rPr>
              <w:t>d</w:t>
            </w:r>
            <w:r w:rsidRPr="00BE0A54">
              <w:rPr>
                <w:b/>
                <w:sz w:val="16"/>
                <w:szCs w:val="16"/>
              </w:rPr>
              <w:t>ring</w:t>
            </w:r>
          </w:p>
        </w:tc>
      </w:tr>
      <w:tr w:rsidR="004A542A" w:rsidRPr="00BE0A54">
        <w:tblPrEx>
          <w:tblCellMar>
            <w:top w:w="0" w:type="dxa"/>
            <w:bottom w:w="0" w:type="dxa"/>
          </w:tblCellMar>
        </w:tblPrEx>
        <w:tc>
          <w:tcPr>
            <w:tcW w:w="4060" w:type="dxa"/>
            <w:tcBorders>
              <w:top w:val="single" w:sz="6" w:space="0" w:color="000000"/>
            </w:tcBorders>
          </w:tcPr>
          <w:p w:rsidR="004A542A" w:rsidRPr="00BE0A54" w:rsidRDefault="004A542A" w:rsidP="006F3CFF">
            <w:pPr>
              <w:spacing w:before="60" w:line="200" w:lineRule="exact"/>
              <w:jc w:val="left"/>
              <w:rPr>
                <w:sz w:val="16"/>
                <w:szCs w:val="16"/>
              </w:rPr>
            </w:pPr>
            <w:r w:rsidRPr="00BE0A54">
              <w:rPr>
                <w:sz w:val="16"/>
                <w:szCs w:val="16"/>
              </w:rPr>
              <w:t>34:3 Åtgärder för biologisk mångfald</w:t>
            </w:r>
          </w:p>
        </w:tc>
        <w:tc>
          <w:tcPr>
            <w:tcW w:w="1230" w:type="dxa"/>
            <w:tcBorders>
              <w:top w:val="single" w:sz="6" w:space="0" w:color="000000"/>
            </w:tcBorders>
          </w:tcPr>
          <w:p w:rsidR="004A542A" w:rsidRPr="00BE0A54" w:rsidRDefault="004A542A" w:rsidP="006F3CFF">
            <w:pPr>
              <w:spacing w:before="60" w:line="200" w:lineRule="exact"/>
              <w:jc w:val="right"/>
              <w:rPr>
                <w:sz w:val="16"/>
                <w:szCs w:val="16"/>
              </w:rPr>
            </w:pPr>
            <w:r w:rsidRPr="00BE0A54">
              <w:rPr>
                <w:sz w:val="16"/>
                <w:szCs w:val="16"/>
              </w:rPr>
              <w:t>1 923 297 000</w:t>
            </w:r>
          </w:p>
        </w:tc>
        <w:tc>
          <w:tcPr>
            <w:tcW w:w="1230" w:type="dxa"/>
            <w:tcBorders>
              <w:top w:val="single" w:sz="6" w:space="0" w:color="000000"/>
            </w:tcBorders>
          </w:tcPr>
          <w:p w:rsidR="004A542A" w:rsidRPr="00BE0A54" w:rsidRDefault="000050BA" w:rsidP="006F3CFF">
            <w:pPr>
              <w:spacing w:before="60" w:line="200" w:lineRule="exact"/>
              <w:jc w:val="right"/>
              <w:rPr>
                <w:sz w:val="16"/>
                <w:szCs w:val="16"/>
              </w:rPr>
            </w:pPr>
            <w:r w:rsidRPr="00BE0A54">
              <w:rPr>
                <w:sz w:val="16"/>
                <w:szCs w:val="16"/>
              </w:rPr>
              <w:t>–</w:t>
            </w:r>
            <w:r w:rsidR="004A542A" w:rsidRPr="00BE0A54">
              <w:rPr>
                <w:sz w:val="16"/>
                <w:szCs w:val="16"/>
              </w:rPr>
              <w:t>890 000 000</w:t>
            </w:r>
          </w:p>
        </w:tc>
      </w:tr>
      <w:tr w:rsidR="004A542A" w:rsidRPr="00BE0A54">
        <w:tblPrEx>
          <w:tblCellMar>
            <w:top w:w="0" w:type="dxa"/>
            <w:bottom w:w="0" w:type="dxa"/>
          </w:tblCellMar>
        </w:tblPrEx>
        <w:tc>
          <w:tcPr>
            <w:tcW w:w="4060" w:type="dxa"/>
          </w:tcPr>
          <w:p w:rsidR="004A542A" w:rsidRPr="00BE0A54" w:rsidRDefault="004A542A" w:rsidP="006F3CFF">
            <w:pPr>
              <w:spacing w:before="60" w:line="200" w:lineRule="exact"/>
              <w:jc w:val="left"/>
              <w:rPr>
                <w:sz w:val="16"/>
                <w:szCs w:val="16"/>
              </w:rPr>
            </w:pPr>
            <w:r w:rsidRPr="00BE0A54">
              <w:rPr>
                <w:sz w:val="16"/>
                <w:szCs w:val="16"/>
              </w:rPr>
              <w:t>34:4 Sanering och återställning av förorenade områden</w:t>
            </w:r>
          </w:p>
        </w:tc>
        <w:tc>
          <w:tcPr>
            <w:tcW w:w="1230" w:type="dxa"/>
          </w:tcPr>
          <w:p w:rsidR="004A542A" w:rsidRPr="00BE0A54" w:rsidRDefault="004A542A" w:rsidP="006F3CFF">
            <w:pPr>
              <w:spacing w:before="60" w:line="200" w:lineRule="exact"/>
              <w:jc w:val="right"/>
              <w:rPr>
                <w:sz w:val="16"/>
                <w:szCs w:val="16"/>
              </w:rPr>
            </w:pPr>
            <w:r w:rsidRPr="00BE0A54">
              <w:rPr>
                <w:sz w:val="16"/>
                <w:szCs w:val="16"/>
              </w:rPr>
              <w:t>524 787 000</w:t>
            </w:r>
          </w:p>
        </w:tc>
        <w:tc>
          <w:tcPr>
            <w:tcW w:w="1230" w:type="dxa"/>
          </w:tcPr>
          <w:p w:rsidR="004A542A" w:rsidRPr="00BE0A54" w:rsidRDefault="000050BA" w:rsidP="006F3CFF">
            <w:pPr>
              <w:spacing w:before="60" w:line="200" w:lineRule="exact"/>
              <w:jc w:val="right"/>
              <w:rPr>
                <w:sz w:val="16"/>
                <w:szCs w:val="16"/>
              </w:rPr>
            </w:pPr>
            <w:r w:rsidRPr="00BE0A54">
              <w:rPr>
                <w:sz w:val="16"/>
                <w:szCs w:val="16"/>
              </w:rPr>
              <w:t>–</w:t>
            </w:r>
            <w:r w:rsidR="004A542A" w:rsidRPr="00BE0A54">
              <w:rPr>
                <w:sz w:val="16"/>
                <w:szCs w:val="16"/>
              </w:rPr>
              <w:t>312 850 000</w:t>
            </w:r>
          </w:p>
        </w:tc>
      </w:tr>
      <w:tr w:rsidR="004A542A" w:rsidRPr="00BE0A54">
        <w:tblPrEx>
          <w:tblCellMar>
            <w:top w:w="0" w:type="dxa"/>
            <w:bottom w:w="0" w:type="dxa"/>
          </w:tblCellMar>
        </w:tblPrEx>
        <w:tc>
          <w:tcPr>
            <w:tcW w:w="4060" w:type="dxa"/>
          </w:tcPr>
          <w:p w:rsidR="004A542A" w:rsidRPr="00BE0A54" w:rsidRDefault="004A542A" w:rsidP="006F3CFF">
            <w:pPr>
              <w:spacing w:before="60" w:line="200" w:lineRule="exact"/>
              <w:jc w:val="left"/>
              <w:rPr>
                <w:sz w:val="16"/>
                <w:szCs w:val="16"/>
              </w:rPr>
            </w:pPr>
            <w:r w:rsidRPr="00BE0A54">
              <w:rPr>
                <w:sz w:val="16"/>
                <w:szCs w:val="16"/>
              </w:rPr>
              <w:t xml:space="preserve">34:12 Bidrag till Sveriges meteorologiska och hydrologiska </w:t>
            </w:r>
            <w:r w:rsidR="006F3CFF" w:rsidRPr="00BE0A54">
              <w:rPr>
                <w:sz w:val="16"/>
                <w:szCs w:val="16"/>
              </w:rPr>
              <w:br/>
            </w:r>
            <w:r w:rsidRPr="00BE0A54">
              <w:rPr>
                <w:sz w:val="16"/>
                <w:szCs w:val="16"/>
              </w:rPr>
              <w:t>institut m.m.</w:t>
            </w:r>
          </w:p>
        </w:tc>
        <w:tc>
          <w:tcPr>
            <w:tcW w:w="1230" w:type="dxa"/>
          </w:tcPr>
          <w:p w:rsidR="004A542A" w:rsidRPr="00BE0A54" w:rsidRDefault="004A542A" w:rsidP="006F3CFF">
            <w:pPr>
              <w:spacing w:before="60" w:line="200" w:lineRule="exact"/>
              <w:jc w:val="right"/>
              <w:rPr>
                <w:sz w:val="16"/>
                <w:szCs w:val="16"/>
              </w:rPr>
            </w:pPr>
            <w:r w:rsidRPr="00BE0A54">
              <w:rPr>
                <w:sz w:val="16"/>
                <w:szCs w:val="16"/>
              </w:rPr>
              <w:t>262 736 000</w:t>
            </w:r>
          </w:p>
        </w:tc>
        <w:tc>
          <w:tcPr>
            <w:tcW w:w="1230" w:type="dxa"/>
          </w:tcPr>
          <w:p w:rsidR="004A542A" w:rsidRPr="00BE0A54" w:rsidRDefault="000050BA" w:rsidP="006F3CFF">
            <w:pPr>
              <w:spacing w:before="60" w:line="200" w:lineRule="exact"/>
              <w:jc w:val="right"/>
              <w:rPr>
                <w:sz w:val="16"/>
                <w:szCs w:val="16"/>
              </w:rPr>
            </w:pPr>
            <w:r w:rsidRPr="00BE0A54">
              <w:rPr>
                <w:sz w:val="16"/>
                <w:szCs w:val="16"/>
              </w:rPr>
              <w:t>–</w:t>
            </w:r>
            <w:r w:rsidR="004A542A" w:rsidRPr="00BE0A54">
              <w:rPr>
                <w:sz w:val="16"/>
                <w:szCs w:val="16"/>
              </w:rPr>
              <w:t>20 000 000</w:t>
            </w:r>
          </w:p>
        </w:tc>
      </w:tr>
      <w:tr w:rsidR="004A542A" w:rsidRPr="00BE0A54">
        <w:tblPrEx>
          <w:tblCellMar>
            <w:top w:w="0" w:type="dxa"/>
            <w:bottom w:w="0" w:type="dxa"/>
          </w:tblCellMar>
        </w:tblPrEx>
        <w:tc>
          <w:tcPr>
            <w:tcW w:w="4060" w:type="dxa"/>
            <w:tcBorders>
              <w:bottom w:val="nil"/>
            </w:tcBorders>
          </w:tcPr>
          <w:p w:rsidR="004A542A" w:rsidRPr="00BE0A54" w:rsidRDefault="004A542A" w:rsidP="006F3CFF">
            <w:pPr>
              <w:spacing w:before="60" w:line="200" w:lineRule="exact"/>
              <w:jc w:val="left"/>
              <w:rPr>
                <w:sz w:val="16"/>
                <w:szCs w:val="16"/>
              </w:rPr>
            </w:pPr>
            <w:r w:rsidRPr="00BE0A54">
              <w:rPr>
                <w:sz w:val="16"/>
                <w:szCs w:val="16"/>
              </w:rPr>
              <w:t>34:13 Stöd till klimatinvesteringar</w:t>
            </w:r>
          </w:p>
        </w:tc>
        <w:tc>
          <w:tcPr>
            <w:tcW w:w="1230" w:type="dxa"/>
            <w:tcBorders>
              <w:bottom w:val="nil"/>
            </w:tcBorders>
          </w:tcPr>
          <w:p w:rsidR="004A542A" w:rsidRPr="00BE0A54" w:rsidRDefault="004A542A" w:rsidP="006F3CFF">
            <w:pPr>
              <w:spacing w:before="60" w:line="200" w:lineRule="exact"/>
              <w:jc w:val="right"/>
              <w:rPr>
                <w:sz w:val="16"/>
                <w:szCs w:val="16"/>
              </w:rPr>
            </w:pPr>
            <w:r w:rsidRPr="00BE0A54">
              <w:rPr>
                <w:sz w:val="16"/>
                <w:szCs w:val="16"/>
              </w:rPr>
              <w:t>350 000 000</w:t>
            </w:r>
          </w:p>
        </w:tc>
        <w:tc>
          <w:tcPr>
            <w:tcW w:w="1230" w:type="dxa"/>
            <w:tcBorders>
              <w:bottom w:val="nil"/>
            </w:tcBorders>
          </w:tcPr>
          <w:p w:rsidR="004A542A" w:rsidRPr="00BE0A54" w:rsidRDefault="000050BA" w:rsidP="006F3CFF">
            <w:pPr>
              <w:spacing w:before="60" w:line="200" w:lineRule="exact"/>
              <w:jc w:val="right"/>
              <w:rPr>
                <w:sz w:val="16"/>
                <w:szCs w:val="16"/>
              </w:rPr>
            </w:pPr>
            <w:r w:rsidRPr="00BE0A54">
              <w:rPr>
                <w:sz w:val="16"/>
                <w:szCs w:val="16"/>
              </w:rPr>
              <w:t>–</w:t>
            </w:r>
            <w:r w:rsidR="004A542A" w:rsidRPr="00BE0A54">
              <w:rPr>
                <w:sz w:val="16"/>
                <w:szCs w:val="16"/>
              </w:rPr>
              <w:t>350 000 000</w:t>
            </w:r>
          </w:p>
        </w:tc>
      </w:tr>
      <w:tr w:rsidR="004A542A" w:rsidRPr="00BE0A54">
        <w:tblPrEx>
          <w:tblCellMar>
            <w:top w:w="0" w:type="dxa"/>
            <w:bottom w:w="0" w:type="dxa"/>
          </w:tblCellMar>
        </w:tblPrEx>
        <w:tc>
          <w:tcPr>
            <w:tcW w:w="4060" w:type="dxa"/>
            <w:tcBorders>
              <w:top w:val="nil"/>
              <w:bottom w:val="single" w:sz="6" w:space="0" w:color="000000"/>
            </w:tcBorders>
          </w:tcPr>
          <w:p w:rsidR="004A542A" w:rsidRPr="00BE0A54" w:rsidRDefault="004A542A" w:rsidP="006F3CFF">
            <w:pPr>
              <w:spacing w:before="60" w:line="200" w:lineRule="exact"/>
              <w:jc w:val="left"/>
              <w:rPr>
                <w:b/>
                <w:sz w:val="16"/>
                <w:szCs w:val="16"/>
              </w:rPr>
            </w:pPr>
            <w:r w:rsidRPr="00BE0A54">
              <w:rPr>
                <w:b/>
                <w:sz w:val="16"/>
                <w:szCs w:val="16"/>
              </w:rPr>
              <w:t>Summa för utgiftsområdet</w:t>
            </w:r>
          </w:p>
        </w:tc>
        <w:tc>
          <w:tcPr>
            <w:tcW w:w="1230" w:type="dxa"/>
            <w:tcBorders>
              <w:top w:val="nil"/>
              <w:bottom w:val="single" w:sz="6" w:space="0" w:color="000000"/>
            </w:tcBorders>
          </w:tcPr>
          <w:p w:rsidR="004A542A" w:rsidRPr="00BE0A54" w:rsidRDefault="004A542A" w:rsidP="006F3CFF">
            <w:pPr>
              <w:spacing w:before="60" w:line="200" w:lineRule="exact"/>
              <w:jc w:val="right"/>
              <w:rPr>
                <w:sz w:val="16"/>
                <w:szCs w:val="16"/>
              </w:rPr>
            </w:pPr>
          </w:p>
        </w:tc>
        <w:tc>
          <w:tcPr>
            <w:tcW w:w="1230" w:type="dxa"/>
            <w:tcBorders>
              <w:top w:val="nil"/>
              <w:bottom w:val="single" w:sz="6" w:space="0" w:color="000000"/>
            </w:tcBorders>
          </w:tcPr>
          <w:p w:rsidR="004A542A" w:rsidRPr="00BE0A54" w:rsidRDefault="000050BA" w:rsidP="006F3CFF">
            <w:pPr>
              <w:spacing w:before="60" w:line="200" w:lineRule="exact"/>
              <w:jc w:val="right"/>
              <w:rPr>
                <w:b/>
                <w:sz w:val="16"/>
                <w:szCs w:val="16"/>
              </w:rPr>
            </w:pPr>
            <w:r w:rsidRPr="00BE0A54">
              <w:rPr>
                <w:b/>
                <w:sz w:val="16"/>
                <w:szCs w:val="16"/>
              </w:rPr>
              <w:t>–</w:t>
            </w:r>
            <w:r w:rsidR="004A542A" w:rsidRPr="00BE0A54">
              <w:rPr>
                <w:b/>
                <w:sz w:val="16"/>
                <w:szCs w:val="16"/>
              </w:rPr>
              <w:t>1 572 850 000</w:t>
            </w:r>
          </w:p>
        </w:tc>
      </w:tr>
    </w:tbl>
    <w:p w:rsidR="004A542A" w:rsidRPr="00BE0A54" w:rsidRDefault="004A542A" w:rsidP="00D95661">
      <w:pPr>
        <w:pStyle w:val="Rubrik1"/>
      </w:pPr>
      <w:r w:rsidRPr="00BE0A54">
        <w:t>Motivering</w:t>
      </w:r>
    </w:p>
    <w:p w:rsidR="004A542A" w:rsidRPr="00BE0A54" w:rsidRDefault="004A542A" w:rsidP="006F3CFF">
      <w:r w:rsidRPr="00BE0A54">
        <w:t>Anslaget till detta utgiftsområde var i 1999 års budget 1 548 899 kronor för att i budgeten för 2006 föreslås till nästan 4 200 000 kronor. Anslagen är inte helt jämförbara eftersom medel till forskningsråd tillförts utgiftsområdet li</w:t>
      </w:r>
      <w:r w:rsidRPr="00BE0A54">
        <w:t>k</w:t>
      </w:r>
      <w:r w:rsidRPr="00BE0A54">
        <w:t>som anslaget för SMHI.</w:t>
      </w:r>
    </w:p>
    <w:p w:rsidR="004A542A" w:rsidRPr="00BE0A54" w:rsidRDefault="004A542A" w:rsidP="00D95661">
      <w:pPr>
        <w:pStyle w:val="Normaltindrag"/>
      </w:pPr>
      <w:r w:rsidRPr="00BE0A54">
        <w:t xml:space="preserve">Utgiftsområdet har således expanderat kraftigt. </w:t>
      </w:r>
    </w:p>
    <w:p w:rsidR="004A542A" w:rsidRPr="00BE0A54" w:rsidRDefault="004A542A" w:rsidP="00D95661">
      <w:pPr>
        <w:pStyle w:val="Normaltindrag"/>
      </w:pPr>
      <w:r w:rsidRPr="00BE0A54">
        <w:t xml:space="preserve">Ökningen är </w:t>
      </w:r>
      <w:r w:rsidR="006F3CFF" w:rsidRPr="00BE0A54">
        <w:t xml:space="preserve">störst på de anslag som kallas </w:t>
      </w:r>
      <w:r w:rsidRPr="00BE0A54">
        <w:t>Åtgärder för att bevara den bi</w:t>
      </w:r>
      <w:r w:rsidRPr="00BE0A54">
        <w:t>o</w:t>
      </w:r>
      <w:r w:rsidRPr="00BE0A54">
        <w:t>logiska mångfalden och Sanering och åter</w:t>
      </w:r>
      <w:r w:rsidR="006F3CFF" w:rsidRPr="00BE0A54">
        <w:t>ställande av förorenade områden</w:t>
      </w:r>
      <w:r w:rsidRPr="00BE0A54">
        <w:t>. Det förstnämnda föreslås ökas ytterligare i årets budgetproposition.</w:t>
      </w:r>
    </w:p>
    <w:p w:rsidR="004A542A" w:rsidRPr="00BE0A54" w:rsidRDefault="004A542A" w:rsidP="00D95661">
      <w:pPr>
        <w:pStyle w:val="Normaltindrag"/>
      </w:pPr>
      <w:r w:rsidRPr="00BE0A54">
        <w:t>Anslaget Bevarande av den biologiska mångfalden, 34:3, används till flera olika ändamål. Ett stort användningsområde är markinköp för naturvårdsä</w:t>
      </w:r>
      <w:r w:rsidRPr="00BE0A54">
        <w:t>n</w:t>
      </w:r>
      <w:r w:rsidRPr="00BE0A54">
        <w:lastRenderedPageBreak/>
        <w:t>damål. Vi är kritiska till omfattningen av de statliga markköpen som med ett annat begrepp</w:t>
      </w:r>
      <w:r w:rsidR="006F3CFF" w:rsidRPr="00BE0A54">
        <w:t xml:space="preserve"> kan kallas marksocialisering. </w:t>
      </w:r>
      <w:r w:rsidRPr="00BE0A54">
        <w:t>Vi är också kritiska till omfat</w:t>
      </w:r>
      <w:r w:rsidRPr="00BE0A54">
        <w:t>t</w:t>
      </w:r>
      <w:r w:rsidRPr="00BE0A54">
        <w:t>ningen av de stora markavsättningar som nu görs också där inte ägande öve</w:t>
      </w:r>
      <w:r w:rsidRPr="00BE0A54">
        <w:t>r</w:t>
      </w:r>
      <w:r w:rsidRPr="00BE0A54">
        <w:t xml:space="preserve">går till staten. Avsättningarnas påverkan på till exempel virkesförsörjningen bör analyseras. </w:t>
      </w:r>
    </w:p>
    <w:p w:rsidR="004A542A" w:rsidRPr="00BE0A54" w:rsidRDefault="004A542A" w:rsidP="00D95661">
      <w:pPr>
        <w:pStyle w:val="Normaltindrag"/>
      </w:pPr>
      <w:r w:rsidRPr="00BE0A54">
        <w:t>Vi är också kritiska till den modell för markskötsel som nu finns. Av n</w:t>
      </w:r>
      <w:r w:rsidRPr="00BE0A54">
        <w:t>a</w:t>
      </w:r>
      <w:r w:rsidRPr="00BE0A54">
        <w:t>turliga skäl är inte tidigare markägare intresserad att sköta någon annans mark. I många fall förloras därför just det värde som avsågs</w:t>
      </w:r>
      <w:r w:rsidR="006F3CFF" w:rsidRPr="00BE0A54">
        <w:t xml:space="preserve"> att</w:t>
      </w:r>
      <w:r w:rsidRPr="00BE0A54">
        <w:t xml:space="preserve"> skyddas. I stället skulle vi vilja se att avtal om skötsel träffades med nuvarande ägare där denne får ersättning för sitt arbete. På detta sätt säkerställs skötseln utan att marken behöver övergå i statens ägo. Omfattningen av sådana avtal bör öka</w:t>
      </w:r>
      <w:r w:rsidRPr="00BE0A54">
        <w:rPr>
          <w:i/>
        </w:rPr>
        <w:t xml:space="preserve">. </w:t>
      </w:r>
      <w:r w:rsidR="006F3CFF" w:rsidRPr="00BE0A54">
        <w:t>Av anslag 34:</w:t>
      </w:r>
      <w:r w:rsidRPr="00BE0A54">
        <w:t>3 är det viktigt att tillräckliga medel tillförs skötsel av nuvara</w:t>
      </w:r>
      <w:r w:rsidRPr="00BE0A54">
        <w:t>n</w:t>
      </w:r>
      <w:r w:rsidRPr="00BE0A54">
        <w:t>de objekt så att skötseln av dem blir tillfreds</w:t>
      </w:r>
      <w:r w:rsidR="006F3CFF" w:rsidRPr="00BE0A54">
        <w:t>s</w:t>
      </w:r>
      <w:r w:rsidRPr="00BE0A54">
        <w:t>tällande</w:t>
      </w:r>
      <w:r w:rsidRPr="00BE0A54">
        <w:rPr>
          <w:b/>
          <w:i/>
        </w:rPr>
        <w:t>.</w:t>
      </w:r>
      <w:r w:rsidRPr="00BE0A54">
        <w:rPr>
          <w:b/>
        </w:rPr>
        <w:t xml:space="preserve"> </w:t>
      </w:r>
      <w:r w:rsidRPr="00BE0A54">
        <w:t xml:space="preserve"> Medlen skall också användas för ersättning i samband med tecknande av skötselkontrakt enligt ovan. När detta inte går måste staten som ny ägare ha tillräckligt med resurser för att sköta sina åtagande</w:t>
      </w:r>
      <w:r w:rsidR="006F3CFF" w:rsidRPr="00BE0A54">
        <w:t>n</w:t>
      </w:r>
      <w:r w:rsidRPr="00BE0A54">
        <w:t>.</w:t>
      </w:r>
    </w:p>
    <w:p w:rsidR="004A542A" w:rsidRPr="00BE0A54" w:rsidRDefault="004A542A" w:rsidP="007A241A">
      <w:pPr>
        <w:pStyle w:val="Normaltindrag"/>
      </w:pPr>
      <w:r w:rsidRPr="00BE0A54">
        <w:t xml:space="preserve">Vi vill också att en miljöfond inrättas </w:t>
      </w:r>
      <w:r w:rsidR="008D414E" w:rsidRPr="00BE0A54">
        <w:t>framöver</w:t>
      </w:r>
      <w:r w:rsidRPr="00BE0A54">
        <w:t>. Denna skall tillföras 1 mi</w:t>
      </w:r>
      <w:r w:rsidRPr="00BE0A54">
        <w:t>l</w:t>
      </w:r>
      <w:r w:rsidRPr="00BE0A54">
        <w:t xml:space="preserve">jard kronor och vara öppen för donationer. Medlen från fonden skall bland annat användas för att bekosta skötseln av naturvården. </w:t>
      </w:r>
    </w:p>
    <w:p w:rsidR="004A542A" w:rsidRPr="00BE0A54" w:rsidRDefault="006F3CFF" w:rsidP="007A241A">
      <w:pPr>
        <w:pStyle w:val="Normaltindrag"/>
      </w:pPr>
      <w:r w:rsidRPr="00BE0A54">
        <w:t>Medlen på anslag</w:t>
      </w:r>
      <w:r w:rsidR="004A542A" w:rsidRPr="00BE0A54">
        <w:t xml:space="preserve"> 34:4 skall användas för sanering av förorenade områden</w:t>
      </w:r>
      <w:r w:rsidRPr="00BE0A54">
        <w:t>.</w:t>
      </w:r>
      <w:r w:rsidR="004A542A" w:rsidRPr="00BE0A54">
        <w:t xml:space="preserve"> </w:t>
      </w:r>
    </w:p>
    <w:p w:rsidR="004A542A" w:rsidRPr="00BE0A54" w:rsidRDefault="004A542A" w:rsidP="006F3CFF">
      <w:pPr>
        <w:pStyle w:val="Normaltindrag"/>
      </w:pPr>
      <w:r w:rsidRPr="00BE0A54">
        <w:t>Behovet av att återställa förorenad mark är stort men i huvudsak inte akut. Saneringen är en långsiktig åtgärd som måste vägas mot andra angelägna uppgifter. Därför väljer vi en annan takt än regeringen. Nödvändiga priorit</w:t>
      </w:r>
      <w:r w:rsidRPr="00BE0A54">
        <w:t>e</w:t>
      </w:r>
      <w:r w:rsidRPr="00BE0A54">
        <w:t>ringar behöver grundas på vetenskapliga riskb</w:t>
      </w:r>
      <w:r w:rsidR="006F3CFF" w:rsidRPr="00BE0A54">
        <w:t>edömningar av saneringsobje</w:t>
      </w:r>
      <w:r w:rsidR="006F3CFF" w:rsidRPr="00BE0A54">
        <w:t>k</w:t>
      </w:r>
      <w:r w:rsidR="006F3CFF" w:rsidRPr="00BE0A54">
        <w:t>ten</w:t>
      </w:r>
      <w:r w:rsidRPr="00BE0A54">
        <w:t xml:space="preserve">. </w:t>
      </w:r>
    </w:p>
    <w:p w:rsidR="004A542A" w:rsidRPr="00BE0A54" w:rsidRDefault="004A542A" w:rsidP="00653358">
      <w:pPr>
        <w:pStyle w:val="Normaltindrag"/>
        <w:rPr>
          <w:b/>
          <w:i/>
        </w:rPr>
      </w:pPr>
      <w:r w:rsidRPr="00BE0A54">
        <w:t>Medel till SMHI anslås numer under detta utgiftsområde. SMHI har föru</w:t>
      </w:r>
      <w:r w:rsidRPr="00BE0A54">
        <w:t>t</w:t>
      </w:r>
      <w:r w:rsidRPr="00BE0A54">
        <w:t>om vissa myndighetsuppgifter också en omfattande affärsverksamhet. Därtill är en del uppgifter uppdragsfinansierade</w:t>
      </w:r>
      <w:r w:rsidR="006F3CFF" w:rsidRPr="00BE0A54">
        <w:t>.</w:t>
      </w:r>
      <w:r w:rsidRPr="00BE0A54">
        <w:t xml:space="preserve"> Enligt vår mening bör det prövas om inte denna verksamhet kan öka i omfattning och om fler uppgifter kan avgiftsbeläggas. Inte minst bör uppdrag sökas internationellt, vilket förutsät</w:t>
      </w:r>
      <w:r w:rsidRPr="00BE0A54">
        <w:t>t</w:t>
      </w:r>
      <w:r w:rsidRPr="00BE0A54">
        <w:t xml:space="preserve">ningarna för har ökat genom nyinvesteringen i utökad datorkapacitet. </w:t>
      </w:r>
    </w:p>
    <w:p w:rsidR="004A542A" w:rsidRPr="00BE0A54" w:rsidRDefault="004A542A" w:rsidP="00653358">
      <w:pPr>
        <w:pStyle w:val="Normaltindrag"/>
      </w:pPr>
      <w:r w:rsidRPr="00BE0A54">
        <w:t>Medel som har anslagits under 34:1</w:t>
      </w:r>
      <w:r w:rsidR="00234881" w:rsidRPr="00BE0A54">
        <w:t>3</w:t>
      </w:r>
      <w:r w:rsidRPr="00BE0A54">
        <w:t xml:space="preserve"> </w:t>
      </w:r>
      <w:r w:rsidR="006F3CFF" w:rsidRPr="00BE0A54">
        <w:t xml:space="preserve">Stöd </w:t>
      </w:r>
      <w:r w:rsidRPr="00BE0A54">
        <w:t>till klimatinvesteringar har gått till kommunala projekt. Vi kan inte dela regeringens positiva omdömen om effekterna av programmet. Målet är otydligt och effekten av eventuella åtgä</w:t>
      </w:r>
      <w:r w:rsidRPr="00BE0A54">
        <w:t>r</w:t>
      </w:r>
      <w:r w:rsidRPr="00BE0A54">
        <w:t>der omöjlig att verifiera. Trots de positiva lamentationerna i budgeten säger också utvärderingen av den tidigare verksamheten att det är svårt att bedöma om bidragen medfört att den kommit till stånd eller om den genomförts utan bidrag. Mycket talar för att det sistnämnda är fallet.  Investeringar bör alltid ske på marknadsmässiga grunder. I Sverige finns det lång erfarenhet från statligt stödda investeringar som visat sig ha kort livslängd utan tillskott av ytterligare offentliga medel. Statliga bidrag har ingivit falska förhoppningar och varit slöseri med skattemedel. Det gäller i hög grad dessa m</w:t>
      </w:r>
      <w:r w:rsidR="00853861" w:rsidRPr="00BE0A54">
        <w:t xml:space="preserve">edel. Anslaget bör avskaffas. </w:t>
      </w:r>
      <w:r w:rsidRPr="00BE0A54">
        <w:t xml:space="preserve">Självfallet skall inte heller regeringen bemyndigas </w:t>
      </w:r>
      <w:r w:rsidR="006F3CFF" w:rsidRPr="00BE0A54">
        <w:t xml:space="preserve">att </w:t>
      </w:r>
      <w:r w:rsidRPr="00BE0A54">
        <w:t>ingå ekonomiska förpliktelser under detta anslag.</w:t>
      </w:r>
    </w:p>
    <w:p w:rsidR="004A542A" w:rsidRPr="00BE0A54" w:rsidRDefault="004A542A" w:rsidP="00E20E91">
      <w:pPr>
        <w:pStyle w:val="Normaltindrag"/>
      </w:pPr>
      <w:r w:rsidRPr="00BE0A54">
        <w:t xml:space="preserve">Riksdagsmajoriteten har beslutat om nedläggning av flera regementen i Sverige, bland annat i Östersund. Med anledning av detta utlokaliseras viss myndighetsverksamhet från Stockholm. Detta gäller till exempel </w:t>
      </w:r>
      <w:r w:rsidR="006F3CFF" w:rsidRPr="00BE0A54">
        <w:t>Naturvård</w:t>
      </w:r>
      <w:r w:rsidR="006F3CFF" w:rsidRPr="00BE0A54">
        <w:t>s</w:t>
      </w:r>
      <w:r w:rsidR="006F3CFF" w:rsidRPr="00BE0A54">
        <w:t xml:space="preserve">verket </w:t>
      </w:r>
      <w:r w:rsidRPr="00BE0A54">
        <w:t>där 60</w:t>
      </w:r>
      <w:r w:rsidR="000C5E6E" w:rsidRPr="00BE0A54">
        <w:t xml:space="preserve"> </w:t>
      </w:r>
      <w:r w:rsidRPr="00BE0A54">
        <w:t>tjänster flyttas till Östersund. Utflyttning av statliga verk har genomförts tidigare. Effekten är väl känd. Ett kompetenstapp, åtminstone momentant, blir följden. Förvaltningskostnader och kommunikationskostn</w:t>
      </w:r>
      <w:r w:rsidRPr="00BE0A54">
        <w:t>a</w:t>
      </w:r>
      <w:r w:rsidRPr="00BE0A54">
        <w:t xml:space="preserve">der ökar på bekostnad av verksamheten. En uppdelning av en myndighet minskar därtill möjliga synergieffekter. Regeringen föreslår i budgeten att eventuella kostnader för </w:t>
      </w:r>
      <w:r w:rsidR="006F3CFF" w:rsidRPr="00BE0A54">
        <w:t xml:space="preserve">Naturvårdsverkets </w:t>
      </w:r>
      <w:r w:rsidRPr="00BE0A54">
        <w:t>flytt skall finansieras i första hand genom anslagssparande</w:t>
      </w:r>
      <w:r w:rsidR="006F3CFF" w:rsidRPr="00BE0A54">
        <w:t>,</w:t>
      </w:r>
      <w:r w:rsidRPr="00BE0A54">
        <w:t xml:space="preserve"> i andra hand genom ökad anslagskredit. Innebörden är att myndigheten skall låna för att bekosta omlokaliseringen. Detta ökar ytterligare nackdelarna med en flytt. Om anslagssparandet inte räcker måste regeringen återkoma till riksdagen med anvisning om nya medel på tillägg</w:t>
      </w:r>
      <w:r w:rsidRPr="00BE0A54">
        <w:t>s</w:t>
      </w:r>
      <w:r w:rsidRPr="00BE0A54">
        <w:t>budget.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F3CFF" w:rsidRPr="00BE0A54">
        <w:tblPrEx>
          <w:tblCellMar>
            <w:top w:w="0" w:type="dxa"/>
            <w:bottom w:w="0" w:type="dxa"/>
          </w:tblCellMar>
        </w:tblPrEx>
        <w:trPr>
          <w:cantSplit/>
        </w:trPr>
        <w:tc>
          <w:tcPr>
            <w:tcW w:w="3046" w:type="dxa"/>
          </w:tcPr>
          <w:p w:rsidR="006F3CFF" w:rsidRPr="00BE0A54" w:rsidRDefault="006F3CFF" w:rsidP="006F3CFF">
            <w:pPr>
              <w:pStyle w:val="UnderskriftDatum"/>
              <w:spacing w:before="240"/>
            </w:pPr>
            <w:r w:rsidRPr="00BE0A54">
              <w:t>Stockholm den 4 oktober 2005</w:t>
            </w:r>
          </w:p>
        </w:tc>
        <w:tc>
          <w:tcPr>
            <w:tcW w:w="3047" w:type="dxa"/>
          </w:tcPr>
          <w:p w:rsidR="006F3CFF" w:rsidRPr="00BE0A54" w:rsidRDefault="006F3CFF" w:rsidP="006F3CFF">
            <w:pPr>
              <w:pStyle w:val="Underskrifter"/>
              <w:spacing w:before="240"/>
            </w:pPr>
          </w:p>
        </w:tc>
      </w:tr>
      <w:tr w:rsidR="006F3CFF" w:rsidRPr="00BE0A54">
        <w:tblPrEx>
          <w:tblCellMar>
            <w:top w:w="0" w:type="dxa"/>
            <w:bottom w:w="0" w:type="dxa"/>
          </w:tblCellMar>
        </w:tblPrEx>
        <w:trPr>
          <w:cantSplit/>
        </w:trPr>
        <w:tc>
          <w:tcPr>
            <w:tcW w:w="3046" w:type="dxa"/>
          </w:tcPr>
          <w:p w:rsidR="006F3CFF" w:rsidRPr="00BE0A54" w:rsidRDefault="006F3CFF" w:rsidP="006F3CFF">
            <w:pPr>
              <w:pStyle w:val="Underskrifter"/>
            </w:pPr>
            <w:r w:rsidRPr="00BE0A54">
              <w:t>Catharina Elmsäter-Svärd (m)</w:t>
            </w:r>
          </w:p>
        </w:tc>
        <w:tc>
          <w:tcPr>
            <w:tcW w:w="3047" w:type="dxa"/>
          </w:tcPr>
          <w:p w:rsidR="006F3CFF" w:rsidRPr="00BE0A54" w:rsidRDefault="006F3CFF" w:rsidP="006F3CFF">
            <w:pPr>
              <w:pStyle w:val="Underskrifter"/>
            </w:pPr>
          </w:p>
        </w:tc>
      </w:tr>
      <w:tr w:rsidR="006F3CFF" w:rsidRPr="00BE0A54">
        <w:tblPrEx>
          <w:tblCellMar>
            <w:top w:w="0" w:type="dxa"/>
            <w:bottom w:w="0" w:type="dxa"/>
          </w:tblCellMar>
        </w:tblPrEx>
        <w:trPr>
          <w:cantSplit/>
        </w:trPr>
        <w:tc>
          <w:tcPr>
            <w:tcW w:w="3046" w:type="dxa"/>
          </w:tcPr>
          <w:p w:rsidR="006F3CFF" w:rsidRPr="00BE0A54" w:rsidRDefault="006F3CFF" w:rsidP="006F3CFF">
            <w:pPr>
              <w:pStyle w:val="Underskrifter"/>
            </w:pPr>
            <w:r w:rsidRPr="00BE0A54">
              <w:t>Lars Lindblad (m)</w:t>
            </w:r>
          </w:p>
        </w:tc>
        <w:tc>
          <w:tcPr>
            <w:tcW w:w="3047" w:type="dxa"/>
          </w:tcPr>
          <w:p w:rsidR="006F3CFF" w:rsidRPr="00BE0A54" w:rsidRDefault="006F3CFF" w:rsidP="006F3CFF">
            <w:pPr>
              <w:pStyle w:val="Underskrifter"/>
            </w:pPr>
            <w:r w:rsidRPr="00BE0A54">
              <w:t>Bengt-Anders Johansson (m)</w:t>
            </w:r>
          </w:p>
        </w:tc>
      </w:tr>
      <w:tr w:rsidR="006F3CFF" w:rsidRPr="00BE0A54">
        <w:tblPrEx>
          <w:tblCellMar>
            <w:top w:w="0" w:type="dxa"/>
            <w:bottom w:w="0" w:type="dxa"/>
          </w:tblCellMar>
        </w:tblPrEx>
        <w:trPr>
          <w:cantSplit/>
        </w:trPr>
        <w:tc>
          <w:tcPr>
            <w:tcW w:w="3046" w:type="dxa"/>
          </w:tcPr>
          <w:p w:rsidR="006F3CFF" w:rsidRPr="00BE0A54" w:rsidRDefault="006F3CFF" w:rsidP="006F3CFF">
            <w:pPr>
              <w:pStyle w:val="Underskrifter"/>
            </w:pPr>
            <w:r w:rsidRPr="00BE0A54">
              <w:t>Cecilia Widegren (m)</w:t>
            </w:r>
          </w:p>
        </w:tc>
        <w:tc>
          <w:tcPr>
            <w:tcW w:w="3047" w:type="dxa"/>
          </w:tcPr>
          <w:p w:rsidR="006F3CFF" w:rsidRPr="00BE0A54" w:rsidRDefault="006F3CFF" w:rsidP="006F3CFF">
            <w:pPr>
              <w:pStyle w:val="Underskrifter"/>
            </w:pPr>
            <w:r w:rsidRPr="00BE0A54">
              <w:t>Jan-Evert Rådhström (m)</w:t>
            </w:r>
          </w:p>
        </w:tc>
      </w:tr>
      <w:tr w:rsidR="006F3CFF" w:rsidRPr="00BE0A54">
        <w:tblPrEx>
          <w:tblCellMar>
            <w:top w:w="0" w:type="dxa"/>
            <w:bottom w:w="0" w:type="dxa"/>
          </w:tblCellMar>
        </w:tblPrEx>
        <w:trPr>
          <w:cantSplit/>
        </w:trPr>
        <w:tc>
          <w:tcPr>
            <w:tcW w:w="3046" w:type="dxa"/>
          </w:tcPr>
          <w:p w:rsidR="006F3CFF" w:rsidRPr="00BE0A54" w:rsidRDefault="006F3CFF" w:rsidP="006F3CFF">
            <w:pPr>
              <w:pStyle w:val="Underskrifter"/>
            </w:pPr>
            <w:r w:rsidRPr="00BE0A54">
              <w:t>Anders G Högmark (m)</w:t>
            </w:r>
          </w:p>
        </w:tc>
        <w:tc>
          <w:tcPr>
            <w:tcW w:w="3047" w:type="dxa"/>
          </w:tcPr>
          <w:p w:rsidR="006F3CFF" w:rsidRPr="00BE0A54" w:rsidRDefault="006F3CFF" w:rsidP="006F3CFF">
            <w:pPr>
              <w:pStyle w:val="Underskrifter"/>
            </w:pPr>
            <w:r w:rsidRPr="00BE0A54">
              <w:t>Ola Sundell (m)</w:t>
            </w:r>
          </w:p>
        </w:tc>
      </w:tr>
      <w:tr w:rsidR="006F3CFF" w:rsidRPr="00BE0A54">
        <w:tblPrEx>
          <w:tblCellMar>
            <w:top w:w="0" w:type="dxa"/>
            <w:bottom w:w="0" w:type="dxa"/>
          </w:tblCellMar>
        </w:tblPrEx>
        <w:trPr>
          <w:cantSplit/>
        </w:trPr>
        <w:tc>
          <w:tcPr>
            <w:tcW w:w="3046" w:type="dxa"/>
          </w:tcPr>
          <w:p w:rsidR="006F3CFF" w:rsidRPr="00BE0A54" w:rsidRDefault="006F3CFF" w:rsidP="006F3CFF">
            <w:pPr>
              <w:pStyle w:val="Underskrifter"/>
            </w:pPr>
            <w:r w:rsidRPr="00BE0A54">
              <w:t>Jeppe Johnsson (m)</w:t>
            </w:r>
          </w:p>
        </w:tc>
        <w:tc>
          <w:tcPr>
            <w:tcW w:w="3047" w:type="dxa"/>
          </w:tcPr>
          <w:p w:rsidR="006F3CFF" w:rsidRPr="00BE0A54" w:rsidRDefault="006F3CFF" w:rsidP="006F3CFF">
            <w:pPr>
              <w:pStyle w:val="Underskrifter"/>
            </w:pPr>
          </w:p>
        </w:tc>
      </w:tr>
    </w:tbl>
    <w:p w:rsidR="00E84F25" w:rsidRPr="00BE0A54" w:rsidRDefault="00E84F25" w:rsidP="006F3CFF">
      <w:pPr>
        <w:pStyle w:val="Normaltindrag"/>
      </w:pPr>
    </w:p>
    <w:sectPr w:rsidR="00E84F25" w:rsidRPr="00BE0A54" w:rsidSect="006F3C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6664" w:rsidRPr="00BE0A54" w:rsidRDefault="00BC6664">
      <w:r w:rsidRPr="00BE0A54">
        <w:separator/>
      </w:r>
    </w:p>
  </w:endnote>
  <w:endnote w:type="continuationSeparator" w:id="0">
    <w:p w:rsidR="00BC6664" w:rsidRPr="00BE0A54" w:rsidRDefault="00BC6664">
      <w:r w:rsidRPr="00BE0A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E24" w:rsidRPr="00BE0A54" w:rsidRDefault="00BE0A54" w:rsidP="006F3CFF">
    <w:pPr>
      <w:pStyle w:val="Sidfot"/>
    </w:pPr>
    <w:r w:rsidRPr="00BE0A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86846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E24" w:rsidRDefault="00461E24">
                          <w:pPr>
                            <w:pStyle w:val="NormalS5sidnrV"/>
                          </w:pPr>
                          <w:r>
                            <w:fldChar w:fldCharType="begin"/>
                          </w:r>
                          <w:r>
                            <w:instrText xml:space="preserve"> PAGE *\charformat</w:instrText>
                          </w:r>
                          <w:r>
                            <w:fldChar w:fldCharType="separate"/>
                          </w:r>
                          <w:r w:rsidR="00642DF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1E24" w:rsidRDefault="00461E24">
                    <w:pPr>
                      <w:pStyle w:val="NormalS5sidnrV"/>
                    </w:pPr>
                    <w:r>
                      <w:fldChar w:fldCharType="begin"/>
                    </w:r>
                    <w:r>
                      <w:instrText xml:space="preserve"> PAGE *\charformat</w:instrText>
                    </w:r>
                    <w:r>
                      <w:fldChar w:fldCharType="separate"/>
                    </w:r>
                    <w:r w:rsidR="00642DF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E24" w:rsidRPr="00BE0A54" w:rsidRDefault="00BE0A54" w:rsidP="006F3CFF">
    <w:pPr>
      <w:pStyle w:val="Sidfot"/>
    </w:pPr>
    <w:r w:rsidRPr="00BE0A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7762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E24" w:rsidRDefault="00461E24">
                          <w:pPr>
                            <w:pStyle w:val="NormalS5sidnrH"/>
                            <w:ind w:right="0"/>
                          </w:pPr>
                          <w:r>
                            <w:fldChar w:fldCharType="begin"/>
                          </w:r>
                          <w:r>
                            <w:instrText xml:space="preserve"> PAGE *\charformat</w:instrText>
                          </w:r>
                          <w:r>
                            <w:fldChar w:fldCharType="separate"/>
                          </w:r>
                          <w:r w:rsidR="00642DF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1E24" w:rsidRDefault="00461E24">
                    <w:pPr>
                      <w:pStyle w:val="NormalS5sidnrH"/>
                      <w:ind w:right="0"/>
                    </w:pPr>
                    <w:r>
                      <w:fldChar w:fldCharType="begin"/>
                    </w:r>
                    <w:r>
                      <w:instrText xml:space="preserve"> PAGE *\charformat</w:instrText>
                    </w:r>
                    <w:r>
                      <w:fldChar w:fldCharType="separate"/>
                    </w:r>
                    <w:r w:rsidR="00642DF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E24" w:rsidRPr="00BE0A54" w:rsidRDefault="00BE0A54" w:rsidP="006F3CFF">
    <w:pPr>
      <w:pStyle w:val="Sidfot"/>
    </w:pPr>
    <w:r w:rsidRPr="00BE0A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7598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E24" w:rsidRDefault="00461E24">
                          <w:pPr>
                            <w:pStyle w:val="NormalS5sidnrH"/>
                            <w:ind w:right="0"/>
                          </w:pPr>
                          <w:r>
                            <w:fldChar w:fldCharType="begin"/>
                          </w:r>
                          <w:r>
                            <w:instrText xml:space="preserve"> PAGE *\charformat</w:instrText>
                          </w:r>
                          <w:r>
                            <w:fldChar w:fldCharType="separate"/>
                          </w:r>
                          <w:r w:rsidR="00642DF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1E24" w:rsidRDefault="00461E24">
                    <w:pPr>
                      <w:pStyle w:val="NormalS5sidnrH"/>
                      <w:ind w:right="0"/>
                    </w:pPr>
                    <w:r>
                      <w:fldChar w:fldCharType="begin"/>
                    </w:r>
                    <w:r>
                      <w:instrText xml:space="preserve"> PAGE *\charformat</w:instrText>
                    </w:r>
                    <w:r>
                      <w:fldChar w:fldCharType="separate"/>
                    </w:r>
                    <w:r w:rsidR="00642DF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6664" w:rsidRPr="00BE0A54" w:rsidRDefault="00BC6664">
      <w:r w:rsidRPr="00BE0A54">
        <w:separator/>
      </w:r>
    </w:p>
  </w:footnote>
  <w:footnote w:type="continuationSeparator" w:id="0">
    <w:p w:rsidR="00BC6664" w:rsidRPr="00BE0A54" w:rsidRDefault="00BC6664">
      <w:r w:rsidRPr="00BE0A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E24" w:rsidRPr="00BE0A54" w:rsidRDefault="00BE0A54" w:rsidP="006F3CFF">
    <w:pPr>
      <w:pStyle w:val="Sidhuvud"/>
    </w:pPr>
    <w:r w:rsidRPr="00BE0A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096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E24" w:rsidRDefault="00461E24">
                          <w:pPr>
                            <w:pStyle w:val="KantRubrikS5V"/>
                          </w:pPr>
                          <w:r>
                            <w:fldChar w:fldCharType="begin"/>
                          </w:r>
                          <w:r>
                            <w:instrText xml:space="preserve"> DOCPROPERTY "YearUser" *\charformat </w:instrText>
                          </w:r>
                          <w:r>
                            <w:fldChar w:fldCharType="separate"/>
                          </w:r>
                          <w:r w:rsidR="00642DFD">
                            <w:t>2005/06</w:t>
                          </w:r>
                          <w:r>
                            <w:fldChar w:fldCharType="end"/>
                          </w:r>
                          <w:r>
                            <w:t>:</w:t>
                          </w:r>
                          <w:r>
                            <w:fldChar w:fldCharType="begin"/>
                          </w:r>
                          <w:r>
                            <w:instrText xml:space="preserve"> DOCPROPERTY "Motionsnummer" *\charformat </w:instrText>
                          </w:r>
                          <w:r>
                            <w:fldChar w:fldCharType="separate"/>
                          </w:r>
                          <w:r w:rsidR="00642DFD">
                            <w:t>MJ591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1E24" w:rsidRDefault="00461E24">
                    <w:pPr>
                      <w:pStyle w:val="KantRubrikS5V"/>
                    </w:pPr>
                    <w:r>
                      <w:fldChar w:fldCharType="begin"/>
                    </w:r>
                    <w:r>
                      <w:instrText xml:space="preserve"> DOCPROPERTY "YearUser" *\charformat </w:instrText>
                    </w:r>
                    <w:r>
                      <w:fldChar w:fldCharType="separate"/>
                    </w:r>
                    <w:r w:rsidR="00642DFD">
                      <w:t>2005/06</w:t>
                    </w:r>
                    <w:r>
                      <w:fldChar w:fldCharType="end"/>
                    </w:r>
                    <w:r>
                      <w:t>:</w:t>
                    </w:r>
                    <w:r>
                      <w:fldChar w:fldCharType="begin"/>
                    </w:r>
                    <w:r>
                      <w:instrText xml:space="preserve"> DOCPROPERTY "Motionsnummer" *\charformat </w:instrText>
                    </w:r>
                    <w:r>
                      <w:fldChar w:fldCharType="separate"/>
                    </w:r>
                    <w:r w:rsidR="00642DFD">
                      <w:t>MJ591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E24" w:rsidRPr="00BE0A54" w:rsidRDefault="00BE0A54" w:rsidP="006F3CFF">
    <w:pPr>
      <w:pStyle w:val="Sidhuvud"/>
    </w:pPr>
    <w:r w:rsidRPr="00BE0A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89083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E24" w:rsidRDefault="00461E24">
                          <w:pPr>
                            <w:pStyle w:val="KantRubrikS5H"/>
                            <w:ind w:right="0"/>
                          </w:pPr>
                          <w:r>
                            <w:fldChar w:fldCharType="begin"/>
                          </w:r>
                          <w:r>
                            <w:instrText xml:space="preserve"> DOCPROPERTY "YearUser" *\charformat </w:instrText>
                          </w:r>
                          <w:r>
                            <w:fldChar w:fldCharType="separate"/>
                          </w:r>
                          <w:r w:rsidR="00642DFD">
                            <w:t>2005/06</w:t>
                          </w:r>
                          <w:r>
                            <w:fldChar w:fldCharType="end"/>
                          </w:r>
                          <w:r>
                            <w:t>:</w:t>
                          </w:r>
                          <w:r>
                            <w:fldChar w:fldCharType="begin"/>
                          </w:r>
                          <w:r>
                            <w:instrText xml:space="preserve"> DOCPROPERTY "Motionsnummer" *\charformat </w:instrText>
                          </w:r>
                          <w:r>
                            <w:fldChar w:fldCharType="separate"/>
                          </w:r>
                          <w:r w:rsidR="00642DFD">
                            <w:t>MJ591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1E24" w:rsidRDefault="00461E24">
                    <w:pPr>
                      <w:pStyle w:val="KantRubrikS5H"/>
                      <w:ind w:right="0"/>
                    </w:pPr>
                    <w:r>
                      <w:fldChar w:fldCharType="begin"/>
                    </w:r>
                    <w:r>
                      <w:instrText xml:space="preserve"> DOCPROPERTY "YearUser" *\charformat </w:instrText>
                    </w:r>
                    <w:r>
                      <w:fldChar w:fldCharType="separate"/>
                    </w:r>
                    <w:r w:rsidR="00642DFD">
                      <w:t>2005/06</w:t>
                    </w:r>
                    <w:r>
                      <w:fldChar w:fldCharType="end"/>
                    </w:r>
                    <w:r>
                      <w:t>:</w:t>
                    </w:r>
                    <w:r>
                      <w:fldChar w:fldCharType="begin"/>
                    </w:r>
                    <w:r>
                      <w:instrText xml:space="preserve"> DOCPROPERTY "Motionsnummer" *\charformat </w:instrText>
                    </w:r>
                    <w:r>
                      <w:fldChar w:fldCharType="separate"/>
                    </w:r>
                    <w:r w:rsidR="00642DFD">
                      <w:t>MJ591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E24" w:rsidRPr="00BE0A54" w:rsidRDefault="00461E24">
    <w:pPr>
      <w:pStyle w:val="FSHNormal"/>
      <w:tabs>
        <w:tab w:val="right" w:pos="5840"/>
      </w:tabs>
    </w:pPr>
    <w:r w:rsidRPr="00BE0A54">
      <w:br/>
    </w:r>
    <w:r w:rsidRPr="00BE0A54">
      <w:fldChar w:fldCharType="begin" w:fldLock="1"/>
    </w:r>
    <w:r w:rsidRPr="00BE0A54">
      <w:instrText xml:space="preserve"> DOCPROPERTY</w:instrText>
    </w:r>
    <w:r w:rsidRPr="00BE0A54">
      <w:rPr>
        <w:sz w:val="18"/>
      </w:rPr>
      <w:instrText xml:space="preserve"> "YearUser" *\charformat </w:instrText>
    </w:r>
    <w:r w:rsidRPr="00BE0A54">
      <w:fldChar w:fldCharType="separate"/>
    </w:r>
    <w:r w:rsidR="00642DFD" w:rsidRPr="00BE0A54">
      <w:t>2005/06</w:t>
    </w:r>
    <w:r w:rsidRPr="00BE0A54">
      <w:fldChar w:fldCharType="end"/>
    </w:r>
    <w:r w:rsidRPr="00BE0A54">
      <w:t xml:space="preserve"> </w:t>
    </w:r>
    <w:r w:rsidRPr="00BE0A54">
      <w:tab/>
      <w:t xml:space="preserve">mnr: </w:t>
    </w:r>
    <w:r w:rsidRPr="00BE0A54">
      <w:fldChar w:fldCharType="begin" w:fldLock="1"/>
    </w:r>
    <w:r w:rsidRPr="00BE0A54">
      <w:instrText xml:space="preserve"> DOCPROPERTY</w:instrText>
    </w:r>
    <w:r w:rsidRPr="00BE0A54">
      <w:rPr>
        <w:sz w:val="18"/>
      </w:rPr>
      <w:instrText xml:space="preserve"> "Motionsnummer" *\charformat </w:instrText>
    </w:r>
    <w:r w:rsidRPr="00BE0A54">
      <w:fldChar w:fldCharType="separate"/>
    </w:r>
    <w:r w:rsidR="00642DFD" w:rsidRPr="00BE0A54">
      <w:t>MJ591</w:t>
    </w:r>
    <w:r w:rsidRPr="00BE0A54">
      <w:fldChar w:fldCharType="end"/>
    </w:r>
    <w:r w:rsidRPr="00BE0A54">
      <w:br/>
    </w:r>
    <w:r w:rsidRPr="00BE0A54">
      <w:fldChar w:fldCharType="begin" w:fldLock="1"/>
    </w:r>
    <w:r w:rsidRPr="00BE0A54">
      <w:instrText xml:space="preserve"> DOCPROPERTY</w:instrText>
    </w:r>
    <w:r w:rsidRPr="00BE0A54">
      <w:rPr>
        <w:sz w:val="18"/>
      </w:rPr>
      <w:instrText xml:space="preserve"> "Samling" *\charformat </w:instrText>
    </w:r>
    <w:r w:rsidRPr="00BE0A54">
      <w:fldChar w:fldCharType="end"/>
    </w:r>
    <w:r w:rsidRPr="00BE0A54">
      <w:tab/>
      <w:t xml:space="preserve">pnr: </w:t>
    </w:r>
    <w:r w:rsidRPr="00BE0A54">
      <w:fldChar w:fldCharType="begin" w:fldLock="1"/>
    </w:r>
    <w:r w:rsidRPr="00BE0A54">
      <w:instrText xml:space="preserve"> DOCPROPERTY</w:instrText>
    </w:r>
    <w:r w:rsidRPr="00BE0A54">
      <w:rPr>
        <w:sz w:val="18"/>
      </w:rPr>
      <w:instrText xml:space="preserve"> "Partinummer" *\charformat </w:instrText>
    </w:r>
    <w:r w:rsidRPr="00BE0A54">
      <w:fldChar w:fldCharType="separate"/>
    </w:r>
    <w:r w:rsidR="00642DFD" w:rsidRPr="00BE0A54">
      <w:t>m124</w:t>
    </w:r>
    <w:r w:rsidRPr="00BE0A54">
      <w:fldChar w:fldCharType="end"/>
    </w:r>
  </w:p>
  <w:p w:rsidR="00461E24" w:rsidRPr="00BE0A54" w:rsidRDefault="00461E24">
    <w:pPr>
      <w:pStyle w:val="FSHRub1"/>
    </w:pPr>
    <w:r w:rsidRPr="00BE0A54">
      <w:t>Motion till riksdagen</w:t>
    </w:r>
    <w:r w:rsidRPr="00BE0A54">
      <w:br/>
    </w:r>
    <w:r w:rsidRPr="00BE0A54">
      <w:fldChar w:fldCharType="begin" w:fldLock="1"/>
    </w:r>
    <w:r w:rsidRPr="00BE0A54">
      <w:instrText xml:space="preserve"> DOCPROPERTY "YearUser" *\charformat </w:instrText>
    </w:r>
    <w:r w:rsidRPr="00BE0A54">
      <w:fldChar w:fldCharType="separate"/>
    </w:r>
    <w:r w:rsidR="00642DFD" w:rsidRPr="00BE0A54">
      <w:t>2005/06</w:t>
    </w:r>
    <w:r w:rsidRPr="00BE0A54">
      <w:fldChar w:fldCharType="end"/>
    </w:r>
    <w:r w:rsidRPr="00BE0A54">
      <w:t>:</w:t>
    </w:r>
    <w:r w:rsidRPr="00BE0A54">
      <w:fldChar w:fldCharType="begin" w:fldLock="1"/>
    </w:r>
    <w:r w:rsidRPr="00BE0A54">
      <w:instrText xml:space="preserve"> DOCPROPERTY "Motionsnummer" *\charformat </w:instrText>
    </w:r>
    <w:r w:rsidRPr="00BE0A54">
      <w:fldChar w:fldCharType="separate"/>
    </w:r>
    <w:r w:rsidR="00642DFD" w:rsidRPr="00BE0A54">
      <w:t>MJ591</w:t>
    </w:r>
    <w:r w:rsidRPr="00BE0A54">
      <w:fldChar w:fldCharType="end"/>
    </w:r>
  </w:p>
  <w:p w:rsidR="00461E24" w:rsidRPr="00BE0A54" w:rsidRDefault="00461E24">
    <w:pPr>
      <w:pStyle w:val="FSHNormalS5"/>
    </w:pPr>
    <w:r w:rsidRPr="00BE0A54">
      <w:fldChar w:fldCharType="begin" w:fldLock="1"/>
    </w:r>
    <w:r w:rsidRPr="00BE0A54">
      <w:instrText xml:space="preserve"> DOCPROPERTY "MotionarText" *\charformat </w:instrText>
    </w:r>
    <w:r w:rsidRPr="00BE0A54">
      <w:fldChar w:fldCharType="separate"/>
    </w:r>
    <w:r w:rsidR="00642DFD" w:rsidRPr="00BE0A54">
      <w:t>av Catharina Elmsäter-Svärd m.fl. (m)</w:t>
    </w:r>
    <w:r w:rsidRPr="00BE0A54">
      <w:fldChar w:fldCharType="end"/>
    </w:r>
    <w:r w:rsidRPr="00BE0A54">
      <w:br/>
    </w:r>
    <w:r w:rsidRPr="00BE0A54">
      <w:fldChar w:fldCharType="begin" w:fldLock="1"/>
    </w:r>
    <w:r w:rsidRPr="00BE0A54">
      <w:instrText xml:space="preserve"> DOCPROPERTY "SvarFrasKort" *\charformat </w:instrText>
    </w:r>
    <w:r w:rsidRPr="00BE0A54">
      <w:fldChar w:fldCharType="end"/>
    </w:r>
  </w:p>
  <w:p w:rsidR="00461E24" w:rsidRPr="00BE0A54" w:rsidRDefault="00461E24">
    <w:pPr>
      <w:pStyle w:val="FSHTitel"/>
    </w:pPr>
    <w:r w:rsidRPr="00BE0A54">
      <w:fldChar w:fldCharType="begin" w:fldLock="1"/>
    </w:r>
    <w:r w:rsidRPr="00BE0A54">
      <w:instrText xml:space="preserve"> DOCPROPERTY</w:instrText>
    </w:r>
    <w:r w:rsidRPr="00BE0A54">
      <w:rPr>
        <w:sz w:val="18"/>
      </w:rPr>
      <w:instrText xml:space="preserve"> "RubrikSvar" *\charformat </w:instrText>
    </w:r>
    <w:r w:rsidRPr="00BE0A54">
      <w:fldChar w:fldCharType="separate"/>
    </w:r>
    <w:r w:rsidR="00642DFD" w:rsidRPr="00BE0A54">
      <w:t>Utgiftsområde 20 Allmän natur- och miljövård</w:t>
    </w:r>
    <w:r w:rsidRPr="00BE0A54">
      <w:fldChar w:fldCharType="end"/>
    </w:r>
  </w:p>
  <w:p w:rsidR="00461E24" w:rsidRPr="00BE0A54" w:rsidRDefault="00461E24" w:rsidP="006F3CF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2F0D5A"/>
    <w:multiLevelType w:val="multilevel"/>
    <w:tmpl w:val="64E403F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D89725C"/>
    <w:multiLevelType w:val="multilevel"/>
    <w:tmpl w:val="9972175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4813935"/>
    <w:multiLevelType w:val="hybridMultilevel"/>
    <w:tmpl w:val="C82CF144"/>
    <w:lvl w:ilvl="0" w:tplc="430A443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17283220">
    <w:abstractNumId w:val="16"/>
  </w:num>
  <w:num w:numId="2" w16cid:durableId="1087312608">
    <w:abstractNumId w:val="11"/>
  </w:num>
  <w:num w:numId="3" w16cid:durableId="1028726095">
    <w:abstractNumId w:val="13"/>
  </w:num>
  <w:num w:numId="4" w16cid:durableId="658533729">
    <w:abstractNumId w:val="15"/>
  </w:num>
  <w:num w:numId="5" w16cid:durableId="2138797842">
    <w:abstractNumId w:val="8"/>
  </w:num>
  <w:num w:numId="6" w16cid:durableId="1047215390">
    <w:abstractNumId w:val="3"/>
  </w:num>
  <w:num w:numId="7" w16cid:durableId="1788620571">
    <w:abstractNumId w:val="2"/>
  </w:num>
  <w:num w:numId="8" w16cid:durableId="1604923377">
    <w:abstractNumId w:val="1"/>
  </w:num>
  <w:num w:numId="9" w16cid:durableId="1731272192">
    <w:abstractNumId w:val="0"/>
  </w:num>
  <w:num w:numId="10" w16cid:durableId="755632707">
    <w:abstractNumId w:val="9"/>
  </w:num>
  <w:num w:numId="11" w16cid:durableId="1866138012">
    <w:abstractNumId w:val="7"/>
  </w:num>
  <w:num w:numId="12" w16cid:durableId="1557013899">
    <w:abstractNumId w:val="6"/>
  </w:num>
  <w:num w:numId="13" w16cid:durableId="1834563071">
    <w:abstractNumId w:val="5"/>
  </w:num>
  <w:num w:numId="14" w16cid:durableId="595988893">
    <w:abstractNumId w:val="4"/>
  </w:num>
  <w:num w:numId="15" w16cid:durableId="1419255890">
    <w:abstractNumId w:val="12"/>
  </w:num>
  <w:num w:numId="16" w16cid:durableId="465852961">
    <w:abstractNumId w:val="14"/>
  </w:num>
  <w:num w:numId="17" w16cid:durableId="16928005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14043C"/>
    <w:rsid w:val="000050BA"/>
    <w:rsid w:val="0004381F"/>
    <w:rsid w:val="00064BC3"/>
    <w:rsid w:val="00066775"/>
    <w:rsid w:val="00072FB9"/>
    <w:rsid w:val="000C5E6E"/>
    <w:rsid w:val="00100531"/>
    <w:rsid w:val="0014043C"/>
    <w:rsid w:val="001652E2"/>
    <w:rsid w:val="00201DFB"/>
    <w:rsid w:val="00204A63"/>
    <w:rsid w:val="00212FF1"/>
    <w:rsid w:val="00230193"/>
    <w:rsid w:val="00234881"/>
    <w:rsid w:val="0025068A"/>
    <w:rsid w:val="002818D3"/>
    <w:rsid w:val="00294213"/>
    <w:rsid w:val="002D11A8"/>
    <w:rsid w:val="00334515"/>
    <w:rsid w:val="00445271"/>
    <w:rsid w:val="00461E24"/>
    <w:rsid w:val="00477245"/>
    <w:rsid w:val="004A0504"/>
    <w:rsid w:val="004A542A"/>
    <w:rsid w:val="004E38D9"/>
    <w:rsid w:val="005B145B"/>
    <w:rsid w:val="00642DFD"/>
    <w:rsid w:val="00653358"/>
    <w:rsid w:val="006F3CFF"/>
    <w:rsid w:val="00740D6D"/>
    <w:rsid w:val="00772E90"/>
    <w:rsid w:val="007819B2"/>
    <w:rsid w:val="00794149"/>
    <w:rsid w:val="007A241A"/>
    <w:rsid w:val="007B67A7"/>
    <w:rsid w:val="007C6092"/>
    <w:rsid w:val="00853861"/>
    <w:rsid w:val="00862F9B"/>
    <w:rsid w:val="008D414E"/>
    <w:rsid w:val="008E03F8"/>
    <w:rsid w:val="00A053C6"/>
    <w:rsid w:val="00AC3AC3"/>
    <w:rsid w:val="00AD6873"/>
    <w:rsid w:val="00B13BF0"/>
    <w:rsid w:val="00B67E79"/>
    <w:rsid w:val="00BC6664"/>
    <w:rsid w:val="00BE0A54"/>
    <w:rsid w:val="00C1285C"/>
    <w:rsid w:val="00C27B7D"/>
    <w:rsid w:val="00CF7A43"/>
    <w:rsid w:val="00D1174F"/>
    <w:rsid w:val="00D94B25"/>
    <w:rsid w:val="00D95661"/>
    <w:rsid w:val="00DC6C70"/>
    <w:rsid w:val="00E20E91"/>
    <w:rsid w:val="00E22893"/>
    <w:rsid w:val="00E360DE"/>
    <w:rsid w:val="00E40DCF"/>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37EAB4-807E-4E09-96DC-6C692336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6F3CFF"/>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F3CFF"/>
    <w:pPr>
      <w:numPr>
        <w:ilvl w:val="1"/>
      </w:numPr>
      <w:spacing w:before="500" w:line="250" w:lineRule="exact"/>
      <w:outlineLvl w:val="1"/>
    </w:pPr>
    <w:rPr>
      <w:sz w:val="27"/>
    </w:rPr>
  </w:style>
  <w:style w:type="paragraph" w:styleId="Rubrik3">
    <w:name w:val="heading 3"/>
    <w:aliases w:val="Mellanrubrik"/>
    <w:basedOn w:val="Rubrik2"/>
    <w:next w:val="Normal"/>
    <w:qFormat/>
    <w:rsid w:val="006F3CFF"/>
    <w:pPr>
      <w:numPr>
        <w:ilvl w:val="2"/>
      </w:numPr>
      <w:spacing w:before="250" w:after="0"/>
      <w:outlineLvl w:val="2"/>
    </w:pPr>
    <w:rPr>
      <w:b/>
      <w:sz w:val="21"/>
    </w:rPr>
  </w:style>
  <w:style w:type="paragraph" w:styleId="Rubrik4">
    <w:name w:val="heading 4"/>
    <w:aliases w:val="KursivRubrik"/>
    <w:basedOn w:val="Rubrik3"/>
    <w:next w:val="Normal"/>
    <w:qFormat/>
    <w:rsid w:val="006F3CFF"/>
    <w:pPr>
      <w:numPr>
        <w:ilvl w:val="3"/>
      </w:numPr>
      <w:outlineLvl w:val="3"/>
    </w:pPr>
    <w:rPr>
      <w:b w:val="0"/>
      <w:i/>
    </w:rPr>
  </w:style>
  <w:style w:type="paragraph" w:styleId="Rubrik5">
    <w:name w:val="heading 5"/>
    <w:aliases w:val="PackadFetRubrik,PackadKursivRubrik"/>
    <w:basedOn w:val="Rubrik4"/>
    <w:next w:val="Normal"/>
    <w:qFormat/>
    <w:rsid w:val="006F3CFF"/>
    <w:pPr>
      <w:numPr>
        <w:ilvl w:val="4"/>
      </w:numPr>
      <w:tabs>
        <w:tab w:val="clear" w:pos="1021"/>
      </w:tabs>
      <w:spacing w:before="125"/>
      <w:outlineLvl w:val="4"/>
    </w:pPr>
    <w:rPr>
      <w:i w:val="0"/>
      <w:sz w:val="19"/>
    </w:rPr>
  </w:style>
  <w:style w:type="paragraph" w:styleId="Rubrik6">
    <w:name w:val="heading 6"/>
    <w:basedOn w:val="Rubrik5"/>
    <w:next w:val="Normal"/>
    <w:qFormat/>
    <w:rsid w:val="006F3CFF"/>
    <w:pPr>
      <w:numPr>
        <w:ilvl w:val="5"/>
      </w:numPr>
      <w:spacing w:before="50" w:line="200" w:lineRule="exact"/>
      <w:outlineLvl w:val="5"/>
    </w:pPr>
    <w:rPr>
      <w:caps/>
      <w:sz w:val="14"/>
    </w:rPr>
  </w:style>
  <w:style w:type="paragraph" w:styleId="Rubrik7">
    <w:name w:val="heading 7"/>
    <w:basedOn w:val="Rubrik6"/>
    <w:next w:val="Normal"/>
    <w:qFormat/>
    <w:rsid w:val="006F3CFF"/>
    <w:pPr>
      <w:numPr>
        <w:ilvl w:val="6"/>
      </w:numPr>
      <w:spacing w:before="0"/>
      <w:outlineLvl w:val="6"/>
    </w:pPr>
  </w:style>
  <w:style w:type="paragraph" w:styleId="Rubrik8">
    <w:name w:val="heading 8"/>
    <w:basedOn w:val="Rubrik7"/>
    <w:next w:val="Normal"/>
    <w:qFormat/>
    <w:rsid w:val="006F3CFF"/>
    <w:pPr>
      <w:numPr>
        <w:ilvl w:val="7"/>
      </w:numPr>
      <w:outlineLvl w:val="7"/>
    </w:pPr>
  </w:style>
  <w:style w:type="paragraph" w:styleId="Rubrik9">
    <w:name w:val="heading 9"/>
    <w:basedOn w:val="Rubrik8"/>
    <w:next w:val="Normal"/>
    <w:qFormat/>
    <w:rsid w:val="006F3CFF"/>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frsta">
    <w:name w:val="Normal första"/>
    <w:basedOn w:val="Normal"/>
    <w:next w:val="Normal"/>
    <w:rsid w:val="004A542A"/>
    <w:pPr>
      <w:spacing w:before="120" w:line="240" w:lineRule="auto"/>
    </w:pPr>
  </w:style>
  <w:style w:type="paragraph" w:customStyle="1" w:styleId="Hemstlrubrik">
    <w:name w:val="Hemstl_rubrik"/>
    <w:basedOn w:val="Rubrik1"/>
    <w:next w:val="Normal"/>
    <w:rsid w:val="006F3CF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F3CFF"/>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840</Words>
  <Characters>5024</Characters>
  <Application>Microsoft Office Word</Application>
  <DocSecurity>4</DocSecurity>
  <Lines>111</Lines>
  <Paragraphs>48</Paragraphs>
  <ScaleCrop>false</ScaleCrop>
  <HeadingPairs>
    <vt:vector size="2" baseType="variant">
      <vt:variant>
        <vt:lpstr>Rubrik</vt:lpstr>
      </vt:variant>
      <vt:variant>
        <vt:i4>1</vt:i4>
      </vt:variant>
    </vt:vector>
  </HeadingPairs>
  <TitlesOfParts>
    <vt:vector size="1" baseType="lpstr">
      <vt:lpstr>MJ591</vt:lpstr>
    </vt:vector>
  </TitlesOfParts>
  <Company>Riksdagen</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MJ591</dc:title>
  <dc:subject>MJ591</dc:subject>
  <dc:creator>Riksdagen</dc:creator>
  <cp:keywords>Riksdagen</cp:keywords>
  <dc:description/>
  <cp:lastModifiedBy>Lars Brink</cp:lastModifiedBy>
  <cp:revision>2</cp:revision>
  <cp:lastPrinted>2006-01-17T09:40:00Z</cp:lastPrinted>
  <dcterms:created xsi:type="dcterms:W3CDTF">2025-12-16T20:18:00Z</dcterms:created>
  <dcterms:modified xsi:type="dcterms:W3CDTF">2025-12-16T20:18:00Z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20 Allmän natur- och miljövård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20 Allmän natur- och miljövård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Catharina Elmsäter-Svärd m.fl. (m)</vt:lpwstr>
  </property>
  <property fmtid="{D5CDD505-2E9C-101B-9397-08002B2CF9AE}" pid="26" name="MotionarLista">
    <vt:lpwstr>Elmsäter-Svärd, Catharina (m)\Lindblad, Lars (m)\Johansson, Bengt-Anders (m)\Widegren, Cecilia (m)\Rådhström, Jan-Evert (m)\Högmark, Anders G (m)\Sundell, Ola (m)\Johnsson,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Elmsäter-Svärd (m), Lars Lindblad (m), Bengt-Anders Johansson (m), Cecilia Widegren (m), Jan-Evert Rådhström (m), Anders G Högmark (m), Ola Sundell (m), 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MJ591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gunilla.mattsson@riksdagen.se</vt:lpwstr>
  </property>
  <property fmtid="{D5CDD505-2E9C-101B-9397-08002B2CF9AE}" pid="45" name="ReservUID">
    <vt:lpwstr>birgitta lundblad</vt:lpwstr>
  </property>
  <property fmtid="{D5CDD505-2E9C-101B-9397-08002B2CF9AE}" pid="46" name="MotionID">
    <vt:lpwstr>20052006000000000109000001240075</vt:lpwstr>
  </property>
  <property fmtid="{D5CDD505-2E9C-101B-9397-08002B2CF9AE}" pid="47" name="datum">
    <vt:lpwstr>051004</vt:lpwstr>
  </property>
  <property fmtid="{D5CDD505-2E9C-101B-9397-08002B2CF9AE}" pid="48" name="avsändar-e-post">
    <vt:lpwstr>gunilla.mattsson@riksdagen.se</vt:lpwstr>
  </property>
  <property fmtid="{D5CDD505-2E9C-101B-9397-08002B2CF9AE}" pid="49" name="id">
    <vt:lpwstr>20052006000000000109000001240075</vt:lpwstr>
  </property>
  <property fmtid="{D5CDD505-2E9C-101B-9397-08002B2CF9AE}" pid="50" name="nummer">
    <vt:lpwstr>591</vt:lpwstr>
  </property>
  <property fmtid="{D5CDD505-2E9C-101B-9397-08002B2CF9AE}" pid="51" name="utskottsbeteckning">
    <vt:lpwstr>MJ</vt:lpwstr>
  </property>
</Properties>
</file>