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92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 april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Hanna Wagenius (C) som ersättare fr.o.m. den 4 april t.o.m. den 6 maj under Per Åslings (C)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Hanna Wagenius (C) som suppleant i skatteutskottet fr.o.m. den 4 april t.o.m. den 6 maj under Per Åslings (C) ledighet</w:t>
            </w:r>
          </w:p>
          <w:p>
            <w:pPr>
              <w:bidi w:val="0"/>
              <w:spacing w:after="280" w:afterAutospacing="1"/>
              <w:rPr>
                <w:rtl w:val="0"/>
              </w:rPr>
            </w:pP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2021/22:31 Tisdagen den 29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2021/22:413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Risken för brist på Adblue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2021/22:FPM71 Direktiv om tillbörlig aktsamhet för företag i fråga om hållbarhet </w:t>
            </w:r>
            <w:r>
              <w:rPr>
                <w:i/>
                <w:iCs/>
                <w:rtl w:val="0"/>
              </w:rPr>
              <w:t>COM(2022) 71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2021/22:200 Hårdare regler för nya nikotinprodukter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2021/22:204 Ändrade övergångsbestämmelser när det gäller medicintekniska produkter för in vitro-diagnostik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2021/22:211 Insatser på plan- och byggområdet med anledning av invasionen av Ukraina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2021/22:115 Verksamheten i Europeiska unionen under 2021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2021/22:4471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71 Förslag till Europaparlamentets och rådets direktiv om tillbörlig aktsamhet för företag i fråga om hållbarhet och om ändring av direktiv (EU) 2019/1937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25 maj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2021/22:360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Brottsvågen mot företagare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2021/22:386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Kusinäktenskap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2021/22:395 av Mikael Eskilandersson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kusingifte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2021/22:304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Marockos brott mot mänskliga rättigheter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Näringsminister Karl-Petter Thorwaldsson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2021/22:415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Brottslighetens konsekvenser för näringslivet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Johan Danielsson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2021/22:408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Bristen på byggmaterial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2021/22:411 av Ola Johansson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Lantmäteriets handläggningstider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 april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2022-04-01</SAFIR_Sammantradesdatum_Doc>
    <SAFIR_SammantradeID xmlns="C07A1A6C-0B19-41D9-BDF8-F523BA3921EB">3fa55589-e9e8-46e5-8c2f-59e43fb3cce5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54396-77A7-4FDA-A7E4-2E6CED6B1D7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 april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