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05DE" w:rsidRPr="001F0F3C" w:rsidRDefault="008605DE" w:rsidP="008605DE">
      <w:pPr>
        <w:pStyle w:val="Hemstlrubrik"/>
      </w:pPr>
      <w:r w:rsidRPr="001F0F3C">
        <w:t>Förslag till riksdagsbeslut</w:t>
      </w:r>
    </w:p>
    <w:p w:rsidR="00484EA0" w:rsidRPr="001F0F3C" w:rsidRDefault="008605DE" w:rsidP="008605DE">
      <w:pPr>
        <w:pStyle w:val="Hemstlatt"/>
      </w:pPr>
      <w:r w:rsidRPr="001F0F3C">
        <w:t xml:space="preserve">Riksdagen avslår </w:t>
      </w:r>
      <w:r w:rsidR="00484EA0" w:rsidRPr="001F0F3C">
        <w:t>proposition 2005/06:177 Åtgärder för att förhindra vi</w:t>
      </w:r>
      <w:r w:rsidR="00484EA0" w:rsidRPr="001F0F3C">
        <w:t>s</w:t>
      </w:r>
      <w:r w:rsidR="00484EA0" w:rsidRPr="001F0F3C">
        <w:t xml:space="preserve">sa särskilt allvarliga brott och </w:t>
      </w:r>
      <w:r w:rsidR="00E04BC3" w:rsidRPr="001F0F3C">
        <w:t>begär at</w:t>
      </w:r>
      <w:r w:rsidR="00484EA0" w:rsidRPr="001F0F3C">
        <w:t xml:space="preserve">t regeringen </w:t>
      </w:r>
      <w:r w:rsidR="00E04BC3" w:rsidRPr="001F0F3C">
        <w:t>återkommer</w:t>
      </w:r>
      <w:r w:rsidR="00484EA0" w:rsidRPr="001F0F3C">
        <w:t xml:space="preserve"> till rik</w:t>
      </w:r>
      <w:r w:rsidR="00484EA0" w:rsidRPr="001F0F3C">
        <w:t>s</w:t>
      </w:r>
      <w:r w:rsidR="00484EA0" w:rsidRPr="001F0F3C">
        <w:t>dagen med ett nytt förslag i enlighet med vad i motionen anförs.</w:t>
      </w:r>
    </w:p>
    <w:p w:rsidR="00484EA0" w:rsidRPr="001F0F3C" w:rsidRDefault="00484EA0" w:rsidP="008605DE">
      <w:pPr>
        <w:pStyle w:val="Rubrik1"/>
      </w:pPr>
      <w:r w:rsidRPr="001F0F3C">
        <w:t>Inledning</w:t>
      </w:r>
    </w:p>
    <w:p w:rsidR="00484EA0" w:rsidRPr="001F0F3C" w:rsidRDefault="00484EA0" w:rsidP="00484EA0">
      <w:r w:rsidRPr="001F0F3C">
        <w:t xml:space="preserve">Regeringen föreslår i proposition 2005/06:177 Åtgärder för att förhindra vissa särskilt allvarliga brott att tillstånd till tvångsmedelsanvändning, dvs. hemlig teleavlyssning, hemlig kameraövervakning, hemlig teleövervakning samt postkontroll, skall kunna meddelas om det med hänsyn till omständigheterna finns anledning att anta att en person kommer att utöva allvarlig brottslig verksamhet som innefattar en i lagen särskilt angiven gärning.  </w:t>
      </w:r>
    </w:p>
    <w:p w:rsidR="00484EA0" w:rsidRPr="001F0F3C" w:rsidRDefault="00484EA0" w:rsidP="00E04BC3">
      <w:pPr>
        <w:pStyle w:val="Normaltindrag"/>
      </w:pPr>
      <w:r w:rsidRPr="001F0F3C">
        <w:t>Varje tillämpning av hemliga tvångsmedel, såsom hemlig övervakning e</w:t>
      </w:r>
      <w:r w:rsidRPr="001F0F3C">
        <w:t>l</w:t>
      </w:r>
      <w:r w:rsidRPr="001F0F3C">
        <w:t>ler avlyssning av enskilda och deras meddelanden, innebär i sig ett allvarligt ingrepp i den avlyssnades eller övervakades integritet. Vid all användning av tvångsmedel är det nödvändigt att göra en avvägning mellan nyttan av anvä</w:t>
      </w:r>
      <w:r w:rsidRPr="001F0F3C">
        <w:t>n</w:t>
      </w:r>
      <w:r w:rsidRPr="001F0F3C">
        <w:t>dandet av tvångsmedlet och det integritetsintrång som användandet innebär.</w:t>
      </w:r>
    </w:p>
    <w:p w:rsidR="00484EA0" w:rsidRPr="001F0F3C" w:rsidRDefault="00484EA0" w:rsidP="00E04BC3">
      <w:pPr>
        <w:pStyle w:val="Normaltindrag"/>
      </w:pPr>
      <w:r w:rsidRPr="001F0F3C">
        <w:t>Centerpartiet menar att de i propositionen aktuella tvångsmedlen behövs i brottsbekämpningen, vi menar dock att regeringens nu framlagda förslag skulle innebära ett alltför långtgående intrång i den personliga integriteten och behöver omarbetas på flera punkter innan det kan godkännas av riksdagen.</w:t>
      </w:r>
    </w:p>
    <w:p w:rsidR="00484EA0" w:rsidRPr="001F0F3C" w:rsidRDefault="00484EA0" w:rsidP="004B74D1">
      <w:pPr>
        <w:pStyle w:val="Rubrik1"/>
        <w:spacing w:line="240" w:lineRule="auto"/>
      </w:pPr>
      <w:r w:rsidRPr="001F0F3C">
        <w:lastRenderedPageBreak/>
        <w:t>Propositionen och Centerpartiets invändningar</w:t>
      </w:r>
    </w:p>
    <w:p w:rsidR="00484EA0" w:rsidRPr="001F0F3C" w:rsidRDefault="008605DE" w:rsidP="00341B9E">
      <w:pPr>
        <w:pStyle w:val="Rubrik2"/>
        <w:spacing w:before="120" w:line="240" w:lineRule="auto"/>
      </w:pPr>
      <w:r w:rsidRPr="001F0F3C">
        <w:t>B</w:t>
      </w:r>
      <w:r w:rsidR="00484EA0" w:rsidRPr="001F0F3C">
        <w:t>eviskrave</w:t>
      </w:r>
      <w:r w:rsidR="006D7F87" w:rsidRPr="001F0F3C">
        <w:t>t ”kan antas” är för lågt satt</w:t>
      </w:r>
    </w:p>
    <w:p w:rsidR="00484EA0" w:rsidRPr="001F0F3C" w:rsidRDefault="00484EA0" w:rsidP="00484EA0">
      <w:r w:rsidRPr="001F0F3C">
        <w:t xml:space="preserve">Centerpartiet menar att de i propositionen aktuella tvångsmedlen är viktiga redskap i kampen mot brott och även fortsatt bör användas för att komma åt den grövsta brottsligheten. Centerpartiet menar dock att regeringen går för långt i propositionen i förslaget att tvångsmedel skall kunna användas om det …”finns </w:t>
      </w:r>
      <w:r w:rsidRPr="001F0F3C">
        <w:rPr>
          <w:i/>
        </w:rPr>
        <w:t>anledning att anta</w:t>
      </w:r>
      <w:r w:rsidRPr="001F0F3C">
        <w:t xml:space="preserve"> att en person kommer att utöva allvarlig brottslig verksamhet”… Beviskravet för att få använda tvångsmedel mot en person i</w:t>
      </w:r>
      <w:r w:rsidR="00341B9E" w:rsidRPr="001F0F3C">
        <w:t xml:space="preserve"> </w:t>
      </w:r>
      <w:r w:rsidRPr="001F0F3C">
        <w:t xml:space="preserve">dag är att denne är </w:t>
      </w:r>
      <w:r w:rsidRPr="001F0F3C">
        <w:rPr>
          <w:i/>
        </w:rPr>
        <w:t>skäligen miss</w:t>
      </w:r>
      <w:r w:rsidR="006D7F87" w:rsidRPr="001F0F3C">
        <w:rPr>
          <w:i/>
        </w:rPr>
        <w:t>t</w:t>
      </w:r>
      <w:r w:rsidRPr="001F0F3C">
        <w:rPr>
          <w:i/>
        </w:rPr>
        <w:t xml:space="preserve">änkt </w:t>
      </w:r>
      <w:r w:rsidRPr="001F0F3C">
        <w:t>för ett visst brott samt att åtgärden är av synnerlig vikt för utredningen om brottet. Centerpartiet menar att det kan finnas anledning att mjuka upp beviskravet ”skäligen misstänkt” men att det är att gå för långt att sänka det till ”kan antas”. En rimlig avvägning skulle kunna vara att sätta beviskravet ”kan misstänkas”. Avvägningen av när he</w:t>
      </w:r>
      <w:r w:rsidRPr="001F0F3C">
        <w:t>m</w:t>
      </w:r>
      <w:r w:rsidRPr="001F0F3C">
        <w:t>liga tvångsmedel skall få användas bör göras i ljuset av det arbete Integritet</w:t>
      </w:r>
      <w:r w:rsidRPr="001F0F3C">
        <w:t>s</w:t>
      </w:r>
      <w:r w:rsidRPr="001F0F3C">
        <w:t>skyddskommittén skall redovisa om integritetsskyddet i lagstiftningen 2007.</w:t>
      </w:r>
    </w:p>
    <w:p w:rsidR="00484EA0" w:rsidRPr="001F0F3C" w:rsidRDefault="00484EA0" w:rsidP="004B74D1">
      <w:pPr>
        <w:pStyle w:val="Rubrik2"/>
      </w:pPr>
      <w:r w:rsidRPr="001F0F3C">
        <w:t>Underrättelseskyldighet</w:t>
      </w:r>
    </w:p>
    <w:p w:rsidR="00484EA0" w:rsidRPr="001F0F3C" w:rsidRDefault="00484EA0" w:rsidP="00484EA0">
      <w:r w:rsidRPr="001F0F3C">
        <w:t>Centerpartiet menar att det skall finnas en underrättelseskyldighet i reglerin</w:t>
      </w:r>
      <w:r w:rsidRPr="001F0F3C">
        <w:t>g</w:t>
      </w:r>
      <w:r w:rsidRPr="001F0F3C">
        <w:t>en kring hemliga tvångsmedel. Underrättelseskyldigheten innebär att den som blivit utsatt för användning av hemliga tvångsmedel skall få information om att han eller hon varit föremål för tvångsmedel så snart informationen inte är till men för utredningen. Om den som varit föremål för exempelvis hemlig teleavlyssning upplever att detta skett på ett inkorrekt sätt eller på felaktig grund skall han eller hon kunna få sin sak rättsligt prövad samt ha rätt att kräva skadestånd om så skulle vara fallet. Detta bör tillföras dagens lagstif</w:t>
      </w:r>
      <w:r w:rsidRPr="001F0F3C">
        <w:t>t</w:t>
      </w:r>
      <w:r w:rsidRPr="001F0F3C">
        <w:t>ning kring hemliga tvångsmedel såväl som vara en naturlig del i förslaget på utvidgad lagstiftning.</w:t>
      </w:r>
    </w:p>
    <w:p w:rsidR="00484EA0" w:rsidRPr="001F0F3C" w:rsidRDefault="00484EA0" w:rsidP="00341B9E">
      <w:pPr>
        <w:pStyle w:val="Normaltindrag"/>
      </w:pPr>
      <w:r w:rsidRPr="001F0F3C">
        <w:t>Regeringen har valt att inte presentera förslag på hur en underrättelsesky</w:t>
      </w:r>
      <w:r w:rsidRPr="001F0F3C">
        <w:t>l</w:t>
      </w:r>
      <w:r w:rsidRPr="001F0F3C">
        <w:t>dighet skulle se ut i propositionen utan konstaterar endast att ”det finns starka skäl att införa en underrättelseskyldighet vid bl.a. det slag av tvångsmedel</w:t>
      </w:r>
      <w:r w:rsidRPr="001F0F3C">
        <w:t>s</w:t>
      </w:r>
      <w:r w:rsidRPr="001F0F3C">
        <w:t>användning som behandlas i denna proposition” samt att regeringen avser att …</w:t>
      </w:r>
      <w:r w:rsidR="00341B9E" w:rsidRPr="001F0F3C">
        <w:t xml:space="preserve"> </w:t>
      </w:r>
      <w:r w:rsidRPr="001F0F3C">
        <w:t>”inom kort tillsätta en utredning med uppgift att skyndsamt lämna förslag på lagstiftning om underrättelseskyldighet vid användning av tvångsmedel enligt vad som behandlas i denna proposition och annan an</w:t>
      </w:r>
      <w:r w:rsidR="00341B9E" w:rsidRPr="001F0F3C">
        <w:t>vändning av he</w:t>
      </w:r>
      <w:r w:rsidR="00341B9E" w:rsidRPr="001F0F3C">
        <w:t>m</w:t>
      </w:r>
      <w:r w:rsidR="00341B9E" w:rsidRPr="001F0F3C">
        <w:t>liga tvångsmedel</w:t>
      </w:r>
      <w:r w:rsidRPr="001F0F3C">
        <w:t>”</w:t>
      </w:r>
      <w:r w:rsidR="00341B9E" w:rsidRPr="001F0F3C">
        <w:t>.</w:t>
      </w:r>
    </w:p>
    <w:p w:rsidR="00484EA0" w:rsidRPr="001F0F3C" w:rsidRDefault="00484EA0" w:rsidP="004B74D1">
      <w:pPr>
        <w:pStyle w:val="Rubrik2"/>
      </w:pPr>
      <w:r w:rsidRPr="001F0F3C">
        <w:t>Integritetsskyddskommitté</w:t>
      </w:r>
      <w:r w:rsidR="006D7F87" w:rsidRPr="001F0F3C">
        <w:t>ns arbete skall inte föregripas</w:t>
      </w:r>
    </w:p>
    <w:p w:rsidR="00484EA0" w:rsidRPr="001F0F3C" w:rsidRDefault="00484EA0" w:rsidP="00484EA0">
      <w:r w:rsidRPr="001F0F3C">
        <w:t>Integritetsskyddskommittén har i uppdrag att kartlägga och analysera lagstif</w:t>
      </w:r>
      <w:r w:rsidRPr="001F0F3C">
        <w:t>t</w:t>
      </w:r>
      <w:r w:rsidRPr="001F0F3C">
        <w:t xml:space="preserve">ning som kan vara integritetskränkande ur ett samlat perspektiv. Regleringen av hemliga tvångsmedel torde enligt Centerpartiets mening vara en viktig del </w:t>
      </w:r>
      <w:r w:rsidR="00341B9E" w:rsidRPr="001F0F3C">
        <w:t xml:space="preserve">av Integritetsskyddskommitténs </w:t>
      </w:r>
      <w:r w:rsidRPr="001F0F3C">
        <w:t xml:space="preserve">arbete. Lagrådet är av samma uppfattning och framför i sitt remissvar att ”i kommitténs uppdrag ingår otvetydigt att kontrollera om tvångsmedel av den typ som nu föreslås lever upp till det </w:t>
      </w:r>
      <w:r w:rsidR="00341B9E" w:rsidRPr="001F0F3C">
        <w:t>integritetsskydd som kan krävas</w:t>
      </w:r>
      <w:r w:rsidRPr="001F0F3C">
        <w:t>”</w:t>
      </w:r>
      <w:r w:rsidR="00341B9E" w:rsidRPr="001F0F3C">
        <w:t>.</w:t>
      </w:r>
      <w:r w:rsidRPr="001F0F3C">
        <w:t xml:space="preserve"> Vidare framhåller </w:t>
      </w:r>
      <w:r w:rsidR="00341B9E" w:rsidRPr="001F0F3C">
        <w:t xml:space="preserve">Lagrådet </w:t>
      </w:r>
      <w:r w:rsidRPr="001F0F3C">
        <w:t>att ”…</w:t>
      </w:r>
      <w:r w:rsidR="00341B9E" w:rsidRPr="001F0F3C">
        <w:t xml:space="preserve"> </w:t>
      </w:r>
      <w:r w:rsidRPr="001F0F3C">
        <w:t>det finns aspekter av den nu föreslagna lagstiftningen som skulle vara förtjänta av att övervägas av kommittén i samband med regler som gäller för användnin</w:t>
      </w:r>
      <w:r w:rsidRPr="001F0F3C">
        <w:t>g</w:t>
      </w:r>
      <w:r w:rsidRPr="001F0F3C">
        <w:t>en av</w:t>
      </w:r>
      <w:r w:rsidR="00341B9E" w:rsidRPr="001F0F3C">
        <w:t xml:space="preserve"> tvångsmedel i andra sammanhang</w:t>
      </w:r>
      <w:r w:rsidRPr="001F0F3C">
        <w:t>”</w:t>
      </w:r>
      <w:r w:rsidR="00341B9E" w:rsidRPr="001F0F3C">
        <w:t>.</w:t>
      </w:r>
    </w:p>
    <w:p w:rsidR="00484EA0" w:rsidRPr="001F0F3C" w:rsidRDefault="00484EA0" w:rsidP="00341B9E">
      <w:pPr>
        <w:pStyle w:val="Normaltindrag"/>
      </w:pPr>
      <w:r w:rsidRPr="001F0F3C">
        <w:t>Integritetsskyddskommittén skall redovisa sitt arbete 2007. Centerpartiet vill inte sätta kommitténs arbete ur spel genom att skynda fram lagstiftning. Centerpartiet menar tvärtom att det är mycket viktigt att inte föregripa Integr</w:t>
      </w:r>
      <w:r w:rsidRPr="001F0F3C">
        <w:t>i</w:t>
      </w:r>
      <w:r w:rsidRPr="001F0F3C">
        <w:t>tet</w:t>
      </w:r>
      <w:r w:rsidRPr="001F0F3C">
        <w:t>s</w:t>
      </w:r>
      <w:r w:rsidRPr="001F0F3C">
        <w:t>skyddskommitténs arbete.</w:t>
      </w:r>
    </w:p>
    <w:p w:rsidR="00484EA0" w:rsidRPr="001F0F3C" w:rsidRDefault="00484EA0" w:rsidP="00341B9E">
      <w:pPr>
        <w:pStyle w:val="Normaltindrag"/>
      </w:pPr>
      <w:r w:rsidRPr="001F0F3C">
        <w:t xml:space="preserve">Att regeringen lägger fram ett flertal förslag på lagstiftning som kränker den personliga integriteten samtidigt som Integritetsskyddskommitténs arbete pågår är en bakvänd ordning. </w:t>
      </w:r>
    </w:p>
    <w:p w:rsidR="00484EA0" w:rsidRPr="001F0F3C" w:rsidRDefault="00484EA0" w:rsidP="00E04BC3">
      <w:pPr>
        <w:pStyle w:val="Normaltindrag"/>
        <w:rPr>
          <w:i/>
        </w:rPr>
      </w:pPr>
      <w:r w:rsidRPr="001F0F3C">
        <w:t>Justitiekanslern har framfört kritik mot propositionen och uppgett sig sa</w:t>
      </w:r>
      <w:r w:rsidRPr="001F0F3C">
        <w:t>k</w:t>
      </w:r>
      <w:r w:rsidRPr="001F0F3C">
        <w:t>na en helhetssyn i lagstiftningsarbetet, en samlad analys av förhållandet me</w:t>
      </w:r>
      <w:r w:rsidRPr="001F0F3C">
        <w:t>l</w:t>
      </w:r>
      <w:r w:rsidRPr="001F0F3C">
        <w:t>lan den totala verkan av tvångsmedel och annan övervakning och skyddet för den personliga integriteten. Han påtalar liksom Centerpartiet att Integritet</w:t>
      </w:r>
      <w:r w:rsidRPr="001F0F3C">
        <w:t>s</w:t>
      </w:r>
      <w:r w:rsidRPr="001F0F3C">
        <w:t>skyddskommittén fått i uppdrag att analysera detta beträffande den nuvarande lagstiftningen och att det finns anledning att avvakta resultatet av kommitténs arbete innan ytterligare förändringar av stor betydelse genomförs. Sveriges advokatsamfund, Tjänstemännens Centralorganisation, Svenska Helsingfor</w:t>
      </w:r>
      <w:r w:rsidRPr="001F0F3C">
        <w:t>s</w:t>
      </w:r>
      <w:r w:rsidRPr="001F0F3C">
        <w:t>kommittén för mänskliga rättigheter och Svenska avdelningen av internati</w:t>
      </w:r>
      <w:r w:rsidRPr="001F0F3C">
        <w:t>o</w:t>
      </w:r>
      <w:r w:rsidRPr="001F0F3C">
        <w:t>nella Juristkommissionen har alla framfört samma uppfattning. Med undantag av Svenska Helsingforskommittén för mänskliga rättigheter har de sistnäm</w:t>
      </w:r>
      <w:r w:rsidRPr="001F0F3C">
        <w:t>n</w:t>
      </w:r>
      <w:r w:rsidRPr="001F0F3C">
        <w:t>da remissinstanserna också uppgett att integritetsskyddet inte tillräckligt har beaktats i promemorian.</w:t>
      </w:r>
    </w:p>
    <w:p w:rsidR="00484EA0" w:rsidRPr="001F0F3C" w:rsidRDefault="00484EA0" w:rsidP="004B74D1">
      <w:pPr>
        <w:pStyle w:val="Rubrik2"/>
      </w:pPr>
      <w:r w:rsidRPr="001F0F3C">
        <w:t>Bättre parlamentarisk kontroll</w:t>
      </w:r>
    </w:p>
    <w:p w:rsidR="00484EA0" w:rsidRPr="001F0F3C" w:rsidRDefault="00484EA0" w:rsidP="00484EA0">
      <w:r w:rsidRPr="001F0F3C">
        <w:t>Den parlamentariska kontroll riksdagen har av tillämpningen av reglerna om hemlig teleavlyssning och hemlig teleövervakning samt hemlig kameraöve</w:t>
      </w:r>
      <w:r w:rsidRPr="001F0F3C">
        <w:t>r</w:t>
      </w:r>
      <w:r w:rsidRPr="001F0F3C">
        <w:t>vakning vid förundersökning i brottmål utövas på grundval av en årlig skr</w:t>
      </w:r>
      <w:r w:rsidRPr="001F0F3C">
        <w:t>i</w:t>
      </w:r>
      <w:r w:rsidRPr="001F0F3C">
        <w:t>velse från regeringen som är en redovisning för användandet av hemliga tvångsmedel under föregående år.</w:t>
      </w:r>
    </w:p>
    <w:p w:rsidR="00484EA0" w:rsidRPr="001F0F3C" w:rsidRDefault="00484EA0" w:rsidP="00E04BC3">
      <w:pPr>
        <w:pStyle w:val="Normaltindrag"/>
      </w:pPr>
      <w:r w:rsidRPr="001F0F3C">
        <w:t>Centerpartiet har gjort två tillkännagivanden på nämnda skrivelse, dels vad gäller redovisningens innehåll, dels om en stärkt parlamentarisk kontroll. Beträffande redovisningens innehåll framhöll Centerpartiet att det vore öns</w:t>
      </w:r>
      <w:r w:rsidRPr="001F0F3C">
        <w:t>k</w:t>
      </w:r>
      <w:r w:rsidRPr="001F0F3C">
        <w:t>värt med ytterligare information som exempelvis i hur många fall använda</w:t>
      </w:r>
      <w:r w:rsidRPr="001F0F3C">
        <w:t>n</w:t>
      </w:r>
      <w:r w:rsidRPr="001F0F3C">
        <w:t>det av ett hemligt tvångsmedel varit avgörande för en fallande dom eller i vilken mån brottsrubriceringen vid tillståndsgivning överensstämt med brott</w:t>
      </w:r>
      <w:r w:rsidRPr="001F0F3C">
        <w:t>s</w:t>
      </w:r>
      <w:r w:rsidRPr="001F0F3C">
        <w:t>rubriceringen vid dom. Beträffande stärkt parlamentarisk kontroll har Cente</w:t>
      </w:r>
      <w:r w:rsidRPr="001F0F3C">
        <w:t>r</w:t>
      </w:r>
      <w:r w:rsidRPr="001F0F3C">
        <w:t>partiet tillkännagivit att regeringen skyndsamt bör återkomma till riksdagen med ett förslag om hur tillämpningen av hemliga tvångsmedel kan understä</w:t>
      </w:r>
      <w:r w:rsidRPr="001F0F3C">
        <w:t>l</w:t>
      </w:r>
      <w:r w:rsidRPr="001F0F3C">
        <w:t>las ökad parlamentarisk kontroll. Centerpartiet menar vidare att om regerin</w:t>
      </w:r>
      <w:r w:rsidRPr="001F0F3C">
        <w:t>g</w:t>
      </w:r>
      <w:r w:rsidRPr="001F0F3C">
        <w:t>en väljer att föreslå en tvångsmedelsnämnd skall denna sortera direkt under riksdagen där samtliga riksdagspartier har representation</w:t>
      </w:r>
      <w:r w:rsidR="0058557E" w:rsidRPr="001F0F3C">
        <w:t>.</w:t>
      </w:r>
    </w:p>
    <w:p w:rsidR="00484EA0" w:rsidRPr="001F0F3C" w:rsidRDefault="00484EA0" w:rsidP="00E04BC3">
      <w:pPr>
        <w:pStyle w:val="Normaltindrag"/>
      </w:pPr>
      <w:r w:rsidRPr="001F0F3C">
        <w:t>Regeringen presenterar inte i propositionen något förslag på hur en förbät</w:t>
      </w:r>
      <w:r w:rsidRPr="001F0F3C">
        <w:t>t</w:t>
      </w:r>
      <w:r w:rsidRPr="001F0F3C">
        <w:t>rad parlamentarisk kontroll skall se ut utan konstaterar endast att ”Regeringen kommer inom kort att presentera sin uppfattning om hur den förstärkta granskningen bör utformas. Det är regeringens avsikt att denna förstärkta granskning skall omfatta även den användning av hemliga tvångsmedel som sker med stöd av den nu föreslagna lagen.”</w:t>
      </w:r>
    </w:p>
    <w:p w:rsidR="00484EA0" w:rsidRPr="001F0F3C" w:rsidRDefault="00484EA0" w:rsidP="00E04BC3">
      <w:pPr>
        <w:pStyle w:val="Normaltindrag"/>
      </w:pPr>
      <w:r w:rsidRPr="001F0F3C">
        <w:t>Centerpartiet menar att denna förbättring av den parlamentariska kontro</w:t>
      </w:r>
      <w:r w:rsidRPr="001F0F3C">
        <w:t>l</w:t>
      </w:r>
      <w:r w:rsidRPr="001F0F3C">
        <w:t>len skall införas senast samtidigt som den föreslagna lagstiftningen. Att först genomföra integritetskränkande lagstiftning och sedan utreda hur den granskande nämnden ska</w:t>
      </w:r>
      <w:r w:rsidR="00341B9E" w:rsidRPr="001F0F3C">
        <w:t>ll</w:t>
      </w:r>
      <w:r w:rsidRPr="001F0F3C">
        <w:t xml:space="preserve"> fungera är en bakvänd ordning.</w:t>
      </w:r>
    </w:p>
    <w:p w:rsidR="00484EA0" w:rsidRPr="001F0F3C" w:rsidRDefault="00484EA0" w:rsidP="004B74D1">
      <w:pPr>
        <w:pStyle w:val="Rubrik2"/>
      </w:pPr>
      <w:r w:rsidRPr="001F0F3C">
        <w:t>Vissa platser skall vara undantagna möjligheten till användning av hemliga tvångsmedel</w:t>
      </w:r>
    </w:p>
    <w:p w:rsidR="00AA6E00" w:rsidRPr="001F0F3C" w:rsidRDefault="00484EA0" w:rsidP="00484EA0">
      <w:r w:rsidRPr="001F0F3C">
        <w:t>Centerpartiet menar att vissa delar av samhället måste vara skyddade från användandet av hemliga tvångsmedel i likhet med de regleringar som rege</w:t>
      </w:r>
      <w:r w:rsidRPr="001F0F3C">
        <w:t>r</w:t>
      </w:r>
      <w:r w:rsidRPr="001F0F3C">
        <w:t>ingen föreslagit om att undanta vissa platser från möjligheten till hemlig rumsavlyssning. Hemliga tvångsmedel skall inte få användas vad gäller adv</w:t>
      </w:r>
      <w:r w:rsidRPr="001F0F3C">
        <w:t>o</w:t>
      </w:r>
      <w:r w:rsidRPr="001F0F3C">
        <w:t>katkontor, vårdinrättningar, platser för själavård eller redaktioner. Att vissa platser bör vara undantagna möjligheten till användning av hemliga tvång</w:t>
      </w:r>
      <w:r w:rsidRPr="001F0F3C">
        <w:t>s</w:t>
      </w:r>
      <w:r w:rsidRPr="001F0F3C">
        <w:t>medel bör tillföras dagens lagstiftning kring hemliga tvångsmedel såväl som vara en naturlig del i förslaget på utvidgad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41B9E" w:rsidRPr="001F0F3C">
        <w:tblPrEx>
          <w:tblCellMar>
            <w:top w:w="0" w:type="dxa"/>
            <w:bottom w:w="0" w:type="dxa"/>
          </w:tblCellMar>
        </w:tblPrEx>
        <w:trPr>
          <w:cantSplit/>
        </w:trPr>
        <w:tc>
          <w:tcPr>
            <w:tcW w:w="3046" w:type="dxa"/>
          </w:tcPr>
          <w:p w:rsidR="00341B9E" w:rsidRPr="001F0F3C" w:rsidRDefault="00341B9E" w:rsidP="00341B9E">
            <w:pPr>
              <w:pStyle w:val="UnderskriftDatum"/>
              <w:spacing w:before="240"/>
            </w:pPr>
            <w:r w:rsidRPr="001F0F3C">
              <w:t>Stockholm den 18 april 2006</w:t>
            </w:r>
          </w:p>
        </w:tc>
        <w:tc>
          <w:tcPr>
            <w:tcW w:w="3047" w:type="dxa"/>
          </w:tcPr>
          <w:p w:rsidR="00341B9E" w:rsidRPr="001F0F3C" w:rsidRDefault="00341B9E" w:rsidP="00341B9E">
            <w:pPr>
              <w:pStyle w:val="Underskrifter"/>
              <w:spacing w:before="240"/>
            </w:pPr>
          </w:p>
        </w:tc>
      </w:tr>
      <w:tr w:rsidR="00341B9E" w:rsidRPr="001F0F3C">
        <w:tblPrEx>
          <w:tblCellMar>
            <w:top w:w="0" w:type="dxa"/>
            <w:bottom w:w="0" w:type="dxa"/>
          </w:tblCellMar>
        </w:tblPrEx>
        <w:trPr>
          <w:cantSplit/>
        </w:trPr>
        <w:tc>
          <w:tcPr>
            <w:tcW w:w="3046" w:type="dxa"/>
          </w:tcPr>
          <w:p w:rsidR="00341B9E" w:rsidRPr="001F0F3C" w:rsidRDefault="00341B9E" w:rsidP="00341B9E">
            <w:pPr>
              <w:pStyle w:val="Underskrifter"/>
            </w:pPr>
            <w:r w:rsidRPr="001F0F3C">
              <w:t>Johan Linander (c)</w:t>
            </w:r>
          </w:p>
        </w:tc>
        <w:tc>
          <w:tcPr>
            <w:tcW w:w="3047" w:type="dxa"/>
          </w:tcPr>
          <w:p w:rsidR="00341B9E" w:rsidRPr="001F0F3C" w:rsidRDefault="00341B9E" w:rsidP="00341B9E">
            <w:pPr>
              <w:pStyle w:val="Underskrifter"/>
            </w:pPr>
          </w:p>
        </w:tc>
      </w:tr>
      <w:tr w:rsidR="00341B9E" w:rsidRPr="001F0F3C">
        <w:tblPrEx>
          <w:tblCellMar>
            <w:top w:w="0" w:type="dxa"/>
            <w:bottom w:w="0" w:type="dxa"/>
          </w:tblCellMar>
        </w:tblPrEx>
        <w:trPr>
          <w:cantSplit/>
        </w:trPr>
        <w:tc>
          <w:tcPr>
            <w:tcW w:w="3046" w:type="dxa"/>
          </w:tcPr>
          <w:p w:rsidR="00341B9E" w:rsidRPr="001F0F3C" w:rsidRDefault="00341B9E" w:rsidP="00341B9E">
            <w:pPr>
              <w:pStyle w:val="Underskrifter"/>
            </w:pPr>
            <w:r w:rsidRPr="001F0F3C">
              <w:t>Viviann Gerdin (c)</w:t>
            </w:r>
          </w:p>
        </w:tc>
        <w:tc>
          <w:tcPr>
            <w:tcW w:w="3047" w:type="dxa"/>
          </w:tcPr>
          <w:p w:rsidR="00341B9E" w:rsidRPr="001F0F3C" w:rsidRDefault="00341B9E" w:rsidP="00341B9E">
            <w:pPr>
              <w:pStyle w:val="Underskrifter"/>
            </w:pPr>
            <w:r w:rsidRPr="001F0F3C">
              <w:t>Eskil Erlandsson (c)</w:t>
            </w:r>
          </w:p>
        </w:tc>
      </w:tr>
      <w:tr w:rsidR="00341B9E" w:rsidRPr="001F0F3C">
        <w:tblPrEx>
          <w:tblCellMar>
            <w:top w:w="0" w:type="dxa"/>
            <w:bottom w:w="0" w:type="dxa"/>
          </w:tblCellMar>
        </w:tblPrEx>
        <w:trPr>
          <w:cantSplit/>
        </w:trPr>
        <w:tc>
          <w:tcPr>
            <w:tcW w:w="3046" w:type="dxa"/>
          </w:tcPr>
          <w:p w:rsidR="00341B9E" w:rsidRPr="001F0F3C" w:rsidRDefault="00341B9E" w:rsidP="00341B9E">
            <w:pPr>
              <w:pStyle w:val="Underskrifter"/>
            </w:pPr>
            <w:r w:rsidRPr="001F0F3C">
              <w:t>Claes Västerteg (c)</w:t>
            </w:r>
          </w:p>
        </w:tc>
        <w:tc>
          <w:tcPr>
            <w:tcW w:w="3047" w:type="dxa"/>
          </w:tcPr>
          <w:p w:rsidR="00341B9E" w:rsidRPr="001F0F3C" w:rsidRDefault="00341B9E" w:rsidP="00341B9E">
            <w:pPr>
              <w:pStyle w:val="Underskrifter"/>
            </w:pPr>
            <w:r w:rsidRPr="001F0F3C">
              <w:t>Kerstin Lundgren (c)</w:t>
            </w:r>
          </w:p>
        </w:tc>
      </w:tr>
      <w:tr w:rsidR="00341B9E" w:rsidRPr="001F0F3C">
        <w:tblPrEx>
          <w:tblCellMar>
            <w:top w:w="0" w:type="dxa"/>
            <w:bottom w:w="0" w:type="dxa"/>
          </w:tblCellMar>
        </w:tblPrEx>
        <w:trPr>
          <w:cantSplit/>
        </w:trPr>
        <w:tc>
          <w:tcPr>
            <w:tcW w:w="3046" w:type="dxa"/>
          </w:tcPr>
          <w:p w:rsidR="00341B9E" w:rsidRPr="001F0F3C" w:rsidRDefault="00341B9E" w:rsidP="00341B9E">
            <w:pPr>
              <w:pStyle w:val="Underskrifter"/>
            </w:pPr>
            <w:r w:rsidRPr="001F0F3C">
              <w:t>Agne Hansson (c)</w:t>
            </w:r>
          </w:p>
        </w:tc>
        <w:tc>
          <w:tcPr>
            <w:tcW w:w="3047" w:type="dxa"/>
          </w:tcPr>
          <w:p w:rsidR="00341B9E" w:rsidRPr="001F0F3C" w:rsidRDefault="00341B9E" w:rsidP="00341B9E">
            <w:pPr>
              <w:pStyle w:val="Underskrifter"/>
            </w:pPr>
            <w:r w:rsidRPr="001F0F3C">
              <w:t>Jan Andersson (c)</w:t>
            </w:r>
          </w:p>
        </w:tc>
      </w:tr>
    </w:tbl>
    <w:p w:rsidR="00E84F25" w:rsidRPr="001F0F3C" w:rsidRDefault="00E84F25" w:rsidP="00341B9E">
      <w:pPr>
        <w:pStyle w:val="Normaltindrag"/>
      </w:pPr>
    </w:p>
    <w:sectPr w:rsidR="00E84F25" w:rsidRPr="001F0F3C" w:rsidSect="00341B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DE5" w:rsidRPr="001F0F3C" w:rsidRDefault="004D5DE5">
      <w:r w:rsidRPr="001F0F3C">
        <w:separator/>
      </w:r>
    </w:p>
  </w:endnote>
  <w:endnote w:type="continuationSeparator" w:id="0">
    <w:p w:rsidR="004D5DE5" w:rsidRPr="001F0F3C" w:rsidRDefault="004D5DE5">
      <w:r w:rsidRPr="001F0F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C3" w:rsidRPr="001F0F3C" w:rsidRDefault="001F0F3C" w:rsidP="00341B9E">
    <w:pPr>
      <w:pStyle w:val="Sidfot"/>
    </w:pPr>
    <w:r w:rsidRPr="001F0F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2337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B9E" w:rsidRDefault="00341B9E">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1B9E" w:rsidRDefault="00341B9E">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04" w:rsidRPr="001F0F3C" w:rsidRDefault="001F0F3C" w:rsidP="00341B9E">
    <w:pPr>
      <w:pStyle w:val="Sidfot"/>
    </w:pPr>
    <w:r w:rsidRPr="001F0F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52666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B9E" w:rsidRDefault="00341B9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1B9E" w:rsidRDefault="00341B9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04" w:rsidRPr="001F0F3C" w:rsidRDefault="001F0F3C" w:rsidP="00341B9E">
    <w:pPr>
      <w:pStyle w:val="Sidfot"/>
    </w:pPr>
    <w:r w:rsidRPr="001F0F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98750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B9E" w:rsidRDefault="00341B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1B9E" w:rsidRDefault="00341B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DE5" w:rsidRPr="001F0F3C" w:rsidRDefault="004D5DE5">
      <w:r w:rsidRPr="001F0F3C">
        <w:separator/>
      </w:r>
    </w:p>
  </w:footnote>
  <w:footnote w:type="continuationSeparator" w:id="0">
    <w:p w:rsidR="004D5DE5" w:rsidRPr="001F0F3C" w:rsidRDefault="004D5DE5">
      <w:r w:rsidRPr="001F0F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BC3" w:rsidRPr="001F0F3C" w:rsidRDefault="001F0F3C" w:rsidP="00341B9E">
    <w:pPr>
      <w:pStyle w:val="Sidhuvud"/>
    </w:pPr>
    <w:r w:rsidRPr="001F0F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5777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B9E" w:rsidRDefault="00341B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1B9E" w:rsidRDefault="00341B9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53D04" w:rsidRPr="001F0F3C" w:rsidRDefault="001F0F3C" w:rsidP="00341B9E">
    <w:pPr>
      <w:pStyle w:val="Sidhuvud"/>
    </w:pPr>
    <w:r w:rsidRPr="001F0F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9966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B9E" w:rsidRDefault="00341B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1B9E" w:rsidRDefault="00341B9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1B9E" w:rsidRPr="001F0F3C" w:rsidRDefault="00341B9E">
    <w:pPr>
      <w:pStyle w:val="FSHNormal"/>
      <w:tabs>
        <w:tab w:val="right" w:pos="5840"/>
      </w:tabs>
    </w:pPr>
    <w:r w:rsidRPr="001F0F3C">
      <w:br/>
    </w:r>
    <w:r w:rsidRPr="001F0F3C">
      <w:fldChar w:fldCharType="begin" w:fldLock="1"/>
    </w:r>
    <w:r w:rsidRPr="001F0F3C">
      <w:instrText xml:space="preserve"> DOCPROPERTY</w:instrText>
    </w:r>
    <w:r w:rsidRPr="001F0F3C">
      <w:rPr>
        <w:sz w:val="18"/>
      </w:rPr>
      <w:instrText xml:space="preserve"> "YearUser" *\charformat </w:instrText>
    </w:r>
    <w:r w:rsidRPr="001F0F3C">
      <w:fldChar w:fldCharType="separate"/>
    </w:r>
    <w:r w:rsidRPr="001F0F3C">
      <w:t>2005/06</w:t>
    </w:r>
    <w:r w:rsidRPr="001F0F3C">
      <w:fldChar w:fldCharType="end"/>
    </w:r>
    <w:r w:rsidRPr="001F0F3C">
      <w:t xml:space="preserve"> </w:t>
    </w:r>
    <w:r w:rsidRPr="001F0F3C">
      <w:tab/>
      <w:t xml:space="preserve">mnr: </w:t>
    </w:r>
    <w:r w:rsidRPr="001F0F3C">
      <w:fldChar w:fldCharType="begin" w:fldLock="1"/>
    </w:r>
    <w:r w:rsidRPr="001F0F3C">
      <w:instrText xml:space="preserve"> DOCPROPERTY</w:instrText>
    </w:r>
    <w:r w:rsidRPr="001F0F3C">
      <w:rPr>
        <w:sz w:val="18"/>
      </w:rPr>
      <w:instrText xml:space="preserve"> "Motionsnummer" *\charformat </w:instrText>
    </w:r>
    <w:r w:rsidRPr="001F0F3C">
      <w:fldChar w:fldCharType="separate"/>
    </w:r>
    <w:r w:rsidRPr="001F0F3C">
      <w:t>Ju51</w:t>
    </w:r>
    <w:r w:rsidRPr="001F0F3C">
      <w:fldChar w:fldCharType="end"/>
    </w:r>
    <w:r w:rsidRPr="001F0F3C">
      <w:br/>
    </w:r>
    <w:r w:rsidRPr="001F0F3C">
      <w:fldChar w:fldCharType="begin" w:fldLock="1"/>
    </w:r>
    <w:r w:rsidRPr="001F0F3C">
      <w:instrText xml:space="preserve"> DOCPROPERTY</w:instrText>
    </w:r>
    <w:r w:rsidRPr="001F0F3C">
      <w:rPr>
        <w:sz w:val="18"/>
      </w:rPr>
      <w:instrText xml:space="preserve"> "Samling" *\charformat </w:instrText>
    </w:r>
    <w:r w:rsidRPr="001F0F3C">
      <w:fldChar w:fldCharType="end"/>
    </w:r>
    <w:r w:rsidRPr="001F0F3C">
      <w:tab/>
      <w:t xml:space="preserve">pnr: </w:t>
    </w:r>
    <w:r w:rsidRPr="001F0F3C">
      <w:fldChar w:fldCharType="begin" w:fldLock="1"/>
    </w:r>
    <w:r w:rsidRPr="001F0F3C">
      <w:instrText xml:space="preserve"> DOCPROPERTY</w:instrText>
    </w:r>
    <w:r w:rsidRPr="001F0F3C">
      <w:rPr>
        <w:sz w:val="18"/>
      </w:rPr>
      <w:instrText xml:space="preserve"> "Partinummer" *\charformat </w:instrText>
    </w:r>
    <w:r w:rsidRPr="001F0F3C">
      <w:fldChar w:fldCharType="separate"/>
    </w:r>
    <w:r w:rsidRPr="001F0F3C">
      <w:t>c191</w:t>
    </w:r>
    <w:r w:rsidRPr="001F0F3C">
      <w:fldChar w:fldCharType="end"/>
    </w:r>
  </w:p>
  <w:p w:rsidR="00341B9E" w:rsidRPr="001F0F3C" w:rsidRDefault="00341B9E">
    <w:pPr>
      <w:pStyle w:val="FSHRub1"/>
    </w:pPr>
    <w:r w:rsidRPr="001F0F3C">
      <w:t>Motion till riksdagen</w:t>
    </w:r>
    <w:r w:rsidRPr="001F0F3C">
      <w:br/>
    </w:r>
    <w:r w:rsidRPr="001F0F3C">
      <w:fldChar w:fldCharType="begin" w:fldLock="1"/>
    </w:r>
    <w:r w:rsidRPr="001F0F3C">
      <w:instrText xml:space="preserve"> DOCPROPERTY "YearUser" *\charformat </w:instrText>
    </w:r>
    <w:r w:rsidRPr="001F0F3C">
      <w:fldChar w:fldCharType="separate"/>
    </w:r>
    <w:r w:rsidRPr="001F0F3C">
      <w:t>2005/06</w:t>
    </w:r>
    <w:r w:rsidRPr="001F0F3C">
      <w:fldChar w:fldCharType="end"/>
    </w:r>
    <w:r w:rsidRPr="001F0F3C">
      <w:t>:</w:t>
    </w:r>
    <w:r w:rsidRPr="001F0F3C">
      <w:fldChar w:fldCharType="begin" w:fldLock="1"/>
    </w:r>
    <w:r w:rsidRPr="001F0F3C">
      <w:instrText xml:space="preserve"> DOCPROPERTY "Motionsnummer" *\charformat </w:instrText>
    </w:r>
    <w:r w:rsidRPr="001F0F3C">
      <w:fldChar w:fldCharType="separate"/>
    </w:r>
    <w:r w:rsidRPr="001F0F3C">
      <w:t>Ju51</w:t>
    </w:r>
    <w:r w:rsidRPr="001F0F3C">
      <w:fldChar w:fldCharType="end"/>
    </w:r>
  </w:p>
  <w:p w:rsidR="00341B9E" w:rsidRPr="001F0F3C" w:rsidRDefault="00341B9E">
    <w:pPr>
      <w:pStyle w:val="FSHNormalS5"/>
    </w:pPr>
    <w:r w:rsidRPr="001F0F3C">
      <w:fldChar w:fldCharType="begin" w:fldLock="1"/>
    </w:r>
    <w:r w:rsidRPr="001F0F3C">
      <w:instrText xml:space="preserve"> DOCPROPERTY "MotionarText" *\charformat </w:instrText>
    </w:r>
    <w:r w:rsidRPr="001F0F3C">
      <w:fldChar w:fldCharType="separate"/>
    </w:r>
    <w:r w:rsidRPr="001F0F3C">
      <w:t>av Johan Linander m.fl. (c)</w:t>
    </w:r>
    <w:r w:rsidRPr="001F0F3C">
      <w:fldChar w:fldCharType="end"/>
    </w:r>
    <w:r w:rsidRPr="001F0F3C">
      <w:br/>
    </w:r>
    <w:r w:rsidRPr="001F0F3C">
      <w:fldChar w:fldCharType="begin" w:fldLock="1"/>
    </w:r>
    <w:r w:rsidRPr="001F0F3C">
      <w:instrText xml:space="preserve"> DOCPROPERTY "SvarFrasKort" *\charformat </w:instrText>
    </w:r>
    <w:r w:rsidRPr="001F0F3C">
      <w:fldChar w:fldCharType="separate"/>
    </w:r>
    <w:r w:rsidRPr="001F0F3C">
      <w:t>med anledning av prop. 2005/06:177</w:t>
    </w:r>
    <w:r w:rsidRPr="001F0F3C">
      <w:fldChar w:fldCharType="end"/>
    </w:r>
  </w:p>
  <w:p w:rsidR="00341B9E" w:rsidRPr="001F0F3C" w:rsidRDefault="00341B9E">
    <w:pPr>
      <w:pStyle w:val="FSHTitel"/>
    </w:pPr>
    <w:r w:rsidRPr="001F0F3C">
      <w:fldChar w:fldCharType="begin" w:fldLock="1"/>
    </w:r>
    <w:r w:rsidRPr="001F0F3C">
      <w:instrText xml:space="preserve"> DOCPROPERTY</w:instrText>
    </w:r>
    <w:r w:rsidRPr="001F0F3C">
      <w:rPr>
        <w:sz w:val="18"/>
      </w:rPr>
      <w:instrText xml:space="preserve"> "RubrikSvar" *\charformat </w:instrText>
    </w:r>
    <w:r w:rsidRPr="001F0F3C">
      <w:fldChar w:fldCharType="separate"/>
    </w:r>
    <w:r w:rsidRPr="001F0F3C">
      <w:t>Åtgärder för att förhindra vissa särskilt allvarliga brott</w:t>
    </w:r>
    <w:r w:rsidRPr="001F0F3C">
      <w:fldChar w:fldCharType="end"/>
    </w:r>
  </w:p>
  <w:p w:rsidR="00341B9E" w:rsidRPr="001F0F3C" w:rsidRDefault="00341B9E" w:rsidP="00341B9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F370CE8"/>
    <w:multiLevelType w:val="hybridMultilevel"/>
    <w:tmpl w:val="4302F37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57610673">
    <w:abstractNumId w:val="13"/>
  </w:num>
  <w:num w:numId="2" w16cid:durableId="793061619">
    <w:abstractNumId w:val="10"/>
  </w:num>
  <w:num w:numId="3" w16cid:durableId="925068985">
    <w:abstractNumId w:val="11"/>
  </w:num>
  <w:num w:numId="4" w16cid:durableId="2045132901">
    <w:abstractNumId w:val="12"/>
  </w:num>
  <w:num w:numId="5" w16cid:durableId="408698580">
    <w:abstractNumId w:val="8"/>
  </w:num>
  <w:num w:numId="6" w16cid:durableId="2121026132">
    <w:abstractNumId w:val="3"/>
  </w:num>
  <w:num w:numId="7" w16cid:durableId="759834706">
    <w:abstractNumId w:val="2"/>
  </w:num>
  <w:num w:numId="8" w16cid:durableId="72091288">
    <w:abstractNumId w:val="1"/>
  </w:num>
  <w:num w:numId="9" w16cid:durableId="829056777">
    <w:abstractNumId w:val="0"/>
  </w:num>
  <w:num w:numId="10" w16cid:durableId="585194119">
    <w:abstractNumId w:val="9"/>
  </w:num>
  <w:num w:numId="11" w16cid:durableId="596596218">
    <w:abstractNumId w:val="7"/>
  </w:num>
  <w:num w:numId="12" w16cid:durableId="520436896">
    <w:abstractNumId w:val="6"/>
  </w:num>
  <w:num w:numId="13" w16cid:durableId="2132237491">
    <w:abstractNumId w:val="5"/>
  </w:num>
  <w:num w:numId="14" w16cid:durableId="295599182">
    <w:abstractNumId w:val="4"/>
  </w:num>
  <w:num w:numId="15" w16cid:durableId="2845411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1"/>
  </w:docVars>
  <w:rsids>
    <w:rsidRoot w:val="006D7F87"/>
    <w:rsid w:val="00040D14"/>
    <w:rsid w:val="0004381F"/>
    <w:rsid w:val="00064BC3"/>
    <w:rsid w:val="000665E6"/>
    <w:rsid w:val="00066775"/>
    <w:rsid w:val="00072FB9"/>
    <w:rsid w:val="000E48DA"/>
    <w:rsid w:val="000F5ADD"/>
    <w:rsid w:val="00100531"/>
    <w:rsid w:val="0010382E"/>
    <w:rsid w:val="001E0043"/>
    <w:rsid w:val="001E3D89"/>
    <w:rsid w:val="001F0F3C"/>
    <w:rsid w:val="00201DFB"/>
    <w:rsid w:val="00204A63"/>
    <w:rsid w:val="00212FF1"/>
    <w:rsid w:val="00230193"/>
    <w:rsid w:val="0025068A"/>
    <w:rsid w:val="002818D3"/>
    <w:rsid w:val="002943C8"/>
    <w:rsid w:val="00295E6D"/>
    <w:rsid w:val="002C2373"/>
    <w:rsid w:val="002D11A8"/>
    <w:rsid w:val="00341B9E"/>
    <w:rsid w:val="003866EC"/>
    <w:rsid w:val="003F100A"/>
    <w:rsid w:val="00445271"/>
    <w:rsid w:val="00447A04"/>
    <w:rsid w:val="00484EA0"/>
    <w:rsid w:val="004A0504"/>
    <w:rsid w:val="004B74D1"/>
    <w:rsid w:val="004D5DE5"/>
    <w:rsid w:val="004E38D9"/>
    <w:rsid w:val="0058557E"/>
    <w:rsid w:val="005B145B"/>
    <w:rsid w:val="006D7F87"/>
    <w:rsid w:val="00740D6D"/>
    <w:rsid w:val="00743F76"/>
    <w:rsid w:val="00794149"/>
    <w:rsid w:val="007B67A7"/>
    <w:rsid w:val="007C6092"/>
    <w:rsid w:val="00846903"/>
    <w:rsid w:val="008605DE"/>
    <w:rsid w:val="00A053C6"/>
    <w:rsid w:val="00A76A52"/>
    <w:rsid w:val="00AA6E00"/>
    <w:rsid w:val="00AB5000"/>
    <w:rsid w:val="00AC3048"/>
    <w:rsid w:val="00B13BF0"/>
    <w:rsid w:val="00B33C81"/>
    <w:rsid w:val="00B360C2"/>
    <w:rsid w:val="00B67E5B"/>
    <w:rsid w:val="00BA6BE0"/>
    <w:rsid w:val="00BB6D75"/>
    <w:rsid w:val="00C1285C"/>
    <w:rsid w:val="00C27B7D"/>
    <w:rsid w:val="00CE3037"/>
    <w:rsid w:val="00CF7A43"/>
    <w:rsid w:val="00D01775"/>
    <w:rsid w:val="00D1174F"/>
    <w:rsid w:val="00D53D04"/>
    <w:rsid w:val="00DC6C70"/>
    <w:rsid w:val="00E04BC3"/>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6B2002C-10BB-4DF2-BAC5-0DCA34BD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4B74D1"/>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1169</Words>
  <Characters>7498</Characters>
  <Application>Microsoft Office Word</Application>
  <DocSecurity>4</DocSecurity>
  <Lines>136</Lines>
  <Paragraphs>36</Paragraphs>
  <ScaleCrop>false</ScaleCrop>
  <HeadingPairs>
    <vt:vector size="2" baseType="variant">
      <vt:variant>
        <vt:lpstr>Rubrik</vt:lpstr>
      </vt:variant>
      <vt:variant>
        <vt:i4>1</vt:i4>
      </vt:variant>
    </vt:vector>
  </HeadingPairs>
  <TitlesOfParts>
    <vt:vector size="1" baseType="lpstr">
      <vt:lpstr>Ju51</vt:lpstr>
    </vt:vector>
  </TitlesOfParts>
  <Company>Riksdagen</Company>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dc:title>
  <dc:subject>Ju51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2006-04-21T05:26:00Z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mot2000_433_2006-04-11</vt:lpwstr>
  </property>
  <property fmtid="{D5CDD505-2E9C-101B-9397-08002B2CF9AE}" pid="3" name="version">
    <vt:lpwstr>mot2000_433_2006-04-11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2005/06:177 Åtgärder för att förhindra vissa särskilt allvarliga brott</vt:lpwstr>
  </property>
  <property fmtid="{D5CDD505-2E9C-101B-9397-08002B2CF9AE}" pid="11" name="SvarFrasKort">
    <vt:lpwstr>med anledning av prop. 2005/06:177</vt:lpwstr>
  </property>
  <property fmtid="{D5CDD505-2E9C-101B-9397-08002B2CF9AE}" pid="12" name="Svar">
    <vt:lpwstr>proposition</vt:lpwstr>
  </property>
  <property fmtid="{D5CDD505-2E9C-101B-9397-08002B2CF9AE}" pid="13" name="SvarNr">
    <vt:lpwstr>2005/06:177</vt:lpwstr>
  </property>
  <property fmtid="{D5CDD505-2E9C-101B-9397-08002B2CF9AE}" pid="14" name="RubrikSvar">
    <vt:lpwstr>Åtgärder för att förhindra vissa särskilt allvarliga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c191</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Johan Linander m.fl. (c)</vt:lpwstr>
  </property>
  <property fmtid="{D5CDD505-2E9C-101B-9397-08002B2CF9AE}" pid="26" name="MotionarLista">
    <vt:lpwstr>Linander, Johan (c)\Gerdin, Viviann (c)\Erlandsson, Eskil (c)\Västerteg, Claes (c)\Lundgren, Kerstin (c)\Hansson, Agne (c)\Andersson, Jan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Linander (c), Viviann Gerdin (c), Eskil Erlandsson (c), Claes Västerteg (c), Kerstin Lundgren (c), Agne Hansson (c), Jan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Ju51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20052006000000000099000001910075</vt:lpwstr>
  </property>
  <property fmtid="{D5CDD505-2E9C-101B-9397-08002B2CF9AE}" pid="47" name="datum">
    <vt:lpwstr>060418</vt:lpwstr>
  </property>
  <property fmtid="{D5CDD505-2E9C-101B-9397-08002B2CF9AE}" pid="48" name="avsändar-e-post">
    <vt:lpwstr/>
  </property>
  <property fmtid="{D5CDD505-2E9C-101B-9397-08002B2CF9AE}" pid="49" name="id">
    <vt:lpwstr>20052006000000000099000001910075</vt:lpwstr>
  </property>
  <property fmtid="{D5CDD505-2E9C-101B-9397-08002B2CF9AE}" pid="50" name="nummer">
    <vt:lpwstr>51</vt:lpwstr>
  </property>
  <property fmtid="{D5CDD505-2E9C-101B-9397-08002B2CF9AE}" pid="51" name="utskottsbeteckning">
    <vt:lpwstr>Ju</vt:lpwstr>
  </property>
  <property fmtid="{D5CDD505-2E9C-101B-9397-08002B2CF9AE}" pid="52" name="GlobalUID">
    <vt:lpwstr>{4B0C7BF3-A134-40F9-A5C6-D6B7BC068B5C}</vt:lpwstr>
  </property>
  <property fmtid="{D5CDD505-2E9C-101B-9397-08002B2CF9AE}" pid="53" name="Överföringar">
    <vt:i4>0</vt:i4>
  </property>
</Properties>
</file>