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865"/>
      </w:tblGrid>
      <w:tr w:rsidR="0021123B" w:rsidTr="00D20642">
        <w:tc>
          <w:tcPr>
            <w:tcW w:w="2268" w:type="dxa"/>
          </w:tcPr>
          <w:p w:rsidR="0021123B" w:rsidRDefault="0021123B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21123B" w:rsidRPr="009D72F6" w:rsidRDefault="0021123B" w:rsidP="007242A3">
            <w:pPr>
              <w:framePr w:w="5035" w:h="1644" w:wrap="notBeside" w:vAnchor="page" w:hAnchor="page" w:x="6573" w:y="72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</w:t>
            </w:r>
          </w:p>
        </w:tc>
      </w:tr>
      <w:tr w:rsidR="0021123B" w:rsidTr="00D20642">
        <w:tc>
          <w:tcPr>
            <w:tcW w:w="5267" w:type="dxa"/>
            <w:gridSpan w:val="3"/>
          </w:tcPr>
          <w:p w:rsidR="0021123B" w:rsidRDefault="0021123B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21123B" w:rsidTr="00D20642">
        <w:tc>
          <w:tcPr>
            <w:tcW w:w="3402" w:type="dxa"/>
            <w:gridSpan w:val="2"/>
          </w:tcPr>
          <w:p w:rsidR="0021123B" w:rsidRDefault="0021123B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21123B" w:rsidRDefault="0021123B" w:rsidP="007242A3">
            <w:pPr>
              <w:framePr w:w="5035" w:h="1644" w:wrap="notBeside" w:vAnchor="page" w:hAnchor="page" w:x="6573" w:y="721"/>
            </w:pPr>
          </w:p>
        </w:tc>
      </w:tr>
      <w:tr w:rsidR="0021123B" w:rsidTr="00D20642">
        <w:tc>
          <w:tcPr>
            <w:tcW w:w="2268" w:type="dxa"/>
          </w:tcPr>
          <w:p w:rsidR="0021123B" w:rsidRDefault="0021123B" w:rsidP="007242A3">
            <w:pPr>
              <w:framePr w:w="5035" w:h="1644" w:wrap="notBeside" w:vAnchor="page" w:hAnchor="page" w:x="6573" w:y="721"/>
            </w:pPr>
            <w:r>
              <w:t>2012-05-16</w:t>
            </w: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21123B" w:rsidRPr="00ED583F" w:rsidRDefault="0021123B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21123B" w:rsidTr="00D20642">
        <w:tc>
          <w:tcPr>
            <w:tcW w:w="2268" w:type="dxa"/>
          </w:tcPr>
          <w:p w:rsidR="0021123B" w:rsidRDefault="0021123B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21123B" w:rsidRDefault="0021123B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21123B">
        <w:trPr>
          <w:trHeight w:val="284"/>
        </w:trPr>
        <w:tc>
          <w:tcPr>
            <w:tcW w:w="4911" w:type="dxa"/>
          </w:tcPr>
          <w:p w:rsidR="0021123B" w:rsidRDefault="0021123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21123B">
        <w:trPr>
          <w:trHeight w:val="284"/>
        </w:trPr>
        <w:tc>
          <w:tcPr>
            <w:tcW w:w="4911" w:type="dxa"/>
          </w:tcPr>
          <w:p w:rsidR="0021123B" w:rsidRDefault="0021123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1123B">
        <w:trPr>
          <w:trHeight w:val="284"/>
        </w:trPr>
        <w:tc>
          <w:tcPr>
            <w:tcW w:w="4911" w:type="dxa"/>
          </w:tcPr>
          <w:p w:rsidR="0021123B" w:rsidRDefault="0021123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Forskningspolitiska enheten</w:t>
            </w:r>
          </w:p>
        </w:tc>
      </w:tr>
      <w:tr w:rsidR="0021123B">
        <w:trPr>
          <w:trHeight w:val="284"/>
        </w:trPr>
        <w:tc>
          <w:tcPr>
            <w:tcW w:w="4911" w:type="dxa"/>
          </w:tcPr>
          <w:p w:rsidR="0021123B" w:rsidRDefault="0021123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1123B">
        <w:trPr>
          <w:trHeight w:val="284"/>
        </w:trPr>
        <w:tc>
          <w:tcPr>
            <w:tcW w:w="4911" w:type="dxa"/>
          </w:tcPr>
          <w:p w:rsidR="0021123B" w:rsidRDefault="0021123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1123B">
        <w:trPr>
          <w:trHeight w:val="284"/>
        </w:trPr>
        <w:tc>
          <w:tcPr>
            <w:tcW w:w="4911" w:type="dxa"/>
          </w:tcPr>
          <w:p w:rsidR="0021123B" w:rsidRDefault="0021123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1123B">
        <w:trPr>
          <w:trHeight w:val="284"/>
        </w:trPr>
        <w:tc>
          <w:tcPr>
            <w:tcW w:w="4911" w:type="dxa"/>
          </w:tcPr>
          <w:p w:rsidR="0021123B" w:rsidRDefault="0021123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1123B">
        <w:trPr>
          <w:trHeight w:val="284"/>
        </w:trPr>
        <w:tc>
          <w:tcPr>
            <w:tcW w:w="4911" w:type="dxa"/>
          </w:tcPr>
          <w:p w:rsidR="0021123B" w:rsidRDefault="0021123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1123B">
        <w:trPr>
          <w:trHeight w:val="284"/>
        </w:trPr>
        <w:tc>
          <w:tcPr>
            <w:tcW w:w="4911" w:type="dxa"/>
          </w:tcPr>
          <w:p w:rsidR="0021123B" w:rsidRDefault="0021123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21123B" w:rsidRPr="00D20642" w:rsidRDefault="0021123B">
      <w:pPr>
        <w:framePr w:w="4400" w:h="2523" w:wrap="notBeside" w:vAnchor="page" w:hAnchor="page" w:x="6453" w:y="2445"/>
        <w:ind w:left="142"/>
        <w:rPr>
          <w:b/>
        </w:rPr>
      </w:pPr>
      <w:r>
        <w:rPr>
          <w:b/>
        </w:rPr>
        <w:t>Riksdagen</w:t>
      </w:r>
    </w:p>
    <w:p w:rsidR="0021123B" w:rsidRDefault="0021123B">
      <w:pPr>
        <w:pStyle w:val="RKrubrik"/>
        <w:pBdr>
          <w:bottom w:val="single" w:sz="6" w:space="1" w:color="auto"/>
        </w:pBdr>
      </w:pPr>
      <w:bookmarkStart w:id="1" w:name="bRubrik"/>
      <w:bookmarkEnd w:id="1"/>
      <w:r>
        <w:t>Rådets möte (KKR) den 31 maj 2012</w:t>
      </w:r>
    </w:p>
    <w:p w:rsidR="0021123B" w:rsidRDefault="0021123B">
      <w:pPr>
        <w:pStyle w:val="RKnormal"/>
      </w:pPr>
    </w:p>
    <w:p w:rsidR="0021123B" w:rsidRDefault="0021123B">
      <w:pPr>
        <w:pStyle w:val="RKnormal"/>
      </w:pPr>
      <w:r w:rsidRPr="00223D85">
        <w:rPr>
          <w:b/>
        </w:rPr>
        <w:t>Dagordningspunkt</w:t>
      </w:r>
      <w:r>
        <w:rPr>
          <w:b/>
        </w:rPr>
        <w:t>:</w:t>
      </w:r>
      <w:r>
        <w:t xml:space="preserve"> 10 b-d</w:t>
      </w:r>
    </w:p>
    <w:p w:rsidR="0021123B" w:rsidRDefault="0021123B">
      <w:pPr>
        <w:pStyle w:val="RKnormal"/>
      </w:pPr>
    </w:p>
    <w:p w:rsidR="0021123B" w:rsidRDefault="0021123B">
      <w:pPr>
        <w:pStyle w:val="RKnormal"/>
      </w:pPr>
      <w:r w:rsidRPr="00223D85">
        <w:rPr>
          <w:b/>
        </w:rPr>
        <w:t xml:space="preserve">Rubrik: </w:t>
      </w:r>
      <w:r>
        <w:t>Horisont 2020, framstegsrapport</w:t>
      </w:r>
    </w:p>
    <w:p w:rsidR="0021123B" w:rsidRDefault="0021123B">
      <w:pPr>
        <w:pStyle w:val="RKnormal"/>
      </w:pPr>
    </w:p>
    <w:p w:rsidR="0021123B" w:rsidRPr="00223D85" w:rsidRDefault="0021123B">
      <w:pPr>
        <w:pStyle w:val="RKnormal"/>
        <w:rPr>
          <w:b/>
        </w:rPr>
      </w:pPr>
      <w:r w:rsidRPr="00223D85">
        <w:rPr>
          <w:b/>
        </w:rPr>
        <w:t xml:space="preserve">Dokument: </w:t>
      </w:r>
      <w:r w:rsidRPr="0048100F">
        <w:t>9940/12</w:t>
      </w:r>
    </w:p>
    <w:p w:rsidR="0021123B" w:rsidRDefault="0021123B">
      <w:pPr>
        <w:pStyle w:val="RKnormal"/>
      </w:pPr>
    </w:p>
    <w:p w:rsidR="0021123B" w:rsidRPr="00223D85" w:rsidRDefault="0021123B">
      <w:pPr>
        <w:pStyle w:val="RKnormal"/>
        <w:rPr>
          <w:b/>
        </w:rPr>
      </w:pPr>
      <w:r w:rsidRPr="00223D85">
        <w:rPr>
          <w:b/>
        </w:rPr>
        <w:t xml:space="preserve">Tidigare dokument:     </w:t>
      </w:r>
    </w:p>
    <w:p w:rsidR="0021123B" w:rsidRDefault="0021123B">
      <w:pPr>
        <w:pStyle w:val="RKnormal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371"/>
      </w:tblGrid>
      <w:tr w:rsidR="0021123B" w:rsidRPr="00D20642" w:rsidTr="00D206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3B" w:rsidRPr="00D20642" w:rsidRDefault="0021123B" w:rsidP="00D20642">
            <w:pPr>
              <w:pStyle w:val="RKnormal"/>
            </w:pPr>
            <w:r w:rsidRPr="00D20642">
              <w:t>KOM(2011) 810</w:t>
            </w:r>
          </w:p>
        </w:tc>
      </w:tr>
      <w:tr w:rsidR="0021123B" w:rsidRPr="00D20642" w:rsidTr="00D206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3B" w:rsidRPr="00D20642" w:rsidRDefault="0021123B" w:rsidP="00D20642">
            <w:pPr>
              <w:pStyle w:val="RKnormal"/>
            </w:pPr>
            <w:r w:rsidRPr="00D20642">
              <w:t>Förslag till Europaparlamentets och rådets förordning om reglerna för deltagande och spridning i "Horisont 2020 – ramprogrammet för forskning och innovation (2014-2020)</w:t>
            </w:r>
          </w:p>
        </w:tc>
      </w:tr>
      <w:tr w:rsidR="0021123B" w:rsidRPr="00D20642" w:rsidTr="00D206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3B" w:rsidRDefault="0021123B" w:rsidP="00D20642">
            <w:pPr>
              <w:pStyle w:val="RKnormal"/>
            </w:pPr>
          </w:p>
          <w:p w:rsidR="0021123B" w:rsidRPr="00D20642" w:rsidRDefault="0021123B" w:rsidP="00D20642">
            <w:pPr>
              <w:pStyle w:val="RKnormal"/>
            </w:pPr>
            <w:r w:rsidRPr="00D20642">
              <w:t>KOM(2011) 811</w:t>
            </w:r>
          </w:p>
        </w:tc>
      </w:tr>
      <w:tr w:rsidR="0021123B" w:rsidRPr="00D20642" w:rsidTr="00D206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3B" w:rsidRPr="00D20642" w:rsidRDefault="0021123B" w:rsidP="00D20642">
            <w:pPr>
              <w:pStyle w:val="RKnormal"/>
            </w:pPr>
            <w:r w:rsidRPr="00D20642">
              <w:t>Förslag till rådets beslut om inrättande av det särskilda programmet för genomförande av Horisont 2020 - ramprogrammet för forskning och innovation (2014-2020)</w:t>
            </w:r>
          </w:p>
        </w:tc>
      </w:tr>
      <w:tr w:rsidR="0021123B" w:rsidRPr="00D20642" w:rsidTr="00D206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3B" w:rsidRDefault="0021123B" w:rsidP="00D20642">
            <w:pPr>
              <w:pStyle w:val="RKnormal"/>
            </w:pPr>
          </w:p>
          <w:p w:rsidR="0021123B" w:rsidRPr="00D20642" w:rsidRDefault="0021123B" w:rsidP="00D20642">
            <w:pPr>
              <w:pStyle w:val="RKnormal"/>
            </w:pPr>
            <w:r w:rsidRPr="00D20642">
              <w:t>KOM(2011) 812</w:t>
            </w:r>
          </w:p>
        </w:tc>
      </w:tr>
      <w:tr w:rsidR="0021123B" w:rsidRPr="00D20642" w:rsidTr="00D206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3B" w:rsidRPr="00D20642" w:rsidRDefault="0021123B" w:rsidP="00D20642">
            <w:pPr>
              <w:pStyle w:val="RKnormal"/>
            </w:pPr>
            <w:r w:rsidRPr="00D20642">
              <w:t>Förslag till rådets förordning om Europeiska atomenergigemenskapens forsknings- och utbildningsprogram (2014–2018) som kompletterar Horisont 2020 – ramprogrammet för forskning och innovation (2014-2020)</w:t>
            </w:r>
          </w:p>
        </w:tc>
      </w:tr>
    </w:tbl>
    <w:p w:rsidR="0021123B" w:rsidRDefault="0021123B">
      <w:pPr>
        <w:pStyle w:val="RKnormal"/>
      </w:pPr>
    </w:p>
    <w:p w:rsidR="0021123B" w:rsidRDefault="0021123B">
      <w:pPr>
        <w:pStyle w:val="RKnormal"/>
      </w:pPr>
      <w:r>
        <w:t>Fakta-PM 2011/12: FPM69</w:t>
      </w:r>
    </w:p>
    <w:p w:rsidR="0021123B" w:rsidRDefault="0021123B">
      <w:pPr>
        <w:pStyle w:val="RKnormal"/>
      </w:pPr>
    </w:p>
    <w:p w:rsidR="0021123B" w:rsidRDefault="0021123B" w:rsidP="007E5D48">
      <w:pPr>
        <w:pStyle w:val="RKnormal"/>
      </w:pPr>
      <w:r w:rsidRPr="00541D96">
        <w:rPr>
          <w:b/>
        </w:rPr>
        <w:t>Tidigare behandlad vid överläggning med utskottet:</w:t>
      </w:r>
      <w:r>
        <w:t xml:space="preserve"> 7 december 2010, 10 maj 2011, 14 februari 2012</w:t>
      </w:r>
    </w:p>
    <w:p w:rsidR="0021123B" w:rsidRDefault="0021123B">
      <w:pPr>
        <w:pStyle w:val="RKnormal"/>
      </w:pPr>
    </w:p>
    <w:p w:rsidR="0021123B" w:rsidRDefault="0021123B">
      <w:pPr>
        <w:pStyle w:val="RKnormal"/>
      </w:pPr>
      <w:r w:rsidRPr="009933FE">
        <w:rPr>
          <w:b/>
        </w:rPr>
        <w:t>Tidigare behandlad vid samråd med EU-nämnden:</w:t>
      </w:r>
      <w:r>
        <w:t xml:space="preserve"> 17 februari 2012</w:t>
      </w:r>
    </w:p>
    <w:p w:rsidR="0021123B" w:rsidRDefault="0021123B">
      <w:pPr>
        <w:pStyle w:val="RKnormal"/>
      </w:pPr>
    </w:p>
    <w:p w:rsidR="0021123B" w:rsidRDefault="0021123B">
      <w:pPr>
        <w:pStyle w:val="RKrubrik"/>
      </w:pPr>
      <w:r>
        <w:t>Bakgrund</w:t>
      </w:r>
    </w:p>
    <w:p w:rsidR="0021123B" w:rsidRDefault="0021123B">
      <w:pPr>
        <w:pStyle w:val="RKnormal"/>
      </w:pPr>
      <w:r>
        <w:t>Ordförandeskapet ska ta fram en framstegsrapport om förhandlingarna om 1) deltaganderegler, 2) särskilda programmet och 3) Euratoms forsknings- och utbildningsprogram för presentation vid KKR.</w:t>
      </w:r>
    </w:p>
    <w:p w:rsidR="0021123B" w:rsidRDefault="0021123B">
      <w:pPr>
        <w:pStyle w:val="RKnormal"/>
      </w:pPr>
    </w:p>
    <w:p w:rsidR="0021123B" w:rsidRDefault="0021123B">
      <w:pPr>
        <w:pStyle w:val="RKnormal"/>
      </w:pPr>
      <w:r>
        <w:t xml:space="preserve">Förslagen har under våren 2012 förhandlats vid ett fåtal tillfällen i rådsarbetsgruppen för forskning. Rapporten ska beskriva läget i förhandlingarna. </w:t>
      </w:r>
    </w:p>
    <w:p w:rsidR="0021123B" w:rsidRDefault="0021123B">
      <w:pPr>
        <w:pStyle w:val="RKnormal"/>
      </w:pPr>
    </w:p>
    <w:p w:rsidR="0021123B" w:rsidRDefault="0021123B">
      <w:pPr>
        <w:pStyle w:val="RKnormal"/>
      </w:pPr>
      <w:r>
        <w:t xml:space="preserve">Förhandlingarna fortsätter under juni under DK ordförandeskap och sedan fr.o.m. juli under CY ordförandeskap. </w:t>
      </w:r>
    </w:p>
    <w:p w:rsidR="0021123B" w:rsidRDefault="0021123B">
      <w:pPr>
        <w:pStyle w:val="RKrubrik"/>
      </w:pPr>
      <w:r>
        <w:t>Rättslig grund och beslutsförfarande</w:t>
      </w:r>
    </w:p>
    <w:p w:rsidR="0021123B" w:rsidRDefault="0021123B" w:rsidP="00D20642">
      <w:pPr>
        <w:pStyle w:val="RKnormal"/>
      </w:pPr>
      <w:r>
        <w:t>Artikel 182.3: Ramprogrammet ska genomföras genom särskilda program. Rådet beslutar om programmet.</w:t>
      </w:r>
    </w:p>
    <w:p w:rsidR="0021123B" w:rsidRDefault="0021123B" w:rsidP="00D20642">
      <w:pPr>
        <w:pStyle w:val="RKnormal"/>
      </w:pPr>
    </w:p>
    <w:p w:rsidR="0021123B" w:rsidRDefault="0021123B" w:rsidP="00D20642">
      <w:pPr>
        <w:pStyle w:val="RKnormal"/>
      </w:pPr>
      <w:r>
        <w:t>Artikel 183: Ramprogrammet ska ha regler för deltagande och spridning av forskningsresultat. Ordinarie lagstiftningsförfarandet gäller.</w:t>
      </w:r>
    </w:p>
    <w:p w:rsidR="0021123B" w:rsidRDefault="0021123B" w:rsidP="00D20642">
      <w:pPr>
        <w:pStyle w:val="RKnormal"/>
      </w:pPr>
    </w:p>
    <w:p w:rsidR="0021123B" w:rsidRDefault="0021123B" w:rsidP="00D20642">
      <w:pPr>
        <w:pStyle w:val="RKnormal"/>
      </w:pPr>
      <w:r w:rsidRPr="002465C1">
        <w:t>Artiklarna</w:t>
      </w:r>
      <w:r>
        <w:t>:</w:t>
      </w:r>
      <w:r w:rsidRPr="002465C1">
        <w:t xml:space="preserve"> 1, 2, 4 och 7 </w:t>
      </w:r>
      <w:r>
        <w:t>(</w:t>
      </w:r>
      <w:r w:rsidRPr="002465C1">
        <w:t>Euratomfördraget</w:t>
      </w:r>
      <w:r>
        <w:t>)</w:t>
      </w:r>
      <w:r w:rsidRPr="002465C1">
        <w:t>. Beslut fattas enhälligt av rådet.</w:t>
      </w:r>
    </w:p>
    <w:p w:rsidR="0021123B" w:rsidRDefault="0021123B">
      <w:pPr>
        <w:pStyle w:val="RKrubrik"/>
        <w:rPr>
          <w:i/>
          <w:iCs/>
        </w:rPr>
      </w:pPr>
      <w:r>
        <w:rPr>
          <w:i/>
          <w:iCs/>
        </w:rPr>
        <w:t>Svensk ståndpunkt</w:t>
      </w:r>
    </w:p>
    <w:p w:rsidR="0021123B" w:rsidRDefault="0021123B">
      <w:pPr>
        <w:pStyle w:val="RKnormal"/>
      </w:pPr>
      <w:r>
        <w:t>Regeringen förväntar sig kunna välkomna framstegsrapporten.</w:t>
      </w:r>
    </w:p>
    <w:p w:rsidR="0021123B" w:rsidRDefault="0021123B">
      <w:pPr>
        <w:pStyle w:val="RKrubrik"/>
      </w:pPr>
      <w:r>
        <w:t>Europaparlamentets inställning</w:t>
      </w:r>
    </w:p>
    <w:p w:rsidR="0021123B" w:rsidRDefault="0021123B">
      <w:pPr>
        <w:pStyle w:val="RKnormal"/>
      </w:pPr>
      <w:r>
        <w:t>Europaparlamentet väntas ta ställning till deltagandereglerna i november 2011.</w:t>
      </w:r>
    </w:p>
    <w:p w:rsidR="0021123B" w:rsidRPr="00583C92" w:rsidRDefault="0021123B">
      <w:pPr>
        <w:pStyle w:val="RKrubrik"/>
        <w:rPr>
          <w:iCs/>
        </w:rPr>
      </w:pPr>
      <w:r w:rsidRPr="00583C92">
        <w:rPr>
          <w:iCs/>
        </w:rPr>
        <w:t>Förslagen</w:t>
      </w:r>
    </w:p>
    <w:p w:rsidR="0021123B" w:rsidRPr="002465C1" w:rsidRDefault="0021123B" w:rsidP="002465C1">
      <w:pPr>
        <w:pStyle w:val="RKnormal"/>
        <w:rPr>
          <w:i/>
        </w:rPr>
      </w:pPr>
      <w:r>
        <w:rPr>
          <w:i/>
        </w:rPr>
        <w:t>Förslag om d</w:t>
      </w:r>
      <w:r w:rsidRPr="002465C1">
        <w:rPr>
          <w:i/>
        </w:rPr>
        <w:t>eltaganderegler</w:t>
      </w:r>
    </w:p>
    <w:p w:rsidR="0021123B" w:rsidRPr="002465C1" w:rsidRDefault="0021123B" w:rsidP="002465C1">
      <w:pPr>
        <w:pStyle w:val="RKnormal"/>
      </w:pPr>
      <w:r>
        <w:t xml:space="preserve">Förslaget </w:t>
      </w:r>
      <w:r w:rsidRPr="002465C1">
        <w:t>behandlar vilka regler som ska gälla för deltagande och för spridning av resultat inom Horisont 2020.</w:t>
      </w:r>
      <w:r>
        <w:t xml:space="preserve"> </w:t>
      </w:r>
      <w:r w:rsidRPr="002465C1">
        <w:t xml:space="preserve">De föreslagna reglerna har tagits fram med syftet att få ett enhetligt och förenklat regelverk som underlättar deltagande och bidrar till ett effektivt genomförande. </w:t>
      </w:r>
    </w:p>
    <w:p w:rsidR="0021123B" w:rsidRDefault="0021123B">
      <w:pPr>
        <w:pStyle w:val="RKnormal"/>
      </w:pPr>
    </w:p>
    <w:p w:rsidR="0021123B" w:rsidRPr="002465C1" w:rsidRDefault="0021123B">
      <w:pPr>
        <w:pStyle w:val="RKnormal"/>
        <w:rPr>
          <w:i/>
        </w:rPr>
      </w:pPr>
      <w:r>
        <w:rPr>
          <w:i/>
        </w:rPr>
        <w:t>Förslag om s</w:t>
      </w:r>
      <w:r w:rsidRPr="002465C1">
        <w:rPr>
          <w:i/>
        </w:rPr>
        <w:t>ärskilt program</w:t>
      </w:r>
    </w:p>
    <w:p w:rsidR="0021123B" w:rsidRDefault="0021123B" w:rsidP="002465C1">
      <w:pPr>
        <w:pStyle w:val="RKnormal"/>
      </w:pPr>
      <w:r>
        <w:t>Det särskilda programmet fastställer de närmare villkoren för genomförande av ramprogrammet och de medel som behövs. Det särskilda programmet utgör därmed en utveckling av vad som beslutas i förordningen om ramprogrammet.</w:t>
      </w:r>
    </w:p>
    <w:p w:rsidR="0021123B" w:rsidRDefault="0021123B" w:rsidP="002465C1">
      <w:pPr>
        <w:pStyle w:val="RKnormal"/>
      </w:pPr>
    </w:p>
    <w:p w:rsidR="0021123B" w:rsidRPr="00223D85" w:rsidRDefault="0021123B" w:rsidP="002465C1">
      <w:pPr>
        <w:pStyle w:val="RKnormal"/>
        <w:rPr>
          <w:i/>
        </w:rPr>
      </w:pPr>
      <w:r>
        <w:rPr>
          <w:i/>
        </w:rPr>
        <w:t xml:space="preserve">Förslag om </w:t>
      </w:r>
      <w:r w:rsidRPr="00223D85">
        <w:rPr>
          <w:i/>
        </w:rPr>
        <w:t>Euratom</w:t>
      </w:r>
      <w:r>
        <w:rPr>
          <w:i/>
        </w:rPr>
        <w:t>s forsnings- och utbildningsprogram</w:t>
      </w:r>
    </w:p>
    <w:p w:rsidR="0021123B" w:rsidRPr="002465C1" w:rsidRDefault="0021123B" w:rsidP="002465C1">
      <w:pPr>
        <w:pStyle w:val="RKnormal"/>
      </w:pPr>
      <w:r w:rsidRPr="002465C1">
        <w:t>Programmet gäller forsknings</w:t>
      </w:r>
      <w:r>
        <w:t>- och utbildnings</w:t>
      </w:r>
      <w:r w:rsidRPr="002465C1">
        <w:t>verksamhet på områdena kärnenergi (fusion och fission) och strålskydd för perioden 2014-2018. Enligt Euratomfördraget får program</w:t>
      </w:r>
      <w:r>
        <w:t>met</w:t>
      </w:r>
      <w:r w:rsidRPr="002465C1">
        <w:t xml:space="preserve"> inte löpa på mer än fem år.</w:t>
      </w:r>
      <w:r>
        <w:t xml:space="preserve"> </w:t>
      </w:r>
      <w:r w:rsidRPr="002465C1">
        <w:t>Euratom omfattar indirekta åtgärder för forsknings- och ut</w:t>
      </w:r>
      <w:r>
        <w:t>bildn</w:t>
      </w:r>
      <w:r w:rsidRPr="002465C1">
        <w:t>ingsprogrammet för fusion, indirekta åtgärder för fission, säkerhet och strålskydd samt direkta åtgärder inom ramen för det Gemensamma forskningscentrumets verksamhet (JRC).</w:t>
      </w:r>
    </w:p>
    <w:p w:rsidR="0021123B" w:rsidRDefault="0021123B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:rsidR="0021123B" w:rsidRDefault="0021123B">
      <w:pPr>
        <w:pStyle w:val="RKnormal"/>
      </w:pPr>
      <w:r>
        <w:t>Ej tillämpligt</w:t>
      </w:r>
    </w:p>
    <w:p w:rsidR="0021123B" w:rsidRDefault="0021123B">
      <w:pPr>
        <w:pStyle w:val="RKrubrik"/>
      </w:pPr>
      <w:r>
        <w:t>Ekonomiska konsekvenser</w:t>
      </w:r>
    </w:p>
    <w:p w:rsidR="0021123B" w:rsidRPr="001856B5" w:rsidRDefault="0021123B" w:rsidP="00223D85">
      <w:pPr>
        <w:pStyle w:val="RKnormal"/>
      </w:pPr>
      <w:r w:rsidRPr="001856B5">
        <w:t>Kommissionens totala förslag till flerårig budgetram för perioden 2014-2020 innebär en ökning med sju procent jämfört med nuvarande budgetram, vilket skulle medföra en höjning av den svenska EU-avgiften med ca 10 miljarder kronor per år som en direkt följd av den ökade åtagandenivån och de minskade rabatterna på EU-avgiften samt av lågt genomförande och utestående åtaganden från innevarande budgetram.</w:t>
      </w:r>
    </w:p>
    <w:p w:rsidR="0021123B" w:rsidRDefault="0021123B" w:rsidP="00223D85">
      <w:pPr>
        <w:pStyle w:val="RKnormal"/>
      </w:pPr>
    </w:p>
    <w:p w:rsidR="0021123B" w:rsidRPr="001856B5" w:rsidRDefault="0021123B" w:rsidP="00223D85">
      <w:pPr>
        <w:pStyle w:val="RKnormal"/>
      </w:pPr>
      <w:r w:rsidRPr="001856B5">
        <w:t>Det svenska deltagandet inom det pågående sjunde ramprogrammet för forskning (2007–2013) är högt och motsvarar ca 3,9 procent av de beviljade medlen, vilket innebär en positiv nettoeffekt.</w:t>
      </w:r>
    </w:p>
    <w:p w:rsidR="0021123B" w:rsidRDefault="0021123B" w:rsidP="00223D85">
      <w:pPr>
        <w:pStyle w:val="RKnormal"/>
      </w:pPr>
    </w:p>
    <w:p w:rsidR="0021123B" w:rsidRDefault="0021123B" w:rsidP="00223D85">
      <w:pPr>
        <w:pStyle w:val="RKnormal"/>
      </w:pPr>
      <w:r w:rsidRPr="001856B5">
        <w:t>Kommissionen föreslår en budget på 80 miljarder euro för Horisont 2020 under perioden 2014-2020 (2011 års priser). Budgeten för det pågående sjunde ramprogrammet för forskning uppgår till ca 55 miljarder euro (2011 års priser).</w:t>
      </w:r>
    </w:p>
    <w:p w:rsidR="0021123B" w:rsidRPr="001856B5" w:rsidRDefault="0021123B" w:rsidP="00223D85">
      <w:pPr>
        <w:pStyle w:val="RKnormal"/>
      </w:pPr>
    </w:p>
    <w:p w:rsidR="0021123B" w:rsidRPr="001856B5" w:rsidRDefault="0021123B" w:rsidP="00223D85">
      <w:pPr>
        <w:pStyle w:val="RKnormal"/>
      </w:pPr>
      <w:r w:rsidRPr="001856B5">
        <w:t xml:space="preserve">Av kommissionens konsekvensanalys framgår att förslaget till ramprogram bedöms ha positiva effekter på såväl BNP-tillväxt, konkurrenskraft som sysselsättning (SEC(2011)1427). </w:t>
      </w:r>
    </w:p>
    <w:p w:rsidR="0021123B" w:rsidRDefault="0021123B">
      <w:pPr>
        <w:pStyle w:val="RKnormal"/>
        <w:rPr>
          <w:i/>
          <w:iCs/>
        </w:rPr>
      </w:pPr>
    </w:p>
    <w:p w:rsidR="0021123B" w:rsidRDefault="0021123B">
      <w:pPr>
        <w:pStyle w:val="RKnormal"/>
        <w:ind w:left="-1134"/>
      </w:pPr>
    </w:p>
    <w:p w:rsidR="0021123B" w:rsidRDefault="0021123B">
      <w:pPr>
        <w:pStyle w:val="RKrubrik"/>
        <w:spacing w:before="0" w:after="0"/>
      </w:pPr>
    </w:p>
    <w:p w:rsidR="0021123B" w:rsidRDefault="0021123B">
      <w:pPr>
        <w:pStyle w:val="RKnormal"/>
      </w:pPr>
    </w:p>
    <w:sectPr w:rsidR="0021123B" w:rsidSect="004C0E53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23B" w:rsidRDefault="0021123B">
      <w:r>
        <w:separator/>
      </w:r>
    </w:p>
  </w:endnote>
  <w:endnote w:type="continuationSeparator" w:id="0">
    <w:p w:rsidR="0021123B" w:rsidRDefault="00211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23B" w:rsidRDefault="0021123B">
      <w:r>
        <w:separator/>
      </w:r>
    </w:p>
  </w:footnote>
  <w:footnote w:type="continuationSeparator" w:id="0">
    <w:p w:rsidR="0021123B" w:rsidRDefault="002112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23B" w:rsidRDefault="0021123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21123B">
      <w:trPr>
        <w:cantSplit/>
      </w:trPr>
      <w:tc>
        <w:tcPr>
          <w:tcW w:w="3119" w:type="dxa"/>
        </w:tcPr>
        <w:p w:rsidR="0021123B" w:rsidRDefault="0021123B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21123B" w:rsidRDefault="0021123B">
          <w:pPr>
            <w:pStyle w:val="Header"/>
            <w:ind w:right="360"/>
          </w:pPr>
        </w:p>
      </w:tc>
      <w:tc>
        <w:tcPr>
          <w:tcW w:w="1525" w:type="dxa"/>
        </w:tcPr>
        <w:p w:rsidR="0021123B" w:rsidRDefault="0021123B">
          <w:pPr>
            <w:pStyle w:val="Header"/>
            <w:ind w:right="360"/>
          </w:pPr>
        </w:p>
      </w:tc>
    </w:tr>
  </w:tbl>
  <w:p w:rsidR="0021123B" w:rsidRDefault="0021123B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23B" w:rsidRDefault="0021123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21123B">
      <w:trPr>
        <w:cantSplit/>
      </w:trPr>
      <w:tc>
        <w:tcPr>
          <w:tcW w:w="3119" w:type="dxa"/>
        </w:tcPr>
        <w:p w:rsidR="0021123B" w:rsidRDefault="0021123B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21123B" w:rsidRDefault="0021123B">
          <w:pPr>
            <w:pStyle w:val="Header"/>
            <w:ind w:right="360"/>
          </w:pPr>
        </w:p>
      </w:tc>
      <w:tc>
        <w:tcPr>
          <w:tcW w:w="1525" w:type="dxa"/>
        </w:tcPr>
        <w:p w:rsidR="0021123B" w:rsidRDefault="0021123B">
          <w:pPr>
            <w:pStyle w:val="Header"/>
            <w:ind w:right="360"/>
          </w:pPr>
        </w:p>
      </w:tc>
    </w:tr>
  </w:tbl>
  <w:p w:rsidR="0021123B" w:rsidRDefault="0021123B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23B" w:rsidRDefault="0021123B">
    <w:pPr>
      <w:framePr w:w="2948" w:h="1321" w:hRule="exact" w:wrap="notBeside" w:vAnchor="page" w:hAnchor="page" w:x="1362" w:y="653"/>
    </w:pPr>
    <w:r w:rsidRPr="00F56DBE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pt;visibility:visible">
          <v:imagedata r:id="rId1" o:title=""/>
        </v:shape>
      </w:pict>
    </w:r>
  </w:p>
  <w:p w:rsidR="0021123B" w:rsidRDefault="0021123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1123B" w:rsidRDefault="0021123B">
    <w:pPr>
      <w:rPr>
        <w:rFonts w:ascii="TradeGothic" w:hAnsi="TradeGothic"/>
        <w:b/>
        <w:bCs/>
        <w:spacing w:val="12"/>
        <w:sz w:val="22"/>
      </w:rPr>
    </w:pPr>
  </w:p>
  <w:p w:rsidR="0021123B" w:rsidRDefault="0021123B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1123B" w:rsidRDefault="0021123B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001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epartement" w:val="Utbildningsdepartementet"/>
    <w:docVar w:name="Regering" w:val="N"/>
  </w:docVars>
  <w:rsids>
    <w:rsidRoot w:val="00D20642"/>
    <w:rsid w:val="000763C7"/>
    <w:rsid w:val="00134396"/>
    <w:rsid w:val="00150384"/>
    <w:rsid w:val="00160901"/>
    <w:rsid w:val="0017763B"/>
    <w:rsid w:val="001805B7"/>
    <w:rsid w:val="001856B5"/>
    <w:rsid w:val="0021123B"/>
    <w:rsid w:val="00223D85"/>
    <w:rsid w:val="002465C1"/>
    <w:rsid w:val="00367B1C"/>
    <w:rsid w:val="004039DD"/>
    <w:rsid w:val="00461BFB"/>
    <w:rsid w:val="0048100F"/>
    <w:rsid w:val="004A328D"/>
    <w:rsid w:val="004C0E53"/>
    <w:rsid w:val="004D5745"/>
    <w:rsid w:val="0054064B"/>
    <w:rsid w:val="00541D96"/>
    <w:rsid w:val="00583C92"/>
    <w:rsid w:val="0058762B"/>
    <w:rsid w:val="00620E37"/>
    <w:rsid w:val="006E4E11"/>
    <w:rsid w:val="007242A3"/>
    <w:rsid w:val="0075226A"/>
    <w:rsid w:val="007A6855"/>
    <w:rsid w:val="007C3F61"/>
    <w:rsid w:val="007E5D48"/>
    <w:rsid w:val="008C3BB5"/>
    <w:rsid w:val="0092027A"/>
    <w:rsid w:val="00955E31"/>
    <w:rsid w:val="00992E72"/>
    <w:rsid w:val="009933FE"/>
    <w:rsid w:val="009D72F6"/>
    <w:rsid w:val="00AF26D1"/>
    <w:rsid w:val="00B310DF"/>
    <w:rsid w:val="00D133D7"/>
    <w:rsid w:val="00D20642"/>
    <w:rsid w:val="00DF5009"/>
    <w:rsid w:val="00E80146"/>
    <w:rsid w:val="00E904D0"/>
    <w:rsid w:val="00EC25F9"/>
    <w:rsid w:val="00ED01B0"/>
    <w:rsid w:val="00ED583F"/>
    <w:rsid w:val="00F37D22"/>
    <w:rsid w:val="00F56DBE"/>
    <w:rsid w:val="00FF2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E53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4C0E53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4C0E53"/>
    <w:pPr>
      <w:spacing w:before="360"/>
      <w:outlineLvl w:val="1"/>
    </w:pPr>
  </w:style>
  <w:style w:type="paragraph" w:styleId="Heading3">
    <w:name w:val="heading 3"/>
    <w:basedOn w:val="Heading2"/>
    <w:next w:val="RKnormal"/>
    <w:link w:val="Heading3Char"/>
    <w:uiPriority w:val="99"/>
    <w:qFormat/>
    <w:rsid w:val="004C0E53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4C0E53"/>
    <w:pPr>
      <w:spacing w:after="40"/>
      <w:outlineLvl w:val="3"/>
    </w:pPr>
    <w:rPr>
      <w:rFonts w:ascii="OrigGarmnd BT" w:hAnsi="OrigGarmnd BT"/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41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41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41C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41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customStyle="1" w:styleId="Avsndare">
    <w:name w:val="Avsändare"/>
    <w:basedOn w:val="Normal"/>
    <w:uiPriority w:val="99"/>
    <w:rsid w:val="004C0E53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4C0E53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E741C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C0E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741C"/>
    <w:rPr>
      <w:rFonts w:ascii="OrigGarmnd BT" w:hAnsi="OrigGarmnd BT"/>
      <w:sz w:val="24"/>
      <w:szCs w:val="20"/>
      <w:lang w:eastAsia="en-US"/>
    </w:rPr>
  </w:style>
  <w:style w:type="paragraph" w:customStyle="1" w:styleId="RKnormal">
    <w:name w:val="RKnormal"/>
    <w:basedOn w:val="Normal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uiPriority w:val="99"/>
    <w:rsid w:val="004C0E53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4C0E5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310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310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419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4183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4178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4191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94223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94222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294177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9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29420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294225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416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417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4213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9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4201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94176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9418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294196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9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29424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294202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4182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4210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4207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419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94238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94211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294220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9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294209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29422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4187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422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4197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9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4184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94173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94174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294203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94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294188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294208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9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4237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4230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4232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9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4165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94166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9417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2941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9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294195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294170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4164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4234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4231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421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9418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9420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294180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9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294199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294217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546</Words>
  <Characters>3675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Per-Erik Yngwe</dc:creator>
  <cp:keywords/>
  <dc:description/>
  <cp:lastModifiedBy>ha0808ab</cp:lastModifiedBy>
  <cp:revision>2</cp:revision>
  <cp:lastPrinted>2012-05-21T09:36:00Z</cp:lastPrinted>
  <dcterms:created xsi:type="dcterms:W3CDTF">2012-05-21T09:37:00Z</dcterms:created>
  <dcterms:modified xsi:type="dcterms:W3CDTF">2012-05-21T09:37:00Z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0x010100D4E2D80DC721422ABBDF033BB3857F49030036606E08A0126A4D909FD60C9B421A9B</vt:lpwstr>
  </property>
  <property fmtid="{D5CDD505-2E9C-101B-9397-08002B2CF9AE}" pid="6" name="RKOrdnaSarskildSkyddsvard">
    <vt:lpwstr>false</vt:lpwstr>
  </property>
  <property fmtid="{D5CDD505-2E9C-101B-9397-08002B2CF9AE}" pid="7" name="RKOrdnaActivityCategory2">
    <vt:lpwstr>4.1. Europeiska unionen</vt:lpwstr>
  </property>
  <property fmtid="{D5CDD505-2E9C-101B-9397-08002B2CF9AE}" pid="8" name="RKOrdnaClass">
    <vt:lpwstr/>
  </property>
  <property fmtid="{D5CDD505-2E9C-101B-9397-08002B2CF9AE}" pid="9" name="RKOrdnaSearchKeywords">
    <vt:lpwstr/>
  </property>
  <property fmtid="{D5CDD505-2E9C-101B-9397-08002B2CF9AE}" pid="10" name="RKOrdnaDepartement2">
    <vt:lpwstr>Utbildningsdepartementet</vt:lpwstr>
  </property>
  <property fmtid="{D5CDD505-2E9C-101B-9397-08002B2CF9AE}" pid="11" name="QFMSP source name">
    <vt:lpwstr/>
  </property>
  <property fmtid="{D5CDD505-2E9C-101B-9397-08002B2CF9AE}" pid="12" name="RKOrdnaDiarienummer">
    <vt:lpwstr/>
  </property>
  <property fmtid="{D5CDD505-2E9C-101B-9397-08002B2CF9AE}" pid="13" name="RKOrdnaCheckInComment">
    <vt:lpwstr/>
  </property>
</Properties>
</file>