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7D53"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059D1D14" w14:textId="77777777">
        <w:tc>
          <w:tcPr>
            <w:tcW w:w="9141" w:type="dxa"/>
          </w:tcPr>
          <w:p w14:paraId="5B0FBB9B" w14:textId="77777777" w:rsidR="00447E69" w:rsidRDefault="00447E69">
            <w:r>
              <w:t>UTBILDNINGSUTSKOTTET</w:t>
            </w:r>
          </w:p>
        </w:tc>
      </w:tr>
    </w:tbl>
    <w:p w14:paraId="77712DBA" w14:textId="77777777" w:rsidR="00447E69" w:rsidRDefault="00447E69"/>
    <w:p w14:paraId="4BF431E1"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12D2FC59" w14:textId="77777777">
        <w:trPr>
          <w:cantSplit/>
          <w:trHeight w:val="742"/>
        </w:trPr>
        <w:tc>
          <w:tcPr>
            <w:tcW w:w="1985" w:type="dxa"/>
          </w:tcPr>
          <w:p w14:paraId="722A6192" w14:textId="77777777" w:rsidR="00447E69" w:rsidRDefault="00447E69">
            <w:pPr>
              <w:rPr>
                <w:b/>
              </w:rPr>
            </w:pPr>
            <w:r>
              <w:rPr>
                <w:b/>
              </w:rPr>
              <w:t xml:space="preserve">PROTOKOLL </w:t>
            </w:r>
          </w:p>
        </w:tc>
        <w:tc>
          <w:tcPr>
            <w:tcW w:w="6463" w:type="dxa"/>
          </w:tcPr>
          <w:p w14:paraId="5EEE2043" w14:textId="37C1A5E3" w:rsidR="00447E69" w:rsidRDefault="00E04650">
            <w:pPr>
              <w:rPr>
                <w:b/>
              </w:rPr>
            </w:pPr>
            <w:r>
              <w:rPr>
                <w:b/>
              </w:rPr>
              <w:t>UTSKOTTSSAMMANTRÄDE 20</w:t>
            </w:r>
            <w:r w:rsidR="00BD09A6">
              <w:rPr>
                <w:b/>
              </w:rPr>
              <w:t>2</w:t>
            </w:r>
            <w:r w:rsidR="00506F63">
              <w:rPr>
                <w:b/>
              </w:rPr>
              <w:t>2</w:t>
            </w:r>
            <w:r w:rsidR="00E362AB">
              <w:rPr>
                <w:b/>
              </w:rPr>
              <w:t>/2</w:t>
            </w:r>
            <w:r w:rsidR="00506F63">
              <w:rPr>
                <w:b/>
              </w:rPr>
              <w:t>3</w:t>
            </w:r>
            <w:r w:rsidR="00520D71">
              <w:rPr>
                <w:b/>
              </w:rPr>
              <w:t>:</w:t>
            </w:r>
            <w:r w:rsidR="00686DE2">
              <w:rPr>
                <w:b/>
              </w:rPr>
              <w:t>9</w:t>
            </w:r>
          </w:p>
          <w:p w14:paraId="70589EDA" w14:textId="77777777" w:rsidR="00447E69" w:rsidRDefault="00447E69">
            <w:pPr>
              <w:rPr>
                <w:b/>
              </w:rPr>
            </w:pPr>
          </w:p>
        </w:tc>
      </w:tr>
      <w:tr w:rsidR="00447E69" w14:paraId="76BF0D65" w14:textId="77777777">
        <w:tc>
          <w:tcPr>
            <w:tcW w:w="1985" w:type="dxa"/>
          </w:tcPr>
          <w:p w14:paraId="43278C38" w14:textId="77777777" w:rsidR="00447E69" w:rsidRDefault="00447E69">
            <w:r>
              <w:t>DATUM</w:t>
            </w:r>
          </w:p>
        </w:tc>
        <w:tc>
          <w:tcPr>
            <w:tcW w:w="6463" w:type="dxa"/>
          </w:tcPr>
          <w:p w14:paraId="5F3B086C" w14:textId="605EB1CF" w:rsidR="00447E69" w:rsidRDefault="00BB7028" w:rsidP="007765ED">
            <w:r>
              <w:t>20</w:t>
            </w:r>
            <w:r w:rsidR="005F0E85">
              <w:t>2</w:t>
            </w:r>
            <w:r w:rsidR="000A167A">
              <w:t>2</w:t>
            </w:r>
            <w:r w:rsidR="00520D71">
              <w:t>-</w:t>
            </w:r>
            <w:r w:rsidR="00686DE2">
              <w:t>11</w:t>
            </w:r>
            <w:r w:rsidR="00520D71">
              <w:t>-</w:t>
            </w:r>
            <w:r w:rsidR="00686DE2">
              <w:t>15</w:t>
            </w:r>
          </w:p>
        </w:tc>
      </w:tr>
      <w:tr w:rsidR="00447E69" w14:paraId="4996359E" w14:textId="77777777">
        <w:tc>
          <w:tcPr>
            <w:tcW w:w="1985" w:type="dxa"/>
          </w:tcPr>
          <w:p w14:paraId="1A71C6B1" w14:textId="77777777" w:rsidR="00447E69" w:rsidRDefault="00447E69">
            <w:r>
              <w:t>TID</w:t>
            </w:r>
          </w:p>
        </w:tc>
        <w:tc>
          <w:tcPr>
            <w:tcW w:w="6463" w:type="dxa"/>
          </w:tcPr>
          <w:p w14:paraId="19E03677" w14:textId="10DAF549" w:rsidR="00447E69" w:rsidRDefault="00686DE2">
            <w:r>
              <w:t>11</w:t>
            </w:r>
            <w:r w:rsidR="00BF5F58">
              <w:t>:</w:t>
            </w:r>
            <w:r w:rsidR="00B2693D">
              <w:t>00</w:t>
            </w:r>
            <w:r w:rsidR="00FA543D">
              <w:t>–</w:t>
            </w:r>
            <w:r w:rsidR="00E42144">
              <w:t>12:10</w:t>
            </w:r>
          </w:p>
        </w:tc>
      </w:tr>
      <w:tr w:rsidR="00447E69" w14:paraId="07DABD7D" w14:textId="77777777">
        <w:tc>
          <w:tcPr>
            <w:tcW w:w="1985" w:type="dxa"/>
          </w:tcPr>
          <w:p w14:paraId="2293C5B1" w14:textId="77777777" w:rsidR="00447E69" w:rsidRDefault="00CF376E">
            <w:r>
              <w:t>NÄRVARANDE</w:t>
            </w:r>
          </w:p>
        </w:tc>
        <w:tc>
          <w:tcPr>
            <w:tcW w:w="6463" w:type="dxa"/>
          </w:tcPr>
          <w:p w14:paraId="1A13E23B" w14:textId="77777777" w:rsidR="00447E69" w:rsidRDefault="00576AFA">
            <w:r>
              <w:t>Se bilaga</w:t>
            </w:r>
            <w:r w:rsidR="00A956F9">
              <w:t xml:space="preserve"> 1</w:t>
            </w:r>
          </w:p>
        </w:tc>
      </w:tr>
    </w:tbl>
    <w:p w14:paraId="6DA425E5" w14:textId="77777777" w:rsidR="00447E69" w:rsidRDefault="00447E69"/>
    <w:p w14:paraId="4D4EB8F4" w14:textId="454A8BB8" w:rsidR="00447E69" w:rsidRDefault="00447E69">
      <w:pPr>
        <w:tabs>
          <w:tab w:val="left" w:pos="1701"/>
        </w:tabs>
        <w:rPr>
          <w:snapToGrid w:val="0"/>
          <w:color w:val="000000"/>
        </w:rPr>
      </w:pPr>
    </w:p>
    <w:p w14:paraId="57DEDB33" w14:textId="1B8C06B3" w:rsidR="00D61E2A" w:rsidRDefault="00D61E2A">
      <w:pPr>
        <w:tabs>
          <w:tab w:val="left" w:pos="1701"/>
        </w:tabs>
        <w:rPr>
          <w:snapToGrid w:val="0"/>
          <w:color w:val="000000"/>
        </w:rPr>
      </w:pPr>
    </w:p>
    <w:p w14:paraId="65E9CC54" w14:textId="5550A169" w:rsidR="00D61E2A" w:rsidRDefault="00D61E2A">
      <w:pPr>
        <w:tabs>
          <w:tab w:val="left" w:pos="1701"/>
        </w:tabs>
        <w:rPr>
          <w:snapToGrid w:val="0"/>
          <w:color w:val="000000"/>
        </w:rPr>
      </w:pPr>
    </w:p>
    <w:p w14:paraId="601A3EBB" w14:textId="53E12A99" w:rsidR="00447E69" w:rsidRDefault="00447E69">
      <w:pPr>
        <w:tabs>
          <w:tab w:val="left" w:pos="1701"/>
        </w:tabs>
        <w:rPr>
          <w:snapToGrid w:val="0"/>
          <w:color w:val="000000"/>
        </w:rPr>
      </w:pPr>
    </w:p>
    <w:p w14:paraId="002C1A5C" w14:textId="77777777" w:rsidR="00D61E2A" w:rsidRDefault="00D61E2A">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542ABC" w14:paraId="4D5600B5" w14:textId="77777777" w:rsidTr="0001177E">
        <w:tc>
          <w:tcPr>
            <w:tcW w:w="567" w:type="dxa"/>
          </w:tcPr>
          <w:p w14:paraId="63C38945" w14:textId="77777777" w:rsidR="00542ABC" w:rsidRPr="003B4DE8" w:rsidRDefault="00542ABC" w:rsidP="003B4DE8">
            <w:pPr>
              <w:pStyle w:val="Liststycke"/>
              <w:numPr>
                <w:ilvl w:val="0"/>
                <w:numId w:val="2"/>
              </w:numPr>
              <w:tabs>
                <w:tab w:val="left" w:pos="1701"/>
              </w:tabs>
              <w:rPr>
                <w:b/>
                <w:snapToGrid w:val="0"/>
              </w:rPr>
            </w:pPr>
          </w:p>
        </w:tc>
        <w:tc>
          <w:tcPr>
            <w:tcW w:w="6946" w:type="dxa"/>
            <w:gridSpan w:val="2"/>
          </w:tcPr>
          <w:p w14:paraId="3CC85EAE" w14:textId="77777777" w:rsidR="00542ABC" w:rsidRDefault="00542ABC">
            <w:pPr>
              <w:tabs>
                <w:tab w:val="left" w:pos="1701"/>
              </w:tabs>
              <w:rPr>
                <w:b/>
              </w:rPr>
            </w:pPr>
            <w:r>
              <w:rPr>
                <w:b/>
              </w:rPr>
              <w:t>Medgivande att närvara</w:t>
            </w:r>
          </w:p>
          <w:p w14:paraId="09DED6F7" w14:textId="77777777" w:rsidR="00542ABC" w:rsidRDefault="00542ABC">
            <w:pPr>
              <w:tabs>
                <w:tab w:val="left" w:pos="1701"/>
              </w:tabs>
              <w:rPr>
                <w:b/>
              </w:rPr>
            </w:pPr>
          </w:p>
          <w:p w14:paraId="7DC87A52" w14:textId="04ECC912" w:rsidR="00542ABC" w:rsidRDefault="00542ABC" w:rsidP="00542ABC">
            <w:pPr>
              <w:tabs>
                <w:tab w:val="left" w:pos="1701"/>
              </w:tabs>
            </w:pPr>
            <w:r>
              <w:rPr>
                <w:szCs w:val="26"/>
              </w:rPr>
              <w:t xml:space="preserve">Utskottet medgav att föredragande Caroline </w:t>
            </w:r>
            <w:proofErr w:type="spellStart"/>
            <w:r>
              <w:rPr>
                <w:szCs w:val="26"/>
              </w:rPr>
              <w:t>Jender</w:t>
            </w:r>
            <w:proofErr w:type="spellEnd"/>
            <w:r>
              <w:rPr>
                <w:szCs w:val="26"/>
              </w:rPr>
              <w:t xml:space="preserve"> </w:t>
            </w:r>
            <w:proofErr w:type="spellStart"/>
            <w:r>
              <w:rPr>
                <w:szCs w:val="26"/>
              </w:rPr>
              <w:t>Pamrin</w:t>
            </w:r>
            <w:proofErr w:type="spellEnd"/>
            <w:r>
              <w:rPr>
                <w:sz w:val="28"/>
                <w:szCs w:val="28"/>
              </w:rPr>
              <w:t xml:space="preserve"> </w:t>
            </w:r>
            <w:r>
              <w:rPr>
                <w:szCs w:val="26"/>
              </w:rPr>
              <w:t xml:space="preserve">från EU-nämndens kansli </w:t>
            </w:r>
            <w:r>
              <w:t xml:space="preserve">fick närvara vid dagens sammanträde. </w:t>
            </w:r>
          </w:p>
          <w:p w14:paraId="0AEA5F08" w14:textId="5C4C5ED1" w:rsidR="00E42144" w:rsidRDefault="00E42144" w:rsidP="00542ABC">
            <w:pPr>
              <w:tabs>
                <w:tab w:val="left" w:pos="1701"/>
              </w:tabs>
            </w:pPr>
          </w:p>
          <w:p w14:paraId="78DE5881" w14:textId="7289E772" w:rsidR="00E42144" w:rsidRDefault="00633032" w:rsidP="00542ABC">
            <w:pPr>
              <w:tabs>
                <w:tab w:val="left" w:pos="1701"/>
              </w:tabs>
              <w:rPr>
                <w:sz w:val="22"/>
              </w:rPr>
            </w:pPr>
            <w:r>
              <w:t>Denna paragraf</w:t>
            </w:r>
            <w:r w:rsidR="00E42144">
              <w:t xml:space="preserve"> förklarades omedelbart justerad.</w:t>
            </w:r>
          </w:p>
          <w:p w14:paraId="5F7602CB" w14:textId="6DE51EE3" w:rsidR="00542ABC" w:rsidRPr="00794B34" w:rsidRDefault="00542ABC">
            <w:pPr>
              <w:tabs>
                <w:tab w:val="left" w:pos="1701"/>
              </w:tabs>
              <w:rPr>
                <w:b/>
              </w:rPr>
            </w:pPr>
          </w:p>
        </w:tc>
      </w:tr>
      <w:tr w:rsidR="00686DE2" w14:paraId="7B8D81F5" w14:textId="77777777" w:rsidTr="0001177E">
        <w:tc>
          <w:tcPr>
            <w:tcW w:w="567" w:type="dxa"/>
          </w:tcPr>
          <w:p w14:paraId="1789F065" w14:textId="77777777" w:rsidR="00686DE2" w:rsidRPr="003B4DE8" w:rsidRDefault="00686DE2" w:rsidP="003B4DE8">
            <w:pPr>
              <w:pStyle w:val="Liststycke"/>
              <w:numPr>
                <w:ilvl w:val="0"/>
                <w:numId w:val="2"/>
              </w:numPr>
              <w:tabs>
                <w:tab w:val="left" w:pos="1701"/>
              </w:tabs>
              <w:rPr>
                <w:b/>
                <w:snapToGrid w:val="0"/>
              </w:rPr>
            </w:pPr>
          </w:p>
        </w:tc>
        <w:tc>
          <w:tcPr>
            <w:tcW w:w="6946" w:type="dxa"/>
            <w:gridSpan w:val="2"/>
          </w:tcPr>
          <w:p w14:paraId="048D240F" w14:textId="533F4E84" w:rsidR="00686DE2" w:rsidRDefault="00686DE2">
            <w:pPr>
              <w:tabs>
                <w:tab w:val="left" w:pos="1701"/>
              </w:tabs>
              <w:rPr>
                <w:b/>
              </w:rPr>
            </w:pPr>
            <w:r w:rsidRPr="00794B34">
              <w:rPr>
                <w:b/>
              </w:rPr>
              <w:t xml:space="preserve">EU-överläggning om </w:t>
            </w:r>
            <w:proofErr w:type="spellStart"/>
            <w:r w:rsidRPr="00794B34">
              <w:rPr>
                <w:b/>
              </w:rPr>
              <w:t>rådsslutsatser</w:t>
            </w:r>
            <w:proofErr w:type="spellEnd"/>
            <w:r w:rsidRPr="00794B34">
              <w:rPr>
                <w:b/>
              </w:rPr>
              <w:t xml:space="preserve"> om forskningsinfrastruktur</w:t>
            </w:r>
          </w:p>
          <w:p w14:paraId="3EB4111E" w14:textId="77777777" w:rsidR="00686DE2" w:rsidRDefault="00686DE2">
            <w:pPr>
              <w:tabs>
                <w:tab w:val="left" w:pos="1701"/>
              </w:tabs>
              <w:rPr>
                <w:b/>
              </w:rPr>
            </w:pPr>
          </w:p>
          <w:p w14:paraId="604BB3D8" w14:textId="4E69C9BB" w:rsidR="00686DE2" w:rsidRDefault="00686DE2">
            <w:pPr>
              <w:tabs>
                <w:tab w:val="left" w:pos="1701"/>
              </w:tabs>
              <w:rPr>
                <w:bCs/>
              </w:rPr>
            </w:pPr>
            <w:r w:rsidRPr="00686DE2">
              <w:rPr>
                <w:bCs/>
              </w:rPr>
              <w:t xml:space="preserve">Utskottet överlade med statssekreterare Maria Nilsson, biträdd av medarbetare från Utbildningsdepartementet, om </w:t>
            </w:r>
            <w:proofErr w:type="spellStart"/>
            <w:r w:rsidRPr="00686DE2">
              <w:rPr>
                <w:bCs/>
              </w:rPr>
              <w:t>rådsslutsatser</w:t>
            </w:r>
            <w:proofErr w:type="spellEnd"/>
            <w:r w:rsidRPr="00686DE2">
              <w:rPr>
                <w:bCs/>
              </w:rPr>
              <w:t xml:space="preserve"> om forskningsinfrastruktur. </w:t>
            </w:r>
          </w:p>
          <w:p w14:paraId="4B6CECF0" w14:textId="2CCAA382" w:rsidR="008B1824" w:rsidRDefault="008B1824">
            <w:pPr>
              <w:tabs>
                <w:tab w:val="left" w:pos="1701"/>
              </w:tabs>
              <w:rPr>
                <w:bCs/>
              </w:rPr>
            </w:pPr>
          </w:p>
          <w:p w14:paraId="74EF706A" w14:textId="32339E6A" w:rsidR="008B1824" w:rsidRPr="008B1824" w:rsidRDefault="008B1824">
            <w:pPr>
              <w:tabs>
                <w:tab w:val="left" w:pos="1701"/>
              </w:tabs>
              <w:rPr>
                <w:bCs/>
                <w:i/>
                <w:iCs/>
              </w:rPr>
            </w:pPr>
            <w:r w:rsidRPr="008B1824">
              <w:rPr>
                <w:bCs/>
                <w:i/>
                <w:iCs/>
              </w:rPr>
              <w:t>Underlag för överläggningen</w:t>
            </w:r>
          </w:p>
          <w:p w14:paraId="25EB1C2D" w14:textId="77777777" w:rsidR="008B1824" w:rsidRPr="008B1824" w:rsidRDefault="008B1824" w:rsidP="008B1824">
            <w:pPr>
              <w:tabs>
                <w:tab w:val="left" w:pos="1701"/>
              </w:tabs>
              <w:rPr>
                <w:bCs/>
              </w:rPr>
            </w:pPr>
            <w:r w:rsidRPr="008B1824">
              <w:rPr>
                <w:bCs/>
              </w:rPr>
              <w:t xml:space="preserve">Promemoria från Utbildningsdepartementet (dnr </w:t>
            </w:r>
            <w:proofErr w:type="gramStart"/>
            <w:r w:rsidRPr="008B1824">
              <w:rPr>
                <w:bCs/>
              </w:rPr>
              <w:t>823-2022</w:t>
            </w:r>
            <w:proofErr w:type="gramEnd"/>
            <w:r w:rsidRPr="008B1824">
              <w:rPr>
                <w:bCs/>
              </w:rPr>
              <w:t>/23)</w:t>
            </w:r>
          </w:p>
          <w:p w14:paraId="24AE923F" w14:textId="29302C22" w:rsidR="008B1824" w:rsidRDefault="008B1824">
            <w:pPr>
              <w:tabs>
                <w:tab w:val="left" w:pos="1701"/>
              </w:tabs>
              <w:rPr>
                <w:bCs/>
              </w:rPr>
            </w:pPr>
            <w:r w:rsidRPr="008B1824">
              <w:rPr>
                <w:bCs/>
              </w:rPr>
              <w:t xml:space="preserve">Rådsdokument ST </w:t>
            </w:r>
            <w:proofErr w:type="gramStart"/>
            <w:r w:rsidRPr="008B1824">
              <w:rPr>
                <w:bCs/>
              </w:rPr>
              <w:t>13573</w:t>
            </w:r>
            <w:proofErr w:type="gramEnd"/>
            <w:r w:rsidRPr="008B1824">
              <w:rPr>
                <w:bCs/>
              </w:rPr>
              <w:t xml:space="preserve">/22 </w:t>
            </w:r>
          </w:p>
          <w:p w14:paraId="567DB925" w14:textId="77777777" w:rsidR="008B1824" w:rsidRDefault="008B1824">
            <w:pPr>
              <w:tabs>
                <w:tab w:val="left" w:pos="1701"/>
              </w:tabs>
              <w:rPr>
                <w:bCs/>
              </w:rPr>
            </w:pPr>
          </w:p>
          <w:p w14:paraId="5CFFF1DA" w14:textId="40A20DD3" w:rsidR="008B1824" w:rsidRPr="008B1824" w:rsidRDefault="008B1824">
            <w:pPr>
              <w:tabs>
                <w:tab w:val="left" w:pos="1701"/>
              </w:tabs>
              <w:rPr>
                <w:bCs/>
                <w:i/>
                <w:iCs/>
              </w:rPr>
            </w:pPr>
            <w:r w:rsidRPr="008B1824">
              <w:rPr>
                <w:bCs/>
                <w:i/>
                <w:iCs/>
              </w:rPr>
              <w:t>Regeringens förslag till svensk ståndpunkt</w:t>
            </w:r>
          </w:p>
          <w:p w14:paraId="420EBFE7" w14:textId="026F20B9" w:rsidR="008B1824" w:rsidRDefault="008B1824" w:rsidP="008B1824">
            <w:pPr>
              <w:tabs>
                <w:tab w:val="left" w:pos="1701"/>
              </w:tabs>
              <w:rPr>
                <w:bCs/>
              </w:rPr>
            </w:pPr>
            <w:r w:rsidRPr="008B1824">
              <w:rPr>
                <w:bCs/>
              </w:rPr>
              <w:t xml:space="preserve">Regeringen välkomnar förslaget till </w:t>
            </w:r>
            <w:proofErr w:type="spellStart"/>
            <w:r w:rsidRPr="008B1824">
              <w:rPr>
                <w:bCs/>
              </w:rPr>
              <w:t>rådsslutsatser</w:t>
            </w:r>
            <w:proofErr w:type="spellEnd"/>
            <w:r w:rsidRPr="008B1824">
              <w:rPr>
                <w:bCs/>
              </w:rPr>
              <w:t xml:space="preserve"> om forsknings-infrastruktur.</w:t>
            </w:r>
          </w:p>
          <w:p w14:paraId="7C4702B7" w14:textId="77777777" w:rsidR="008B1824" w:rsidRPr="008B1824" w:rsidRDefault="008B1824" w:rsidP="008B1824">
            <w:pPr>
              <w:tabs>
                <w:tab w:val="left" w:pos="1701"/>
              </w:tabs>
              <w:rPr>
                <w:bCs/>
              </w:rPr>
            </w:pPr>
          </w:p>
          <w:p w14:paraId="4AE4E925" w14:textId="4B401873" w:rsidR="008B1824" w:rsidRDefault="008B1824" w:rsidP="008B1824">
            <w:pPr>
              <w:tabs>
                <w:tab w:val="left" w:pos="1701"/>
              </w:tabs>
              <w:rPr>
                <w:bCs/>
              </w:rPr>
            </w:pPr>
            <w:r w:rsidRPr="008B1824">
              <w:rPr>
                <w:bCs/>
              </w:rPr>
              <w:t xml:space="preserve">Regeringen betonar att den primära rollen för forskningsinfrastruktur är att stödja excellent forskning och innovation och hjälpa europeiska forskare att konkurrera på världsnivå. </w:t>
            </w:r>
          </w:p>
          <w:p w14:paraId="74F6C8D1" w14:textId="77777777" w:rsidR="008B1824" w:rsidRPr="008B1824" w:rsidRDefault="008B1824" w:rsidP="008B1824">
            <w:pPr>
              <w:tabs>
                <w:tab w:val="left" w:pos="1701"/>
              </w:tabs>
              <w:rPr>
                <w:bCs/>
              </w:rPr>
            </w:pPr>
          </w:p>
          <w:p w14:paraId="4AD0FD51" w14:textId="3A830059" w:rsidR="008B1824" w:rsidRDefault="008B1824" w:rsidP="008B1824">
            <w:pPr>
              <w:tabs>
                <w:tab w:val="left" w:pos="1701"/>
              </w:tabs>
              <w:rPr>
                <w:bCs/>
              </w:rPr>
            </w:pPr>
            <w:r w:rsidRPr="008B1824">
              <w:rPr>
                <w:bCs/>
              </w:rPr>
              <w:t>Regeringen betonar att det är vetenskaplig kvalitet som ska styra utvecklingen av forskningsinfrastruktur och inte den geografiska spridningen och placeringen av dessa.</w:t>
            </w:r>
          </w:p>
          <w:p w14:paraId="4EB12B13" w14:textId="77777777" w:rsidR="008B1824" w:rsidRPr="008B1824" w:rsidRDefault="008B1824" w:rsidP="008B1824">
            <w:pPr>
              <w:tabs>
                <w:tab w:val="left" w:pos="1701"/>
              </w:tabs>
              <w:rPr>
                <w:bCs/>
              </w:rPr>
            </w:pPr>
          </w:p>
          <w:p w14:paraId="4E92F433" w14:textId="7DCE6272" w:rsidR="008B1824" w:rsidRDefault="008B1824" w:rsidP="008B1824">
            <w:pPr>
              <w:tabs>
                <w:tab w:val="left" w:pos="1701"/>
              </w:tabs>
              <w:rPr>
                <w:bCs/>
              </w:rPr>
            </w:pPr>
            <w:r w:rsidRPr="008B1824">
              <w:rPr>
                <w:bCs/>
              </w:rPr>
              <w:t>Regeringen välkomnar ansatsen till långsiktig hållbar driftscykel av forskningsinfrastruktur.</w:t>
            </w:r>
          </w:p>
          <w:p w14:paraId="71A3BADA" w14:textId="77777777" w:rsidR="008B1824" w:rsidRPr="008B1824" w:rsidRDefault="008B1824" w:rsidP="008B1824">
            <w:pPr>
              <w:tabs>
                <w:tab w:val="left" w:pos="1701"/>
              </w:tabs>
              <w:rPr>
                <w:bCs/>
              </w:rPr>
            </w:pPr>
          </w:p>
          <w:p w14:paraId="76AF3851" w14:textId="31443EBF" w:rsidR="008B1824" w:rsidRDefault="008B1824" w:rsidP="008B1824">
            <w:pPr>
              <w:tabs>
                <w:tab w:val="left" w:pos="1701"/>
              </w:tabs>
              <w:rPr>
                <w:bCs/>
              </w:rPr>
            </w:pPr>
            <w:r w:rsidRPr="008B1824">
              <w:rPr>
                <w:bCs/>
              </w:rPr>
              <w:t xml:space="preserve">Regeringen framhåller vikten av att underlätta industrins tillgång till forskningsinfrastruktur för att stärka den europeiska konkurrenskraften. Det är av stor betydelse att synen på forskningsinfrastruktur och dess nytta vidgas och att näringslivets </w:t>
            </w:r>
            <w:r w:rsidRPr="008B1824">
              <w:rPr>
                <w:bCs/>
              </w:rPr>
              <w:lastRenderedPageBreak/>
              <w:t>möjlighet att delta i både uppbyggnad och användning ökas, för att kunna bidra till att lösa samhällsutmaningar.</w:t>
            </w:r>
          </w:p>
          <w:p w14:paraId="2228017A" w14:textId="77777777" w:rsidR="008B1824" w:rsidRPr="008B1824" w:rsidRDefault="008B1824" w:rsidP="008B1824">
            <w:pPr>
              <w:tabs>
                <w:tab w:val="left" w:pos="1701"/>
              </w:tabs>
              <w:rPr>
                <w:bCs/>
              </w:rPr>
            </w:pPr>
          </w:p>
          <w:p w14:paraId="2C856EDC" w14:textId="73CD61DC" w:rsidR="008B1824" w:rsidRDefault="008B1824">
            <w:pPr>
              <w:tabs>
                <w:tab w:val="left" w:pos="1701"/>
              </w:tabs>
              <w:rPr>
                <w:bCs/>
              </w:rPr>
            </w:pPr>
            <w:r w:rsidRPr="008B1824">
              <w:rPr>
                <w:bCs/>
              </w:rPr>
              <w:t xml:space="preserve">Regeringen anser att Sverige kan ställa sig bakom </w:t>
            </w:r>
            <w:proofErr w:type="spellStart"/>
            <w:r w:rsidRPr="008B1824">
              <w:rPr>
                <w:bCs/>
              </w:rPr>
              <w:t>rådsslutsatserna</w:t>
            </w:r>
            <w:proofErr w:type="spellEnd"/>
            <w:r w:rsidRPr="008B1824">
              <w:rPr>
                <w:bCs/>
              </w:rPr>
              <w:t>.</w:t>
            </w:r>
          </w:p>
          <w:p w14:paraId="4E365363" w14:textId="1529CF3D" w:rsidR="008B1824" w:rsidRDefault="008B1824">
            <w:pPr>
              <w:tabs>
                <w:tab w:val="left" w:pos="1701"/>
              </w:tabs>
              <w:rPr>
                <w:bCs/>
              </w:rPr>
            </w:pPr>
          </w:p>
          <w:p w14:paraId="00001B93" w14:textId="3AE7D079" w:rsidR="008B1824" w:rsidRPr="008B1824" w:rsidRDefault="008B1824">
            <w:pPr>
              <w:tabs>
                <w:tab w:val="left" w:pos="1701"/>
              </w:tabs>
              <w:rPr>
                <w:bCs/>
                <w:i/>
                <w:iCs/>
              </w:rPr>
            </w:pPr>
            <w:r w:rsidRPr="008B1824">
              <w:rPr>
                <w:bCs/>
                <w:i/>
                <w:iCs/>
              </w:rPr>
              <w:t>Överläggningen</w:t>
            </w:r>
          </w:p>
          <w:p w14:paraId="6A357278" w14:textId="301299E6" w:rsidR="008B1824" w:rsidRDefault="008B1824">
            <w:pPr>
              <w:tabs>
                <w:tab w:val="left" w:pos="1701"/>
              </w:tabs>
              <w:rPr>
                <w:bCs/>
              </w:rPr>
            </w:pPr>
            <w:r w:rsidRPr="00A7541D">
              <w:rPr>
                <w:bCs/>
              </w:rPr>
              <w:t>Ordföranden konstaterade att det fanns stöd för regeringens ståndpunkt.</w:t>
            </w:r>
          </w:p>
          <w:p w14:paraId="44BF5C89" w14:textId="7C4DC969" w:rsidR="008B1824" w:rsidRDefault="008B1824" w:rsidP="008B1824">
            <w:pPr>
              <w:widowControl/>
              <w:tabs>
                <w:tab w:val="left" w:pos="284"/>
              </w:tabs>
            </w:pPr>
          </w:p>
          <w:p w14:paraId="72511D00" w14:textId="3819EDE4" w:rsidR="008B1824" w:rsidRPr="00686DE2" w:rsidRDefault="008B1824" w:rsidP="008B1824">
            <w:pPr>
              <w:widowControl/>
              <w:tabs>
                <w:tab w:val="left" w:pos="284"/>
              </w:tabs>
              <w:rPr>
                <w:bCs/>
              </w:rPr>
            </w:pPr>
            <w:r>
              <w:t>Denna paragraf förklarades omedelbart justerad.</w:t>
            </w:r>
          </w:p>
          <w:p w14:paraId="21D82198" w14:textId="50582336" w:rsidR="00686DE2" w:rsidRDefault="00686DE2">
            <w:pPr>
              <w:tabs>
                <w:tab w:val="left" w:pos="1701"/>
              </w:tabs>
              <w:rPr>
                <w:b/>
                <w:snapToGrid w:val="0"/>
              </w:rPr>
            </w:pPr>
          </w:p>
        </w:tc>
      </w:tr>
      <w:tr w:rsidR="00686DE2" w14:paraId="3D49549A" w14:textId="77777777" w:rsidTr="0001177E">
        <w:tc>
          <w:tcPr>
            <w:tcW w:w="567" w:type="dxa"/>
          </w:tcPr>
          <w:p w14:paraId="7F8B2FAE" w14:textId="77777777" w:rsidR="00686DE2" w:rsidRPr="003B4DE8" w:rsidRDefault="00686DE2" w:rsidP="003B4DE8">
            <w:pPr>
              <w:pStyle w:val="Liststycke"/>
              <w:numPr>
                <w:ilvl w:val="0"/>
                <w:numId w:val="2"/>
              </w:numPr>
              <w:tabs>
                <w:tab w:val="left" w:pos="1701"/>
              </w:tabs>
              <w:rPr>
                <w:b/>
                <w:snapToGrid w:val="0"/>
              </w:rPr>
            </w:pPr>
          </w:p>
        </w:tc>
        <w:tc>
          <w:tcPr>
            <w:tcW w:w="6946" w:type="dxa"/>
            <w:gridSpan w:val="2"/>
          </w:tcPr>
          <w:p w14:paraId="445A8F1A" w14:textId="77777777" w:rsidR="00686DE2" w:rsidRDefault="00686DE2">
            <w:pPr>
              <w:tabs>
                <w:tab w:val="left" w:pos="1701"/>
              </w:tabs>
              <w:rPr>
                <w:b/>
              </w:rPr>
            </w:pPr>
            <w:r w:rsidRPr="00794B34">
              <w:rPr>
                <w:b/>
              </w:rPr>
              <w:t>EU-överläggning om rådsrekommendation om de vägledande principerna för kunskapsutnyttjande</w:t>
            </w:r>
          </w:p>
          <w:p w14:paraId="21EFC651" w14:textId="77777777" w:rsidR="00686DE2" w:rsidRDefault="00686DE2">
            <w:pPr>
              <w:tabs>
                <w:tab w:val="left" w:pos="1701"/>
              </w:tabs>
              <w:rPr>
                <w:b/>
              </w:rPr>
            </w:pPr>
          </w:p>
          <w:p w14:paraId="074908B5" w14:textId="393E4DFC" w:rsidR="008B1824" w:rsidRDefault="00686DE2" w:rsidP="00686DE2">
            <w:pPr>
              <w:tabs>
                <w:tab w:val="left" w:pos="1701"/>
              </w:tabs>
              <w:rPr>
                <w:bCs/>
              </w:rPr>
            </w:pPr>
            <w:r w:rsidRPr="00686DE2">
              <w:rPr>
                <w:bCs/>
              </w:rPr>
              <w:t>Utskottet överlade med statssekreterare Maria Nilsson, biträdd av medarbetare från Utbildningsdepartementet, om de vägledande principerna för kunskapsutnyttjande.</w:t>
            </w:r>
          </w:p>
          <w:p w14:paraId="707727AE" w14:textId="77777777" w:rsidR="008B1824" w:rsidRDefault="008B1824" w:rsidP="008B1824">
            <w:pPr>
              <w:tabs>
                <w:tab w:val="left" w:pos="1701"/>
              </w:tabs>
              <w:rPr>
                <w:bCs/>
              </w:rPr>
            </w:pPr>
          </w:p>
          <w:p w14:paraId="263A2371" w14:textId="77777777" w:rsidR="008B1824" w:rsidRPr="008B1824" w:rsidRDefault="008B1824" w:rsidP="008B1824">
            <w:pPr>
              <w:tabs>
                <w:tab w:val="left" w:pos="1701"/>
              </w:tabs>
              <w:rPr>
                <w:bCs/>
                <w:i/>
                <w:iCs/>
              </w:rPr>
            </w:pPr>
            <w:r w:rsidRPr="008B1824">
              <w:rPr>
                <w:bCs/>
                <w:i/>
                <w:iCs/>
              </w:rPr>
              <w:t>Underlag för överläggningen</w:t>
            </w:r>
          </w:p>
          <w:p w14:paraId="1023E0AA" w14:textId="77777777" w:rsidR="008B1824" w:rsidRPr="008B1824" w:rsidRDefault="008B1824" w:rsidP="008B1824">
            <w:pPr>
              <w:tabs>
                <w:tab w:val="left" w:pos="1701"/>
              </w:tabs>
              <w:rPr>
                <w:bCs/>
              </w:rPr>
            </w:pPr>
            <w:r w:rsidRPr="008B1824">
              <w:rPr>
                <w:bCs/>
              </w:rPr>
              <w:t xml:space="preserve">Promemoria från Utbildningsdepartementet (dnr </w:t>
            </w:r>
            <w:proofErr w:type="gramStart"/>
            <w:r w:rsidRPr="008B1824">
              <w:rPr>
                <w:bCs/>
              </w:rPr>
              <w:t>824-2022</w:t>
            </w:r>
            <w:proofErr w:type="gramEnd"/>
            <w:r w:rsidRPr="008B1824">
              <w:rPr>
                <w:bCs/>
              </w:rPr>
              <w:t>/23)</w:t>
            </w:r>
          </w:p>
          <w:p w14:paraId="4B6E83CB" w14:textId="77777777" w:rsidR="008B1824" w:rsidRPr="008B1824" w:rsidRDefault="008B1824" w:rsidP="008B1824">
            <w:pPr>
              <w:tabs>
                <w:tab w:val="left" w:pos="1701"/>
              </w:tabs>
              <w:rPr>
                <w:bCs/>
              </w:rPr>
            </w:pPr>
            <w:r w:rsidRPr="008B1824">
              <w:rPr>
                <w:bCs/>
              </w:rPr>
              <w:t xml:space="preserve">Rådsdokument ST </w:t>
            </w:r>
            <w:proofErr w:type="gramStart"/>
            <w:r w:rsidRPr="008B1824">
              <w:rPr>
                <w:bCs/>
              </w:rPr>
              <w:t>13804</w:t>
            </w:r>
            <w:proofErr w:type="gramEnd"/>
            <w:r w:rsidRPr="008B1824">
              <w:rPr>
                <w:bCs/>
              </w:rPr>
              <w:t>/21</w:t>
            </w:r>
          </w:p>
          <w:p w14:paraId="69B7C755" w14:textId="73029EC2" w:rsidR="008B1824" w:rsidRDefault="008B1824" w:rsidP="008B1824">
            <w:pPr>
              <w:tabs>
                <w:tab w:val="left" w:pos="1701"/>
              </w:tabs>
              <w:rPr>
                <w:bCs/>
              </w:rPr>
            </w:pPr>
            <w:proofErr w:type="gramStart"/>
            <w:r w:rsidRPr="008B1824">
              <w:rPr>
                <w:bCs/>
              </w:rPr>
              <w:t>COM(</w:t>
            </w:r>
            <w:proofErr w:type="gramEnd"/>
            <w:r w:rsidRPr="008B1824">
              <w:rPr>
                <w:bCs/>
              </w:rPr>
              <w:t xml:space="preserve">2022)391 </w:t>
            </w:r>
          </w:p>
          <w:p w14:paraId="4A66E491" w14:textId="77777777" w:rsidR="008B1824" w:rsidRDefault="008B1824" w:rsidP="008B1824">
            <w:pPr>
              <w:tabs>
                <w:tab w:val="left" w:pos="1701"/>
              </w:tabs>
              <w:rPr>
                <w:bCs/>
              </w:rPr>
            </w:pPr>
          </w:p>
          <w:p w14:paraId="685B5C99" w14:textId="77777777" w:rsidR="008B1824" w:rsidRPr="008B1824" w:rsidRDefault="008B1824" w:rsidP="008B1824">
            <w:pPr>
              <w:tabs>
                <w:tab w:val="left" w:pos="1701"/>
              </w:tabs>
              <w:rPr>
                <w:bCs/>
                <w:i/>
                <w:iCs/>
              </w:rPr>
            </w:pPr>
            <w:r w:rsidRPr="008B1824">
              <w:rPr>
                <w:bCs/>
                <w:i/>
                <w:iCs/>
              </w:rPr>
              <w:t>Regeringens förslag till svensk ståndpunkt</w:t>
            </w:r>
          </w:p>
          <w:p w14:paraId="191E4E97" w14:textId="50C60B04" w:rsidR="008B1824" w:rsidRDefault="008B1824" w:rsidP="008B1824">
            <w:pPr>
              <w:tabs>
                <w:tab w:val="left" w:pos="1701"/>
              </w:tabs>
              <w:rPr>
                <w:bCs/>
              </w:rPr>
            </w:pPr>
            <w:r w:rsidRPr="008B1824">
              <w:rPr>
                <w:bCs/>
              </w:rPr>
              <w:t>Regeringen anser att förslaget till rådsrekommendation kan bidra till att olika aktörer bättre kan dra nytta av resultaten från forskning och innovation.</w:t>
            </w:r>
          </w:p>
          <w:p w14:paraId="58A17031" w14:textId="77777777" w:rsidR="008B1824" w:rsidRPr="008B1824" w:rsidRDefault="008B1824" w:rsidP="008B1824">
            <w:pPr>
              <w:tabs>
                <w:tab w:val="left" w:pos="1701"/>
              </w:tabs>
              <w:rPr>
                <w:bCs/>
              </w:rPr>
            </w:pPr>
          </w:p>
          <w:p w14:paraId="3AB9A370" w14:textId="4459FC8A" w:rsidR="008B1824" w:rsidRDefault="008B1824" w:rsidP="008B1824">
            <w:pPr>
              <w:tabs>
                <w:tab w:val="left" w:pos="1701"/>
              </w:tabs>
              <w:rPr>
                <w:bCs/>
              </w:rPr>
            </w:pPr>
            <w:r w:rsidRPr="008B1824">
              <w:rPr>
                <w:bCs/>
              </w:rPr>
              <w:t>Regeringen betonar att förslaget är en icke-bindande rekommendation och att utvecklingen av nationella processer och policyverktyg, till exempel nationella färdplaner, ska ske på frivillig basis och anpassas till nationella och regionala förhållanden.</w:t>
            </w:r>
          </w:p>
          <w:p w14:paraId="4B3A13D2" w14:textId="77777777" w:rsidR="008B1824" w:rsidRPr="008B1824" w:rsidRDefault="008B1824" w:rsidP="008B1824">
            <w:pPr>
              <w:tabs>
                <w:tab w:val="left" w:pos="1701"/>
              </w:tabs>
              <w:rPr>
                <w:bCs/>
              </w:rPr>
            </w:pPr>
          </w:p>
          <w:p w14:paraId="7EBFDC72" w14:textId="0E174964" w:rsidR="008B1824" w:rsidRDefault="008B1824" w:rsidP="008B1824">
            <w:pPr>
              <w:tabs>
                <w:tab w:val="left" w:pos="1701"/>
              </w:tabs>
              <w:rPr>
                <w:bCs/>
              </w:rPr>
            </w:pPr>
            <w:r w:rsidRPr="008B1824">
              <w:rPr>
                <w:bCs/>
              </w:rPr>
              <w:t>Regeringen framhåller vikten av immateriella tillgångar och rättigheter för ett ökat värdeskapande och nyttiggörande av forskningsbaserad kunskap.</w:t>
            </w:r>
          </w:p>
          <w:p w14:paraId="2E673C99" w14:textId="77777777" w:rsidR="008B1824" w:rsidRPr="008B1824" w:rsidRDefault="008B1824" w:rsidP="008B1824">
            <w:pPr>
              <w:tabs>
                <w:tab w:val="left" w:pos="1701"/>
              </w:tabs>
              <w:rPr>
                <w:bCs/>
              </w:rPr>
            </w:pPr>
          </w:p>
          <w:p w14:paraId="2178FCAC" w14:textId="498C870F" w:rsidR="008B1824" w:rsidRDefault="008B1824" w:rsidP="008B1824">
            <w:pPr>
              <w:tabs>
                <w:tab w:val="left" w:pos="1701"/>
              </w:tabs>
              <w:rPr>
                <w:bCs/>
              </w:rPr>
            </w:pPr>
            <w:r w:rsidRPr="008B1824">
              <w:rPr>
                <w:bCs/>
              </w:rPr>
              <w:t>Regeringen anser att öppen vetenskap och öppen innovation kan accelerera kunskapsutnyttjandet och i förlängningen gynna användningen av resultat och data för ökad samhällsnytta och ökad konkurrenskraft.</w:t>
            </w:r>
          </w:p>
          <w:p w14:paraId="2F261D3F" w14:textId="77777777" w:rsidR="008B1824" w:rsidRPr="008B1824" w:rsidRDefault="008B1824" w:rsidP="008B1824">
            <w:pPr>
              <w:tabs>
                <w:tab w:val="left" w:pos="1701"/>
              </w:tabs>
              <w:rPr>
                <w:bCs/>
              </w:rPr>
            </w:pPr>
          </w:p>
          <w:p w14:paraId="52834BE6" w14:textId="643CC8B6" w:rsidR="008B1824" w:rsidRDefault="008B1824" w:rsidP="008B1824">
            <w:pPr>
              <w:tabs>
                <w:tab w:val="left" w:pos="1701"/>
              </w:tabs>
              <w:rPr>
                <w:bCs/>
              </w:rPr>
            </w:pPr>
            <w:r w:rsidRPr="008B1824">
              <w:rPr>
                <w:bCs/>
              </w:rPr>
              <w:t>Regeringen anser att Sverige kan ställa sig bakom rådsrekommendationen.</w:t>
            </w:r>
          </w:p>
          <w:p w14:paraId="120395F1" w14:textId="77777777" w:rsidR="008B1824" w:rsidRDefault="008B1824" w:rsidP="008B1824">
            <w:pPr>
              <w:tabs>
                <w:tab w:val="left" w:pos="1701"/>
              </w:tabs>
              <w:rPr>
                <w:bCs/>
              </w:rPr>
            </w:pPr>
          </w:p>
          <w:p w14:paraId="2E9BFACB" w14:textId="77777777" w:rsidR="008B1824" w:rsidRPr="008B1824" w:rsidRDefault="008B1824" w:rsidP="008B1824">
            <w:pPr>
              <w:tabs>
                <w:tab w:val="left" w:pos="1701"/>
              </w:tabs>
              <w:rPr>
                <w:bCs/>
                <w:i/>
                <w:iCs/>
              </w:rPr>
            </w:pPr>
            <w:r w:rsidRPr="008B1824">
              <w:rPr>
                <w:bCs/>
                <w:i/>
                <w:iCs/>
              </w:rPr>
              <w:t>Överläggningen</w:t>
            </w:r>
          </w:p>
          <w:p w14:paraId="2C5C2494" w14:textId="75ACF992" w:rsidR="008B1824" w:rsidRDefault="008B1824" w:rsidP="008B1824">
            <w:pPr>
              <w:tabs>
                <w:tab w:val="left" w:pos="1701"/>
              </w:tabs>
              <w:rPr>
                <w:bCs/>
              </w:rPr>
            </w:pPr>
            <w:r w:rsidRPr="00A7541D">
              <w:rPr>
                <w:bCs/>
              </w:rPr>
              <w:t>Ordföranden konstaterade att det fanns stöd för regeringens ståndpunkt.</w:t>
            </w:r>
          </w:p>
          <w:p w14:paraId="7FD22CFF" w14:textId="77777777" w:rsidR="008B1824" w:rsidRDefault="008B1824" w:rsidP="008B1824">
            <w:pPr>
              <w:widowControl/>
              <w:tabs>
                <w:tab w:val="left" w:pos="284"/>
              </w:tabs>
            </w:pPr>
          </w:p>
          <w:p w14:paraId="7CA8BD68" w14:textId="0AECCB42" w:rsidR="008B1824" w:rsidRDefault="008B1824" w:rsidP="008B1824">
            <w:pPr>
              <w:widowControl/>
              <w:tabs>
                <w:tab w:val="left" w:pos="284"/>
              </w:tabs>
              <w:rPr>
                <w:b/>
              </w:rPr>
            </w:pPr>
            <w:r>
              <w:t>Denna paragraf förklarades omedelbart justerad.</w:t>
            </w:r>
          </w:p>
          <w:p w14:paraId="19B12E49" w14:textId="3653D00A" w:rsidR="00686DE2" w:rsidRDefault="00686DE2">
            <w:pPr>
              <w:tabs>
                <w:tab w:val="left" w:pos="1701"/>
              </w:tabs>
              <w:rPr>
                <w:b/>
                <w:snapToGrid w:val="0"/>
              </w:rPr>
            </w:pPr>
          </w:p>
        </w:tc>
      </w:tr>
      <w:tr w:rsidR="00686DE2" w14:paraId="35FD2BF0" w14:textId="77777777" w:rsidTr="0001177E">
        <w:tc>
          <w:tcPr>
            <w:tcW w:w="567" w:type="dxa"/>
          </w:tcPr>
          <w:p w14:paraId="35F5512B" w14:textId="77777777" w:rsidR="00686DE2" w:rsidRPr="003B4DE8" w:rsidRDefault="00686DE2" w:rsidP="003B4DE8">
            <w:pPr>
              <w:pStyle w:val="Liststycke"/>
              <w:numPr>
                <w:ilvl w:val="0"/>
                <w:numId w:val="2"/>
              </w:numPr>
              <w:tabs>
                <w:tab w:val="left" w:pos="1701"/>
              </w:tabs>
              <w:rPr>
                <w:b/>
                <w:snapToGrid w:val="0"/>
              </w:rPr>
            </w:pPr>
          </w:p>
        </w:tc>
        <w:tc>
          <w:tcPr>
            <w:tcW w:w="6946" w:type="dxa"/>
            <w:gridSpan w:val="2"/>
          </w:tcPr>
          <w:p w14:paraId="1B874AC3" w14:textId="77777777" w:rsidR="00686DE2" w:rsidRDefault="00686DE2">
            <w:pPr>
              <w:tabs>
                <w:tab w:val="left" w:pos="1701"/>
              </w:tabs>
              <w:rPr>
                <w:b/>
              </w:rPr>
            </w:pPr>
            <w:r w:rsidRPr="00794B34">
              <w:rPr>
                <w:b/>
              </w:rPr>
              <w:t>EU-överläggning om vetenskaplig rådgivning</w:t>
            </w:r>
          </w:p>
          <w:p w14:paraId="67FD222C" w14:textId="77777777" w:rsidR="00686DE2" w:rsidRDefault="00686DE2">
            <w:pPr>
              <w:tabs>
                <w:tab w:val="left" w:pos="1701"/>
              </w:tabs>
              <w:rPr>
                <w:b/>
              </w:rPr>
            </w:pPr>
          </w:p>
          <w:p w14:paraId="65FBFD96" w14:textId="2642A06E" w:rsidR="008B1824" w:rsidRDefault="00686DE2" w:rsidP="00686DE2">
            <w:pPr>
              <w:tabs>
                <w:tab w:val="left" w:pos="1701"/>
              </w:tabs>
              <w:rPr>
                <w:bCs/>
              </w:rPr>
            </w:pPr>
            <w:r w:rsidRPr="00686DE2">
              <w:rPr>
                <w:bCs/>
              </w:rPr>
              <w:t>Utskottet överlade med statssekreterare Maria Nilsson, biträdd av medarbetare från Utbildningsdepartementet, om vetenskaplig rådgivning.</w:t>
            </w:r>
          </w:p>
          <w:p w14:paraId="57D62FBE" w14:textId="77777777" w:rsidR="008B1824" w:rsidRDefault="008B1824" w:rsidP="008B1824">
            <w:pPr>
              <w:tabs>
                <w:tab w:val="left" w:pos="1701"/>
              </w:tabs>
              <w:rPr>
                <w:bCs/>
              </w:rPr>
            </w:pPr>
          </w:p>
          <w:p w14:paraId="4EF27ED0" w14:textId="77777777" w:rsidR="008B1824" w:rsidRPr="008B1824" w:rsidRDefault="008B1824" w:rsidP="008B1824">
            <w:pPr>
              <w:tabs>
                <w:tab w:val="left" w:pos="1701"/>
              </w:tabs>
              <w:rPr>
                <w:bCs/>
                <w:i/>
                <w:iCs/>
              </w:rPr>
            </w:pPr>
            <w:r w:rsidRPr="008B1824">
              <w:rPr>
                <w:bCs/>
                <w:i/>
                <w:iCs/>
              </w:rPr>
              <w:t>Underlag för överläggningen</w:t>
            </w:r>
          </w:p>
          <w:p w14:paraId="09D56DFD" w14:textId="26B53D8E" w:rsidR="008B1824" w:rsidRDefault="008B1824" w:rsidP="008B1824">
            <w:pPr>
              <w:tabs>
                <w:tab w:val="left" w:pos="1701"/>
              </w:tabs>
              <w:rPr>
                <w:bCs/>
              </w:rPr>
            </w:pPr>
            <w:r w:rsidRPr="008B1824">
              <w:rPr>
                <w:bCs/>
              </w:rPr>
              <w:t xml:space="preserve">Promemoria från Utbildningsdepartementet (dnr </w:t>
            </w:r>
            <w:proofErr w:type="gramStart"/>
            <w:r w:rsidRPr="008B1824">
              <w:rPr>
                <w:bCs/>
              </w:rPr>
              <w:t>825-2022</w:t>
            </w:r>
            <w:proofErr w:type="gramEnd"/>
            <w:r w:rsidRPr="008B1824">
              <w:rPr>
                <w:bCs/>
              </w:rPr>
              <w:t>/23)</w:t>
            </w:r>
          </w:p>
          <w:p w14:paraId="5BE93470" w14:textId="77777777" w:rsidR="008B1824" w:rsidRDefault="008B1824" w:rsidP="008B1824">
            <w:pPr>
              <w:tabs>
                <w:tab w:val="left" w:pos="1701"/>
              </w:tabs>
              <w:rPr>
                <w:bCs/>
              </w:rPr>
            </w:pPr>
          </w:p>
          <w:p w14:paraId="1C8D8900" w14:textId="77777777" w:rsidR="008B1824" w:rsidRPr="008B1824" w:rsidRDefault="008B1824" w:rsidP="008B1824">
            <w:pPr>
              <w:tabs>
                <w:tab w:val="left" w:pos="1701"/>
              </w:tabs>
              <w:rPr>
                <w:bCs/>
                <w:i/>
                <w:iCs/>
              </w:rPr>
            </w:pPr>
            <w:r w:rsidRPr="008B1824">
              <w:rPr>
                <w:bCs/>
                <w:i/>
                <w:iCs/>
              </w:rPr>
              <w:t>Regeringens förslag till svensk ståndpunkt</w:t>
            </w:r>
          </w:p>
          <w:p w14:paraId="5E775B64" w14:textId="12CAAD4F" w:rsidR="008B1824" w:rsidRDefault="008B1824" w:rsidP="008B1824">
            <w:pPr>
              <w:tabs>
                <w:tab w:val="left" w:pos="1701"/>
              </w:tabs>
              <w:rPr>
                <w:bCs/>
              </w:rPr>
            </w:pPr>
            <w:r w:rsidRPr="008B1824">
              <w:rPr>
                <w:bCs/>
              </w:rPr>
              <w:t>Regeringen betonar att vetenskaplig rådgivning och beslutsfattande på vetenskaplig grund är av grundläggande betydelse för att möta samhällsutmaningar, hantera kriser och stärka demokratin.</w:t>
            </w:r>
          </w:p>
          <w:p w14:paraId="04676AE6" w14:textId="77777777" w:rsidR="008B1824" w:rsidRPr="008B1824" w:rsidRDefault="008B1824" w:rsidP="008B1824">
            <w:pPr>
              <w:tabs>
                <w:tab w:val="left" w:pos="1701"/>
              </w:tabs>
              <w:rPr>
                <w:bCs/>
              </w:rPr>
            </w:pPr>
          </w:p>
          <w:p w14:paraId="23FA0457" w14:textId="0E7C99B4" w:rsidR="008B1824" w:rsidRDefault="008B1824" w:rsidP="008B1824">
            <w:pPr>
              <w:tabs>
                <w:tab w:val="left" w:pos="1701"/>
              </w:tabs>
              <w:rPr>
                <w:bCs/>
              </w:rPr>
            </w:pPr>
            <w:r w:rsidRPr="008B1824">
              <w:rPr>
                <w:bCs/>
              </w:rPr>
              <w:t xml:space="preserve">Regeringen anser att framför allt expert- och analysmyndigheter och expertråd har en viktig roll att bistå med vetenskapligt grundade underlag. Vidare är det universitet och högskolors uppgift att samverka med det omgivande samhället för ömsesidigt utbyte och att verka för att deras kunskap och kompetens kommer samhället till nytta. </w:t>
            </w:r>
          </w:p>
          <w:p w14:paraId="5D213EF1" w14:textId="77777777" w:rsidR="008B1824" w:rsidRPr="008B1824" w:rsidRDefault="008B1824" w:rsidP="008B1824">
            <w:pPr>
              <w:tabs>
                <w:tab w:val="left" w:pos="1701"/>
              </w:tabs>
              <w:rPr>
                <w:bCs/>
              </w:rPr>
            </w:pPr>
          </w:p>
          <w:p w14:paraId="49853E7E" w14:textId="5F78985D" w:rsidR="008B1824" w:rsidRDefault="008B1824" w:rsidP="008B1824">
            <w:pPr>
              <w:tabs>
                <w:tab w:val="left" w:pos="1701"/>
              </w:tabs>
              <w:rPr>
                <w:bCs/>
              </w:rPr>
            </w:pPr>
            <w:r w:rsidRPr="008B1824">
              <w:rPr>
                <w:bCs/>
              </w:rPr>
              <w:t xml:space="preserve">Regeringen framhåller vikten av att alla aktörer i samhället har tillgång till forskning av hög kvalitet och att samhällets förtroende för forskning och beslutsfattande är hög. </w:t>
            </w:r>
          </w:p>
          <w:p w14:paraId="307A0872" w14:textId="77777777" w:rsidR="008B1824" w:rsidRPr="008B1824" w:rsidRDefault="008B1824" w:rsidP="008B1824">
            <w:pPr>
              <w:tabs>
                <w:tab w:val="left" w:pos="1701"/>
              </w:tabs>
              <w:rPr>
                <w:bCs/>
              </w:rPr>
            </w:pPr>
          </w:p>
          <w:p w14:paraId="17BB4D27" w14:textId="54A2BD07" w:rsidR="008B1824" w:rsidRDefault="008B1824" w:rsidP="008B1824">
            <w:pPr>
              <w:tabs>
                <w:tab w:val="left" w:pos="1701"/>
              </w:tabs>
              <w:rPr>
                <w:bCs/>
              </w:rPr>
            </w:pPr>
            <w:r w:rsidRPr="008B1824">
              <w:rPr>
                <w:bCs/>
              </w:rPr>
              <w:t xml:space="preserve">Regeringen anser att öppen vetenskap är en nyckelfaktor för att fler grupper i samhället ska få tillgång till och nyttja oberoende och vetenskapligt grundad kunskap, vilket kan bidra till stärkt motståndskraft mot desinformation och kunskapsresistens. </w:t>
            </w:r>
          </w:p>
          <w:p w14:paraId="023A978E" w14:textId="77777777" w:rsidR="008B1824" w:rsidRPr="008B1824" w:rsidRDefault="008B1824" w:rsidP="008B1824">
            <w:pPr>
              <w:tabs>
                <w:tab w:val="left" w:pos="1701"/>
              </w:tabs>
              <w:rPr>
                <w:bCs/>
              </w:rPr>
            </w:pPr>
          </w:p>
          <w:p w14:paraId="76117E42" w14:textId="1CD4C62E" w:rsidR="008B1824" w:rsidRDefault="008B1824" w:rsidP="008B1824">
            <w:pPr>
              <w:tabs>
                <w:tab w:val="left" w:pos="1701"/>
              </w:tabs>
              <w:rPr>
                <w:bCs/>
              </w:rPr>
            </w:pPr>
            <w:r w:rsidRPr="008B1824">
              <w:rPr>
                <w:bCs/>
              </w:rPr>
              <w:t xml:space="preserve">Regeringen anser att vetenskap och forskning ska stå fri från politisk styrning. </w:t>
            </w:r>
          </w:p>
          <w:p w14:paraId="1825AB15" w14:textId="77777777" w:rsidR="008B1824" w:rsidRDefault="008B1824" w:rsidP="008B1824">
            <w:pPr>
              <w:tabs>
                <w:tab w:val="left" w:pos="1701"/>
              </w:tabs>
              <w:rPr>
                <w:bCs/>
              </w:rPr>
            </w:pPr>
          </w:p>
          <w:p w14:paraId="7820F6E7" w14:textId="77777777" w:rsidR="008B1824" w:rsidRPr="008B1824" w:rsidRDefault="008B1824" w:rsidP="008B1824">
            <w:pPr>
              <w:tabs>
                <w:tab w:val="left" w:pos="1701"/>
              </w:tabs>
              <w:rPr>
                <w:bCs/>
                <w:i/>
                <w:iCs/>
              </w:rPr>
            </w:pPr>
            <w:r w:rsidRPr="008B1824">
              <w:rPr>
                <w:bCs/>
                <w:i/>
                <w:iCs/>
              </w:rPr>
              <w:t>Överläggningen</w:t>
            </w:r>
          </w:p>
          <w:p w14:paraId="23ACF78D" w14:textId="77777777" w:rsidR="008B1824" w:rsidRDefault="008B1824" w:rsidP="008B1824">
            <w:pPr>
              <w:tabs>
                <w:tab w:val="left" w:pos="1701"/>
              </w:tabs>
              <w:rPr>
                <w:bCs/>
              </w:rPr>
            </w:pPr>
            <w:r w:rsidRPr="00395794">
              <w:rPr>
                <w:bCs/>
              </w:rPr>
              <w:t>Ordföranden konstaterade att det fanns stöd för regeringens ståndpunkt.</w:t>
            </w:r>
          </w:p>
          <w:p w14:paraId="76A0BF05" w14:textId="77777777" w:rsidR="008B1824" w:rsidRDefault="008B1824" w:rsidP="008B1824">
            <w:pPr>
              <w:widowControl/>
              <w:tabs>
                <w:tab w:val="left" w:pos="284"/>
              </w:tabs>
            </w:pPr>
          </w:p>
          <w:p w14:paraId="465D15FC" w14:textId="3C5C05F2" w:rsidR="00686DE2" w:rsidRDefault="008B1824" w:rsidP="008B1824">
            <w:pPr>
              <w:widowControl/>
              <w:tabs>
                <w:tab w:val="left" w:pos="284"/>
              </w:tabs>
              <w:rPr>
                <w:b/>
              </w:rPr>
            </w:pPr>
            <w:r>
              <w:t>Denna paragraf förklarades omedelbart justerad.</w:t>
            </w:r>
          </w:p>
          <w:p w14:paraId="1F37AD39" w14:textId="7C214CB2" w:rsidR="00686DE2" w:rsidRDefault="00686DE2">
            <w:pPr>
              <w:tabs>
                <w:tab w:val="left" w:pos="1701"/>
              </w:tabs>
              <w:rPr>
                <w:b/>
                <w:snapToGrid w:val="0"/>
              </w:rPr>
            </w:pPr>
          </w:p>
        </w:tc>
      </w:tr>
      <w:tr w:rsidR="00686DE2" w14:paraId="2AE62AB8" w14:textId="77777777" w:rsidTr="0001177E">
        <w:tc>
          <w:tcPr>
            <w:tcW w:w="567" w:type="dxa"/>
          </w:tcPr>
          <w:p w14:paraId="3F70EF25" w14:textId="77777777" w:rsidR="00686DE2" w:rsidRPr="003B4DE8" w:rsidRDefault="00686DE2" w:rsidP="003B4DE8">
            <w:pPr>
              <w:pStyle w:val="Liststycke"/>
              <w:numPr>
                <w:ilvl w:val="0"/>
                <w:numId w:val="2"/>
              </w:numPr>
              <w:tabs>
                <w:tab w:val="left" w:pos="1701"/>
              </w:tabs>
              <w:rPr>
                <w:b/>
                <w:snapToGrid w:val="0"/>
              </w:rPr>
            </w:pPr>
          </w:p>
        </w:tc>
        <w:tc>
          <w:tcPr>
            <w:tcW w:w="6946" w:type="dxa"/>
            <w:gridSpan w:val="2"/>
          </w:tcPr>
          <w:p w14:paraId="6234625C" w14:textId="77777777" w:rsidR="00686DE2" w:rsidRDefault="00686DE2">
            <w:pPr>
              <w:tabs>
                <w:tab w:val="left" w:pos="1701"/>
              </w:tabs>
              <w:rPr>
                <w:b/>
              </w:rPr>
            </w:pPr>
            <w:r w:rsidRPr="00794B34">
              <w:rPr>
                <w:b/>
              </w:rPr>
              <w:t>EU-överläggning om nyttjande av europeiska rymddata</w:t>
            </w:r>
          </w:p>
          <w:p w14:paraId="51CF32B4" w14:textId="77777777" w:rsidR="00686DE2" w:rsidRDefault="00686DE2">
            <w:pPr>
              <w:tabs>
                <w:tab w:val="left" w:pos="1701"/>
              </w:tabs>
              <w:rPr>
                <w:b/>
              </w:rPr>
            </w:pPr>
          </w:p>
          <w:p w14:paraId="725B2AF7" w14:textId="7EC5087D" w:rsidR="008B1824" w:rsidRDefault="00686DE2">
            <w:pPr>
              <w:tabs>
                <w:tab w:val="left" w:pos="1701"/>
              </w:tabs>
              <w:rPr>
                <w:bCs/>
              </w:rPr>
            </w:pPr>
            <w:r w:rsidRPr="00686DE2">
              <w:rPr>
                <w:bCs/>
              </w:rPr>
              <w:t>Utskottet överlade med statssekreterare Maria Nilsson, biträdd av medarbetare från Utbildningsdepartementet, om nyttjande av europeiska rymddata.</w:t>
            </w:r>
          </w:p>
          <w:p w14:paraId="2E8C4A6E" w14:textId="77777777" w:rsidR="008B1824" w:rsidRDefault="008B1824" w:rsidP="008B1824">
            <w:pPr>
              <w:tabs>
                <w:tab w:val="left" w:pos="1701"/>
              </w:tabs>
              <w:rPr>
                <w:bCs/>
              </w:rPr>
            </w:pPr>
          </w:p>
          <w:p w14:paraId="57102BCF" w14:textId="77777777" w:rsidR="008B1824" w:rsidRPr="008B1824" w:rsidRDefault="008B1824" w:rsidP="008B1824">
            <w:pPr>
              <w:tabs>
                <w:tab w:val="left" w:pos="1701"/>
              </w:tabs>
              <w:rPr>
                <w:bCs/>
                <w:i/>
                <w:iCs/>
              </w:rPr>
            </w:pPr>
            <w:r w:rsidRPr="008B1824">
              <w:rPr>
                <w:bCs/>
                <w:i/>
                <w:iCs/>
              </w:rPr>
              <w:t>Underlag för överläggningen</w:t>
            </w:r>
          </w:p>
          <w:p w14:paraId="61B38753" w14:textId="67E38F3B" w:rsidR="008B1824" w:rsidRDefault="008B1824" w:rsidP="008B1824">
            <w:pPr>
              <w:tabs>
                <w:tab w:val="left" w:pos="1701"/>
              </w:tabs>
              <w:rPr>
                <w:bCs/>
              </w:rPr>
            </w:pPr>
            <w:r w:rsidRPr="008B1824">
              <w:rPr>
                <w:bCs/>
              </w:rPr>
              <w:t xml:space="preserve">Promemoria från Utbildningsdepartementet (dnr </w:t>
            </w:r>
            <w:proofErr w:type="gramStart"/>
            <w:r w:rsidRPr="008B1824">
              <w:rPr>
                <w:bCs/>
              </w:rPr>
              <w:t>826-2022</w:t>
            </w:r>
            <w:proofErr w:type="gramEnd"/>
            <w:r w:rsidRPr="008B1824">
              <w:rPr>
                <w:bCs/>
              </w:rPr>
              <w:t>/23)</w:t>
            </w:r>
          </w:p>
          <w:p w14:paraId="3F5B5A29" w14:textId="77777777" w:rsidR="008B1824" w:rsidRDefault="008B1824" w:rsidP="008B1824">
            <w:pPr>
              <w:tabs>
                <w:tab w:val="left" w:pos="1701"/>
              </w:tabs>
              <w:rPr>
                <w:bCs/>
              </w:rPr>
            </w:pPr>
          </w:p>
          <w:p w14:paraId="2E9EBD06" w14:textId="77777777" w:rsidR="008B1824" w:rsidRPr="008B1824" w:rsidRDefault="008B1824" w:rsidP="008B1824">
            <w:pPr>
              <w:tabs>
                <w:tab w:val="left" w:pos="1701"/>
              </w:tabs>
              <w:rPr>
                <w:bCs/>
                <w:i/>
                <w:iCs/>
              </w:rPr>
            </w:pPr>
            <w:r w:rsidRPr="008B1824">
              <w:rPr>
                <w:bCs/>
                <w:i/>
                <w:iCs/>
              </w:rPr>
              <w:t>Regeringens förslag till svensk ståndpunkt</w:t>
            </w:r>
          </w:p>
          <w:p w14:paraId="730E68A0" w14:textId="418E95BB" w:rsidR="008B1824" w:rsidRDefault="008B1824" w:rsidP="008B1824">
            <w:pPr>
              <w:tabs>
                <w:tab w:val="left" w:pos="1701"/>
              </w:tabs>
              <w:rPr>
                <w:bCs/>
              </w:rPr>
            </w:pPr>
            <w:r w:rsidRPr="008B1824">
              <w:rPr>
                <w:bCs/>
              </w:rPr>
              <w:t xml:space="preserve">Regeringen anser att investeringarna i de europeiska rymdprogrammen ska ge största möjliga samhällsnytta, där bl.a. </w:t>
            </w:r>
            <w:r w:rsidRPr="008B1824">
              <w:rPr>
                <w:bCs/>
              </w:rPr>
              <w:lastRenderedPageBreak/>
              <w:t xml:space="preserve">möjligheterna att bidra till Agenda 2030 tas till vara. Åtkomsten till data, tjänster och information ska därför vara användarvänlig för att främja användning och utveckling av tjänster för olika samhällssektorer och politikområden. I dessa sammanhang är det viktigt att nationell säkerhet värnas samt sekretess, säkerhetsskydd och skyddet för den personliga integriteten upprätthållas. </w:t>
            </w:r>
          </w:p>
          <w:p w14:paraId="16130BF1" w14:textId="77777777" w:rsidR="008B1824" w:rsidRPr="008B1824" w:rsidRDefault="008B1824" w:rsidP="008B1824">
            <w:pPr>
              <w:tabs>
                <w:tab w:val="left" w:pos="1701"/>
              </w:tabs>
              <w:rPr>
                <w:bCs/>
              </w:rPr>
            </w:pPr>
          </w:p>
          <w:p w14:paraId="0AD0BA77" w14:textId="73BDCA54" w:rsidR="008B1824" w:rsidRDefault="008B1824" w:rsidP="008B1824">
            <w:pPr>
              <w:tabs>
                <w:tab w:val="left" w:pos="1701"/>
              </w:tabs>
              <w:rPr>
                <w:bCs/>
              </w:rPr>
            </w:pPr>
            <w:r w:rsidRPr="008B1824">
              <w:rPr>
                <w:bCs/>
              </w:rPr>
              <w:t xml:space="preserve">Regeringen anser att Rymdstyrelsen, i samråd med berörda myndigheter, när det är lämpligt, bör arbeta för att sprida information om tjänster och data från satellitnavigering och jordobservationer till potentiella användare för att dra full nytta av investeringarna i rymdverksamhet. </w:t>
            </w:r>
          </w:p>
          <w:p w14:paraId="5307F80B" w14:textId="77777777" w:rsidR="008B1824" w:rsidRPr="008B1824" w:rsidRDefault="008B1824" w:rsidP="008B1824">
            <w:pPr>
              <w:tabs>
                <w:tab w:val="left" w:pos="1701"/>
              </w:tabs>
              <w:rPr>
                <w:bCs/>
              </w:rPr>
            </w:pPr>
          </w:p>
          <w:p w14:paraId="048E0FEC" w14:textId="73C39DD4" w:rsidR="008B1824" w:rsidRDefault="008B1824" w:rsidP="008B1824">
            <w:pPr>
              <w:tabs>
                <w:tab w:val="left" w:pos="1701"/>
              </w:tabs>
              <w:rPr>
                <w:bCs/>
              </w:rPr>
            </w:pPr>
            <w:r w:rsidRPr="008B1824">
              <w:rPr>
                <w:bCs/>
              </w:rPr>
              <w:t xml:space="preserve">Regeringen anser att öppen tillgång till rymddata främjar framväxten av innovativa företag och även kan bidra till utveckling av tjänster för offentlig sektor. </w:t>
            </w:r>
          </w:p>
          <w:p w14:paraId="328AB412" w14:textId="77777777" w:rsidR="008B1824" w:rsidRPr="008B1824" w:rsidRDefault="008B1824" w:rsidP="008B1824">
            <w:pPr>
              <w:tabs>
                <w:tab w:val="left" w:pos="1701"/>
              </w:tabs>
              <w:rPr>
                <w:bCs/>
              </w:rPr>
            </w:pPr>
          </w:p>
          <w:p w14:paraId="4647F28D" w14:textId="0E2AD94E" w:rsidR="008B1824" w:rsidRDefault="008B1824" w:rsidP="008B1824">
            <w:pPr>
              <w:tabs>
                <w:tab w:val="left" w:pos="1701"/>
              </w:tabs>
              <w:rPr>
                <w:bCs/>
              </w:rPr>
            </w:pPr>
            <w:r w:rsidRPr="008B1824">
              <w:rPr>
                <w:bCs/>
              </w:rPr>
              <w:t>Regeringen anser att det är viktigt att skydda rymdmiljön och bidra till ett långsiktigt hållbart och fredligt nyttjande av rymden. För att säkerställa tillgången till rymden för olika aktörer och framtida generationer bör ett europeiskt oberoende tillträde till rymden främjas. Den svenska rymdbasen Esrange uppgraderas i syfte att möjliggöra uppskjutning av satelliter och kan härvidlag utgöra ett bidrag.</w:t>
            </w:r>
          </w:p>
          <w:p w14:paraId="5130F086" w14:textId="77777777" w:rsidR="008B1824" w:rsidRDefault="008B1824" w:rsidP="008B1824">
            <w:pPr>
              <w:tabs>
                <w:tab w:val="left" w:pos="1701"/>
              </w:tabs>
              <w:rPr>
                <w:bCs/>
              </w:rPr>
            </w:pPr>
          </w:p>
          <w:p w14:paraId="5D8834B2" w14:textId="77777777" w:rsidR="008B1824" w:rsidRPr="008B1824" w:rsidRDefault="008B1824" w:rsidP="008B1824">
            <w:pPr>
              <w:tabs>
                <w:tab w:val="left" w:pos="1701"/>
              </w:tabs>
              <w:rPr>
                <w:bCs/>
                <w:i/>
                <w:iCs/>
              </w:rPr>
            </w:pPr>
            <w:r w:rsidRPr="008B1824">
              <w:rPr>
                <w:bCs/>
                <w:i/>
                <w:iCs/>
              </w:rPr>
              <w:t>Överläggningen</w:t>
            </w:r>
          </w:p>
          <w:p w14:paraId="4D5A7FB5" w14:textId="77777777" w:rsidR="008B1824" w:rsidRDefault="008B1824" w:rsidP="008B1824">
            <w:pPr>
              <w:tabs>
                <w:tab w:val="left" w:pos="1701"/>
              </w:tabs>
              <w:rPr>
                <w:bCs/>
              </w:rPr>
            </w:pPr>
            <w:r w:rsidRPr="00395794">
              <w:rPr>
                <w:bCs/>
              </w:rPr>
              <w:t>Ordföranden konstaterade att det fanns stöd för regeringens ståndpunkt.</w:t>
            </w:r>
          </w:p>
          <w:p w14:paraId="23E223F0" w14:textId="77777777" w:rsidR="008B1824" w:rsidRDefault="008B1824" w:rsidP="008B1824">
            <w:pPr>
              <w:tabs>
                <w:tab w:val="left" w:pos="1701"/>
              </w:tabs>
              <w:rPr>
                <w:bCs/>
              </w:rPr>
            </w:pPr>
          </w:p>
          <w:p w14:paraId="612B6A4B" w14:textId="77777777" w:rsidR="008B1824" w:rsidRDefault="008B1824" w:rsidP="008B1824">
            <w:pPr>
              <w:widowControl/>
              <w:tabs>
                <w:tab w:val="left" w:pos="284"/>
              </w:tabs>
            </w:pPr>
            <w:r>
              <w:t>Denna paragraf förklarades omedelbart justerad.</w:t>
            </w:r>
          </w:p>
          <w:p w14:paraId="6A932B04" w14:textId="61AE2F58" w:rsidR="008B1824" w:rsidRDefault="008B1824">
            <w:pPr>
              <w:tabs>
                <w:tab w:val="left" w:pos="1701"/>
              </w:tabs>
              <w:rPr>
                <w:b/>
                <w:snapToGrid w:val="0"/>
              </w:rPr>
            </w:pPr>
          </w:p>
        </w:tc>
      </w:tr>
      <w:tr w:rsidR="00686DE2" w14:paraId="14339C0A" w14:textId="77777777" w:rsidTr="0001177E">
        <w:tc>
          <w:tcPr>
            <w:tcW w:w="567" w:type="dxa"/>
          </w:tcPr>
          <w:p w14:paraId="2074C43B" w14:textId="77777777" w:rsidR="00686DE2" w:rsidRPr="003B4DE8" w:rsidRDefault="00686DE2" w:rsidP="003B4DE8">
            <w:pPr>
              <w:pStyle w:val="Liststycke"/>
              <w:numPr>
                <w:ilvl w:val="0"/>
                <w:numId w:val="2"/>
              </w:numPr>
              <w:tabs>
                <w:tab w:val="left" w:pos="1701"/>
              </w:tabs>
              <w:rPr>
                <w:b/>
                <w:snapToGrid w:val="0"/>
              </w:rPr>
            </w:pPr>
          </w:p>
        </w:tc>
        <w:tc>
          <w:tcPr>
            <w:tcW w:w="6946" w:type="dxa"/>
            <w:gridSpan w:val="2"/>
          </w:tcPr>
          <w:p w14:paraId="6D53BFC5" w14:textId="772D52F3" w:rsidR="00686DE2" w:rsidRDefault="00686DE2">
            <w:pPr>
              <w:tabs>
                <w:tab w:val="left" w:pos="1701"/>
              </w:tabs>
              <w:rPr>
                <w:b/>
              </w:rPr>
            </w:pPr>
            <w:r w:rsidRPr="005C403D">
              <w:rPr>
                <w:b/>
              </w:rPr>
              <w:t>EU-information om övriga punkter på K</w:t>
            </w:r>
            <w:r>
              <w:rPr>
                <w:b/>
              </w:rPr>
              <w:t>onkurrenskraftrådet (KKR)</w:t>
            </w:r>
          </w:p>
          <w:p w14:paraId="08021E2A" w14:textId="77777777" w:rsidR="00686DE2" w:rsidRDefault="00686DE2">
            <w:pPr>
              <w:tabs>
                <w:tab w:val="left" w:pos="1701"/>
              </w:tabs>
              <w:rPr>
                <w:b/>
              </w:rPr>
            </w:pPr>
          </w:p>
          <w:p w14:paraId="10CBBFFE" w14:textId="67451FF5" w:rsidR="00686DE2" w:rsidRDefault="00686DE2">
            <w:pPr>
              <w:tabs>
                <w:tab w:val="left" w:pos="1701"/>
              </w:tabs>
              <w:rPr>
                <w:bCs/>
              </w:rPr>
            </w:pPr>
            <w:r>
              <w:rPr>
                <w:bCs/>
              </w:rPr>
              <w:t>S</w:t>
            </w:r>
            <w:r w:rsidRPr="00686DE2">
              <w:rPr>
                <w:bCs/>
              </w:rPr>
              <w:t>tatssekreterare Maria Nilsson, biträdd av medarbetare från Utbildningsdepartementet,</w:t>
            </w:r>
            <w:r>
              <w:rPr>
                <w:bCs/>
              </w:rPr>
              <w:t xml:space="preserve"> informerade om övriga punkter inom forskning och rymd som </w:t>
            </w:r>
            <w:r w:rsidR="00395794">
              <w:rPr>
                <w:bCs/>
              </w:rPr>
              <w:t xml:space="preserve">finns med på </w:t>
            </w:r>
            <w:r>
              <w:rPr>
                <w:bCs/>
              </w:rPr>
              <w:t>KKR</w:t>
            </w:r>
            <w:r w:rsidR="00395794">
              <w:rPr>
                <w:bCs/>
              </w:rPr>
              <w:t>:s dagordning</w:t>
            </w:r>
            <w:r>
              <w:rPr>
                <w:bCs/>
              </w:rPr>
              <w:t xml:space="preserve"> den </w:t>
            </w:r>
            <w:r w:rsidR="00F3624B">
              <w:rPr>
                <w:bCs/>
              </w:rPr>
              <w:br/>
            </w:r>
            <w:r>
              <w:rPr>
                <w:bCs/>
              </w:rPr>
              <w:t>2 december 2022.</w:t>
            </w:r>
          </w:p>
          <w:p w14:paraId="3A98D517" w14:textId="5BEC3C22" w:rsidR="00686DE2" w:rsidRDefault="00686DE2">
            <w:pPr>
              <w:tabs>
                <w:tab w:val="left" w:pos="1701"/>
              </w:tabs>
              <w:rPr>
                <w:b/>
                <w:snapToGrid w:val="0"/>
              </w:rPr>
            </w:pPr>
          </w:p>
        </w:tc>
      </w:tr>
      <w:tr w:rsidR="00686DE2" w14:paraId="08CAF348" w14:textId="77777777" w:rsidTr="0001177E">
        <w:tc>
          <w:tcPr>
            <w:tcW w:w="567" w:type="dxa"/>
          </w:tcPr>
          <w:p w14:paraId="0B99BCD8" w14:textId="77777777" w:rsidR="00686DE2" w:rsidRPr="003B4DE8" w:rsidRDefault="00686DE2" w:rsidP="003B4DE8">
            <w:pPr>
              <w:pStyle w:val="Liststycke"/>
              <w:numPr>
                <w:ilvl w:val="0"/>
                <w:numId w:val="2"/>
              </w:numPr>
              <w:tabs>
                <w:tab w:val="left" w:pos="1701"/>
              </w:tabs>
              <w:rPr>
                <w:b/>
                <w:snapToGrid w:val="0"/>
              </w:rPr>
            </w:pPr>
          </w:p>
        </w:tc>
        <w:tc>
          <w:tcPr>
            <w:tcW w:w="6946" w:type="dxa"/>
            <w:gridSpan w:val="2"/>
          </w:tcPr>
          <w:p w14:paraId="5B8189EF" w14:textId="77777777" w:rsidR="00686DE2" w:rsidRDefault="00686DE2">
            <w:pPr>
              <w:tabs>
                <w:tab w:val="left" w:pos="1701"/>
              </w:tabs>
              <w:rPr>
                <w:b/>
              </w:rPr>
            </w:pPr>
            <w:r w:rsidRPr="00794B34">
              <w:rPr>
                <w:b/>
              </w:rPr>
              <w:t>EU-överläggning om rådsbeslut om ett Europaår för kompetens 2023</w:t>
            </w:r>
          </w:p>
          <w:p w14:paraId="6AF46FDF" w14:textId="77777777" w:rsidR="00686DE2" w:rsidRDefault="00686DE2">
            <w:pPr>
              <w:tabs>
                <w:tab w:val="left" w:pos="1701"/>
              </w:tabs>
              <w:rPr>
                <w:b/>
              </w:rPr>
            </w:pPr>
          </w:p>
          <w:p w14:paraId="78E840BE" w14:textId="5B2A6A1A" w:rsidR="008B1824" w:rsidRDefault="00686DE2" w:rsidP="00686DE2">
            <w:pPr>
              <w:tabs>
                <w:tab w:val="left" w:pos="1701"/>
              </w:tabs>
              <w:rPr>
                <w:bCs/>
              </w:rPr>
            </w:pPr>
            <w:r w:rsidRPr="00686DE2">
              <w:rPr>
                <w:bCs/>
              </w:rPr>
              <w:t>Utskottet överlade med statssekreterare Maria Nilsson, biträdd av medarbetare från Utbildningsdepartementet, om ett Europaår för kompetens 2023.</w:t>
            </w:r>
          </w:p>
          <w:p w14:paraId="4F99BFF6" w14:textId="77777777" w:rsidR="008B1824" w:rsidRDefault="008B1824" w:rsidP="008B1824">
            <w:pPr>
              <w:tabs>
                <w:tab w:val="left" w:pos="1701"/>
              </w:tabs>
              <w:rPr>
                <w:bCs/>
              </w:rPr>
            </w:pPr>
          </w:p>
          <w:p w14:paraId="58662D9D" w14:textId="77777777" w:rsidR="008B1824" w:rsidRPr="008B1824" w:rsidRDefault="008B1824" w:rsidP="008B1824">
            <w:pPr>
              <w:tabs>
                <w:tab w:val="left" w:pos="1701"/>
              </w:tabs>
              <w:rPr>
                <w:bCs/>
                <w:i/>
                <w:iCs/>
              </w:rPr>
            </w:pPr>
            <w:r w:rsidRPr="008B1824">
              <w:rPr>
                <w:bCs/>
                <w:i/>
                <w:iCs/>
              </w:rPr>
              <w:t>Underlag för överläggningen</w:t>
            </w:r>
          </w:p>
          <w:p w14:paraId="5BBEA91D" w14:textId="77777777" w:rsidR="008B1824" w:rsidRPr="008B1824" w:rsidRDefault="008B1824" w:rsidP="008B1824">
            <w:pPr>
              <w:tabs>
                <w:tab w:val="left" w:pos="1701"/>
              </w:tabs>
              <w:rPr>
                <w:bCs/>
              </w:rPr>
            </w:pPr>
            <w:r w:rsidRPr="008B1824">
              <w:rPr>
                <w:bCs/>
              </w:rPr>
              <w:t>Faktapromemoria från Regeringskansliet (2022/</w:t>
            </w:r>
            <w:proofErr w:type="gramStart"/>
            <w:r w:rsidRPr="008B1824">
              <w:rPr>
                <w:bCs/>
              </w:rPr>
              <w:t>23:FPM</w:t>
            </w:r>
            <w:proofErr w:type="gramEnd"/>
            <w:r w:rsidRPr="008B1824">
              <w:rPr>
                <w:bCs/>
              </w:rPr>
              <w:t>12)</w:t>
            </w:r>
          </w:p>
          <w:p w14:paraId="3C6AA89C" w14:textId="77777777" w:rsidR="008B1824" w:rsidRPr="008B1824" w:rsidRDefault="008B1824" w:rsidP="008B1824">
            <w:pPr>
              <w:tabs>
                <w:tab w:val="left" w:pos="1701"/>
              </w:tabs>
              <w:rPr>
                <w:bCs/>
              </w:rPr>
            </w:pPr>
            <w:r w:rsidRPr="008B1824">
              <w:rPr>
                <w:bCs/>
              </w:rPr>
              <w:t xml:space="preserve">Rådsdokument ST </w:t>
            </w:r>
            <w:proofErr w:type="gramStart"/>
            <w:r w:rsidRPr="008B1824">
              <w:rPr>
                <w:bCs/>
              </w:rPr>
              <w:t>13874</w:t>
            </w:r>
            <w:proofErr w:type="gramEnd"/>
            <w:r w:rsidRPr="008B1824">
              <w:rPr>
                <w:bCs/>
              </w:rPr>
              <w:t>/22</w:t>
            </w:r>
          </w:p>
          <w:p w14:paraId="4720632B" w14:textId="61E7F376" w:rsidR="008B1824" w:rsidRDefault="008B1824" w:rsidP="008B1824">
            <w:pPr>
              <w:tabs>
                <w:tab w:val="left" w:pos="1701"/>
              </w:tabs>
              <w:rPr>
                <w:bCs/>
              </w:rPr>
            </w:pPr>
            <w:proofErr w:type="gramStart"/>
            <w:r w:rsidRPr="008B1824">
              <w:rPr>
                <w:bCs/>
              </w:rPr>
              <w:t>COM(</w:t>
            </w:r>
            <w:proofErr w:type="gramEnd"/>
            <w:r w:rsidRPr="008B1824">
              <w:rPr>
                <w:bCs/>
              </w:rPr>
              <w:t>2022) 526</w:t>
            </w:r>
          </w:p>
          <w:p w14:paraId="1A73E091" w14:textId="77777777" w:rsidR="00F3624B" w:rsidRDefault="00F3624B" w:rsidP="008B1824">
            <w:pPr>
              <w:tabs>
                <w:tab w:val="left" w:pos="1701"/>
              </w:tabs>
              <w:rPr>
                <w:bCs/>
              </w:rPr>
            </w:pPr>
          </w:p>
          <w:p w14:paraId="40894B27" w14:textId="77777777" w:rsidR="008B1824" w:rsidRDefault="008B1824" w:rsidP="008B1824">
            <w:pPr>
              <w:tabs>
                <w:tab w:val="left" w:pos="1701"/>
              </w:tabs>
              <w:rPr>
                <w:bCs/>
              </w:rPr>
            </w:pPr>
          </w:p>
          <w:p w14:paraId="6E14EB89" w14:textId="77777777" w:rsidR="008B1824" w:rsidRPr="008B1824" w:rsidRDefault="008B1824" w:rsidP="008B1824">
            <w:pPr>
              <w:tabs>
                <w:tab w:val="left" w:pos="1701"/>
              </w:tabs>
              <w:rPr>
                <w:bCs/>
                <w:i/>
                <w:iCs/>
              </w:rPr>
            </w:pPr>
            <w:r w:rsidRPr="008B1824">
              <w:rPr>
                <w:bCs/>
                <w:i/>
                <w:iCs/>
              </w:rPr>
              <w:lastRenderedPageBreak/>
              <w:t>Regeringens förslag till svensk ståndpunkt</w:t>
            </w:r>
          </w:p>
          <w:p w14:paraId="2D3962FA" w14:textId="628A06C3" w:rsidR="008B1824" w:rsidRDefault="008B1824" w:rsidP="008B1824">
            <w:pPr>
              <w:tabs>
                <w:tab w:val="left" w:pos="1701"/>
              </w:tabs>
              <w:rPr>
                <w:bCs/>
              </w:rPr>
            </w:pPr>
            <w:r w:rsidRPr="008B1824">
              <w:rPr>
                <w:bCs/>
              </w:rPr>
              <w:t>Regeringen anser att en förutsättning för ett konkurrenskraftigt EU är att</w:t>
            </w:r>
            <w:r>
              <w:rPr>
                <w:bCs/>
              </w:rPr>
              <w:t xml:space="preserve"> </w:t>
            </w:r>
            <w:r w:rsidRPr="008B1824">
              <w:rPr>
                <w:bCs/>
              </w:rPr>
              <w:t>kunna möta arbetsgivares efterfrågan på arbetskraft med rätt kompetens och</w:t>
            </w:r>
            <w:r>
              <w:rPr>
                <w:bCs/>
              </w:rPr>
              <w:t xml:space="preserve"> </w:t>
            </w:r>
            <w:r w:rsidRPr="008B1824">
              <w:rPr>
                <w:bCs/>
              </w:rPr>
              <w:t>ser därför positivt på att EU sätter ljuset på omskolning och fort- och</w:t>
            </w:r>
            <w:r>
              <w:rPr>
                <w:bCs/>
              </w:rPr>
              <w:t xml:space="preserve"> </w:t>
            </w:r>
            <w:r w:rsidRPr="008B1824">
              <w:rPr>
                <w:bCs/>
              </w:rPr>
              <w:t>vidareutbildning. Detta är också nödvändigt för den gröna och digitala</w:t>
            </w:r>
            <w:r>
              <w:rPr>
                <w:bCs/>
              </w:rPr>
              <w:t xml:space="preserve"> </w:t>
            </w:r>
            <w:r w:rsidRPr="008B1824">
              <w:rPr>
                <w:bCs/>
              </w:rPr>
              <w:t>omställningen, och för ett motståndskraftigt EU som kan möta utmaningar</w:t>
            </w:r>
            <w:r>
              <w:rPr>
                <w:bCs/>
              </w:rPr>
              <w:t xml:space="preserve"> </w:t>
            </w:r>
            <w:r w:rsidRPr="008B1824">
              <w:rPr>
                <w:bCs/>
              </w:rPr>
              <w:t>med innovationskraft, produktivitet och tillväxt.</w:t>
            </w:r>
          </w:p>
          <w:p w14:paraId="6432550F" w14:textId="77777777" w:rsidR="008B1824" w:rsidRPr="008B1824" w:rsidRDefault="008B1824" w:rsidP="008B1824">
            <w:pPr>
              <w:tabs>
                <w:tab w:val="left" w:pos="1701"/>
              </w:tabs>
              <w:rPr>
                <w:bCs/>
              </w:rPr>
            </w:pPr>
          </w:p>
          <w:p w14:paraId="62DF2ECB" w14:textId="27130B2C" w:rsidR="008B1824" w:rsidRDefault="008B1824" w:rsidP="008B1824">
            <w:pPr>
              <w:tabs>
                <w:tab w:val="left" w:pos="1701"/>
              </w:tabs>
              <w:rPr>
                <w:bCs/>
              </w:rPr>
            </w:pPr>
            <w:r w:rsidRPr="008B1824">
              <w:rPr>
                <w:bCs/>
              </w:rPr>
              <w:t>Regeringen är positiva till att tillgång till lärandemöjligheter och reella</w:t>
            </w:r>
            <w:r>
              <w:rPr>
                <w:bCs/>
              </w:rPr>
              <w:t xml:space="preserve"> </w:t>
            </w:r>
            <w:r w:rsidRPr="008B1824">
              <w:rPr>
                <w:bCs/>
              </w:rPr>
              <w:t>möjligheter till kompetensutveckling under hela arbetslivet lyfts fram i</w:t>
            </w:r>
            <w:r>
              <w:rPr>
                <w:bCs/>
              </w:rPr>
              <w:t xml:space="preserve"> </w:t>
            </w:r>
            <w:r w:rsidRPr="008B1824">
              <w:rPr>
                <w:bCs/>
              </w:rPr>
              <w:t>initiativet. Det stärker möjligheterna till ett långt och framgångsrikt arbetsliv</w:t>
            </w:r>
            <w:r>
              <w:rPr>
                <w:bCs/>
              </w:rPr>
              <w:t xml:space="preserve"> </w:t>
            </w:r>
            <w:r w:rsidRPr="008B1824">
              <w:rPr>
                <w:bCs/>
              </w:rPr>
              <w:t>som tar tillvara på även äldre personers kompetens och erfarenheter, kan</w:t>
            </w:r>
            <w:r>
              <w:rPr>
                <w:bCs/>
              </w:rPr>
              <w:t xml:space="preserve"> </w:t>
            </w:r>
            <w:r w:rsidRPr="008B1824">
              <w:rPr>
                <w:bCs/>
              </w:rPr>
              <w:t>bidra till integration, tillvarata den fulla potentialen i kvinnors</w:t>
            </w:r>
            <w:r>
              <w:rPr>
                <w:bCs/>
              </w:rPr>
              <w:t xml:space="preserve"> </w:t>
            </w:r>
            <w:r w:rsidRPr="008B1824">
              <w:rPr>
                <w:bCs/>
              </w:rPr>
              <w:t>arbetskraftsdeltagande och öka möjligheterna att unga som varken arbetar</w:t>
            </w:r>
            <w:r>
              <w:rPr>
                <w:bCs/>
              </w:rPr>
              <w:t xml:space="preserve"> </w:t>
            </w:r>
            <w:r w:rsidRPr="008B1824">
              <w:rPr>
                <w:bCs/>
              </w:rPr>
              <w:t>eller studerar kan träda in på arbetsmarknaden.</w:t>
            </w:r>
          </w:p>
          <w:p w14:paraId="20A06044" w14:textId="77777777" w:rsidR="008B1824" w:rsidRDefault="008B1824" w:rsidP="008B1824">
            <w:pPr>
              <w:tabs>
                <w:tab w:val="left" w:pos="1701"/>
              </w:tabs>
              <w:rPr>
                <w:bCs/>
              </w:rPr>
            </w:pPr>
          </w:p>
          <w:p w14:paraId="5F9ABAF1" w14:textId="6A9027E4" w:rsidR="008B1824" w:rsidRDefault="008B1824" w:rsidP="008B1824">
            <w:pPr>
              <w:tabs>
                <w:tab w:val="left" w:pos="1701"/>
              </w:tabs>
              <w:rPr>
                <w:bCs/>
              </w:rPr>
            </w:pPr>
            <w:r w:rsidRPr="008B1824">
              <w:rPr>
                <w:bCs/>
              </w:rPr>
              <w:t>Det är viktigt att arbetet på EU-nivå utgår från en grundläggande respekt för</w:t>
            </w:r>
            <w:r>
              <w:rPr>
                <w:bCs/>
              </w:rPr>
              <w:t xml:space="preserve"> </w:t>
            </w:r>
            <w:r w:rsidRPr="008B1824">
              <w:rPr>
                <w:bCs/>
              </w:rPr>
              <w:t>fördelningen av befogenheter mellan EU och medlemsstaterna, för nationella</w:t>
            </w:r>
            <w:r>
              <w:rPr>
                <w:bCs/>
              </w:rPr>
              <w:t xml:space="preserve"> </w:t>
            </w:r>
            <w:r w:rsidRPr="008B1824">
              <w:rPr>
                <w:bCs/>
              </w:rPr>
              <w:t>system avseende arbetsmarknad och utbildning samt principerna om</w:t>
            </w:r>
            <w:r>
              <w:rPr>
                <w:bCs/>
              </w:rPr>
              <w:t xml:space="preserve"> </w:t>
            </w:r>
            <w:r w:rsidRPr="008B1824">
              <w:rPr>
                <w:bCs/>
              </w:rPr>
              <w:t>subsidiaritet och proportionalitet. Initiativ på EU-nivå bör därför framför allt</w:t>
            </w:r>
            <w:r>
              <w:rPr>
                <w:bCs/>
              </w:rPr>
              <w:t xml:space="preserve"> </w:t>
            </w:r>
            <w:r w:rsidRPr="008B1824">
              <w:rPr>
                <w:bCs/>
              </w:rPr>
              <w:t>utgå ifrån medlemsstaternas egna åtgärder på området och fokusera på</w:t>
            </w:r>
            <w:r>
              <w:rPr>
                <w:bCs/>
              </w:rPr>
              <w:t xml:space="preserve"> </w:t>
            </w:r>
            <w:r w:rsidRPr="008B1824">
              <w:rPr>
                <w:bCs/>
              </w:rPr>
              <w:t>kunskaps- och erfarenhetsutbyten dem emellan. Regeringen stödjer därmed</w:t>
            </w:r>
            <w:r>
              <w:rPr>
                <w:bCs/>
              </w:rPr>
              <w:t xml:space="preserve"> </w:t>
            </w:r>
            <w:r w:rsidRPr="008B1824">
              <w:rPr>
                <w:bCs/>
              </w:rPr>
              <w:t>kommissionens inriktning gällande flexibilitet i frågan om innebörden av</w:t>
            </w:r>
            <w:r>
              <w:rPr>
                <w:bCs/>
              </w:rPr>
              <w:t xml:space="preserve"> </w:t>
            </w:r>
            <w:r w:rsidRPr="008B1824">
              <w:rPr>
                <w:bCs/>
              </w:rPr>
              <w:t>nationella samordnare för europaåret för kompetens.</w:t>
            </w:r>
          </w:p>
          <w:p w14:paraId="0EC7C0B1" w14:textId="77777777" w:rsidR="008B1824" w:rsidRPr="008B1824" w:rsidRDefault="008B1824" w:rsidP="008B1824">
            <w:pPr>
              <w:tabs>
                <w:tab w:val="left" w:pos="1701"/>
              </w:tabs>
              <w:rPr>
                <w:bCs/>
              </w:rPr>
            </w:pPr>
          </w:p>
          <w:p w14:paraId="366592A7" w14:textId="1D360BA4" w:rsidR="008B1824" w:rsidRDefault="008B1824" w:rsidP="008B1824">
            <w:pPr>
              <w:tabs>
                <w:tab w:val="left" w:pos="1701"/>
              </w:tabs>
              <w:rPr>
                <w:bCs/>
              </w:rPr>
            </w:pPr>
            <w:r w:rsidRPr="008B1824">
              <w:rPr>
                <w:bCs/>
              </w:rPr>
              <w:t>Regeringen välkomnar vidare att vikten av dialog med arbetsmarknadens</w:t>
            </w:r>
            <w:r>
              <w:rPr>
                <w:bCs/>
              </w:rPr>
              <w:t xml:space="preserve"> </w:t>
            </w:r>
            <w:r w:rsidRPr="008B1824">
              <w:rPr>
                <w:bCs/>
              </w:rPr>
              <w:t>parter, berörda myndigheter och utbildningsanordnare lyfts fram som ett av</w:t>
            </w:r>
            <w:r>
              <w:rPr>
                <w:bCs/>
              </w:rPr>
              <w:t xml:space="preserve"> </w:t>
            </w:r>
            <w:r w:rsidRPr="008B1824">
              <w:rPr>
                <w:bCs/>
              </w:rPr>
              <w:t>målen i initiativet. Det är en förutsättning i arbetet med att främja</w:t>
            </w:r>
            <w:r>
              <w:rPr>
                <w:bCs/>
              </w:rPr>
              <w:t xml:space="preserve"> </w:t>
            </w:r>
            <w:r w:rsidRPr="008B1824">
              <w:rPr>
                <w:bCs/>
              </w:rPr>
              <w:t>kompetenshöjning och omställningsförmåga på arbetsmarknaden.</w:t>
            </w:r>
          </w:p>
          <w:p w14:paraId="3484AA3E" w14:textId="77777777" w:rsidR="008B1824" w:rsidRDefault="008B1824" w:rsidP="008B1824">
            <w:pPr>
              <w:tabs>
                <w:tab w:val="left" w:pos="1701"/>
              </w:tabs>
              <w:rPr>
                <w:bCs/>
              </w:rPr>
            </w:pPr>
          </w:p>
          <w:p w14:paraId="229E0F81" w14:textId="14DA1824" w:rsidR="008B1824" w:rsidRDefault="008B1824" w:rsidP="008B1824">
            <w:pPr>
              <w:tabs>
                <w:tab w:val="left" w:pos="1701"/>
              </w:tabs>
              <w:rPr>
                <w:bCs/>
              </w:rPr>
            </w:pPr>
            <w:r w:rsidRPr="008B1824">
              <w:rPr>
                <w:bCs/>
              </w:rPr>
              <w:t>Som utgångspunkt ska utgiftsdrivande åtgärder på EU-budgeten i form av</w:t>
            </w:r>
            <w:r>
              <w:rPr>
                <w:bCs/>
              </w:rPr>
              <w:t xml:space="preserve"> </w:t>
            </w:r>
            <w:r w:rsidRPr="008B1824">
              <w:rPr>
                <w:bCs/>
              </w:rPr>
              <w:t>nya initiativ, nya åtaganden eller ambitionshöjningar finansieras genom</w:t>
            </w:r>
            <w:r>
              <w:rPr>
                <w:bCs/>
              </w:rPr>
              <w:t xml:space="preserve"> </w:t>
            </w:r>
            <w:r w:rsidRPr="008B1824">
              <w:rPr>
                <w:bCs/>
              </w:rPr>
              <w:t>omprioriteringar i den fleråriga budgetramen (MFF) i enlighet med</w:t>
            </w:r>
            <w:r>
              <w:rPr>
                <w:bCs/>
              </w:rPr>
              <w:t xml:space="preserve"> </w:t>
            </w:r>
            <w:r w:rsidRPr="008B1824">
              <w:rPr>
                <w:bCs/>
              </w:rPr>
              <w:t>förordningen om denna.</w:t>
            </w:r>
          </w:p>
          <w:p w14:paraId="24C581B6" w14:textId="77777777" w:rsidR="008B1824" w:rsidRDefault="008B1824" w:rsidP="008B1824">
            <w:pPr>
              <w:tabs>
                <w:tab w:val="left" w:pos="1701"/>
              </w:tabs>
              <w:rPr>
                <w:bCs/>
              </w:rPr>
            </w:pPr>
          </w:p>
          <w:p w14:paraId="480DDF49" w14:textId="77777777" w:rsidR="008B1824" w:rsidRPr="008B1824" w:rsidRDefault="008B1824" w:rsidP="008B1824">
            <w:pPr>
              <w:tabs>
                <w:tab w:val="left" w:pos="1701"/>
              </w:tabs>
              <w:rPr>
                <w:bCs/>
                <w:i/>
                <w:iCs/>
              </w:rPr>
            </w:pPr>
            <w:r w:rsidRPr="008B1824">
              <w:rPr>
                <w:bCs/>
                <w:i/>
                <w:iCs/>
              </w:rPr>
              <w:t>Överläggningen</w:t>
            </w:r>
          </w:p>
          <w:p w14:paraId="573BC7E3" w14:textId="77777777" w:rsidR="008B1824" w:rsidRDefault="008B1824" w:rsidP="008B1824">
            <w:pPr>
              <w:tabs>
                <w:tab w:val="left" w:pos="1701"/>
              </w:tabs>
              <w:rPr>
                <w:bCs/>
              </w:rPr>
            </w:pPr>
            <w:r w:rsidRPr="00395794">
              <w:rPr>
                <w:bCs/>
              </w:rPr>
              <w:t>Ordföranden konstaterade att det fanns stöd för regeringens ståndpunkt.</w:t>
            </w:r>
          </w:p>
          <w:p w14:paraId="2B703D89" w14:textId="77777777" w:rsidR="008B1824" w:rsidRDefault="008B1824" w:rsidP="008B1824">
            <w:pPr>
              <w:tabs>
                <w:tab w:val="left" w:pos="1701"/>
              </w:tabs>
              <w:rPr>
                <w:bCs/>
              </w:rPr>
            </w:pPr>
          </w:p>
          <w:p w14:paraId="43F9575F" w14:textId="3757331D" w:rsidR="008B1824" w:rsidRDefault="008B1824" w:rsidP="008B1824">
            <w:pPr>
              <w:widowControl/>
              <w:tabs>
                <w:tab w:val="left" w:pos="284"/>
              </w:tabs>
              <w:rPr>
                <w:b/>
              </w:rPr>
            </w:pPr>
            <w:r>
              <w:t>Denna paragraf förklarades omedelbart justerad.</w:t>
            </w:r>
          </w:p>
          <w:p w14:paraId="23EE51F5" w14:textId="29B815AF" w:rsidR="00686DE2" w:rsidRDefault="00686DE2">
            <w:pPr>
              <w:tabs>
                <w:tab w:val="left" w:pos="1701"/>
              </w:tabs>
              <w:rPr>
                <w:b/>
                <w:snapToGrid w:val="0"/>
              </w:rPr>
            </w:pPr>
          </w:p>
        </w:tc>
      </w:tr>
      <w:tr w:rsidR="00686DE2" w14:paraId="5D5ECA9C" w14:textId="77777777" w:rsidTr="0001177E">
        <w:tc>
          <w:tcPr>
            <w:tcW w:w="567" w:type="dxa"/>
          </w:tcPr>
          <w:p w14:paraId="7311A60C" w14:textId="77777777" w:rsidR="00686DE2" w:rsidRPr="003B4DE8" w:rsidRDefault="00686DE2" w:rsidP="003B4DE8">
            <w:pPr>
              <w:pStyle w:val="Liststycke"/>
              <w:numPr>
                <w:ilvl w:val="0"/>
                <w:numId w:val="2"/>
              </w:numPr>
              <w:tabs>
                <w:tab w:val="left" w:pos="1701"/>
              </w:tabs>
              <w:rPr>
                <w:b/>
                <w:snapToGrid w:val="0"/>
              </w:rPr>
            </w:pPr>
          </w:p>
        </w:tc>
        <w:tc>
          <w:tcPr>
            <w:tcW w:w="6946" w:type="dxa"/>
            <w:gridSpan w:val="2"/>
          </w:tcPr>
          <w:p w14:paraId="235FFBB9" w14:textId="77D1B403" w:rsidR="00686DE2" w:rsidRDefault="00686DE2">
            <w:pPr>
              <w:tabs>
                <w:tab w:val="left" w:pos="1701"/>
              </w:tabs>
              <w:rPr>
                <w:b/>
              </w:rPr>
            </w:pPr>
            <w:r w:rsidRPr="00794B34">
              <w:rPr>
                <w:b/>
              </w:rPr>
              <w:t xml:space="preserve">EU-information om ändring av förordningen om gemensamma företag under Horisont Europa gällande det gemensamma halvledarföretaget </w:t>
            </w:r>
          </w:p>
          <w:p w14:paraId="42F3BEF1" w14:textId="1BF0F41A" w:rsidR="00686DE2" w:rsidRDefault="00686DE2">
            <w:pPr>
              <w:tabs>
                <w:tab w:val="left" w:pos="1701"/>
              </w:tabs>
              <w:rPr>
                <w:b/>
              </w:rPr>
            </w:pPr>
          </w:p>
          <w:p w14:paraId="05D1470A" w14:textId="2750BED9" w:rsidR="00686DE2" w:rsidRDefault="00686DE2">
            <w:pPr>
              <w:tabs>
                <w:tab w:val="left" w:pos="1701"/>
              </w:tabs>
              <w:rPr>
                <w:b/>
              </w:rPr>
            </w:pPr>
            <w:r>
              <w:rPr>
                <w:bCs/>
              </w:rPr>
              <w:t>S</w:t>
            </w:r>
            <w:r w:rsidRPr="00686DE2">
              <w:rPr>
                <w:bCs/>
              </w:rPr>
              <w:t>tatssekreterare Maria Nilsson, biträdd av medarbetare från Utbildningsdepartementet,</w:t>
            </w:r>
            <w:r>
              <w:rPr>
                <w:bCs/>
              </w:rPr>
              <w:t xml:space="preserve"> informerade om e</w:t>
            </w:r>
            <w:r w:rsidRPr="00686DE2">
              <w:rPr>
                <w:bCs/>
              </w:rPr>
              <w:t xml:space="preserve">n ändring av förordningen om gemensamma företag under Horisont Europa </w:t>
            </w:r>
            <w:r w:rsidRPr="00686DE2">
              <w:rPr>
                <w:bCs/>
              </w:rPr>
              <w:lastRenderedPageBreak/>
              <w:t>gällande det gemensamma halvledarföretaget</w:t>
            </w:r>
            <w:r>
              <w:rPr>
                <w:bCs/>
              </w:rPr>
              <w:t>.</w:t>
            </w:r>
          </w:p>
          <w:p w14:paraId="071C225C" w14:textId="73912C5E" w:rsidR="00686DE2" w:rsidRDefault="00686DE2">
            <w:pPr>
              <w:tabs>
                <w:tab w:val="left" w:pos="1701"/>
              </w:tabs>
              <w:rPr>
                <w:b/>
                <w:snapToGrid w:val="0"/>
              </w:rPr>
            </w:pPr>
          </w:p>
        </w:tc>
      </w:tr>
      <w:tr w:rsidR="00686DE2" w14:paraId="54849085" w14:textId="77777777" w:rsidTr="0001177E">
        <w:tc>
          <w:tcPr>
            <w:tcW w:w="567" w:type="dxa"/>
          </w:tcPr>
          <w:p w14:paraId="4C4AD16C" w14:textId="77777777" w:rsidR="00686DE2" w:rsidRPr="003B4DE8" w:rsidRDefault="00686DE2" w:rsidP="003B4DE8">
            <w:pPr>
              <w:pStyle w:val="Liststycke"/>
              <w:numPr>
                <w:ilvl w:val="0"/>
                <w:numId w:val="2"/>
              </w:numPr>
              <w:tabs>
                <w:tab w:val="left" w:pos="1701"/>
              </w:tabs>
              <w:rPr>
                <w:b/>
                <w:snapToGrid w:val="0"/>
              </w:rPr>
            </w:pPr>
          </w:p>
        </w:tc>
        <w:tc>
          <w:tcPr>
            <w:tcW w:w="6946" w:type="dxa"/>
            <w:gridSpan w:val="2"/>
          </w:tcPr>
          <w:p w14:paraId="6E9E1795" w14:textId="77777777" w:rsidR="00686DE2" w:rsidRDefault="00686DE2">
            <w:pPr>
              <w:tabs>
                <w:tab w:val="left" w:pos="1701"/>
              </w:tabs>
              <w:rPr>
                <w:b/>
              </w:rPr>
            </w:pPr>
            <w:r w:rsidRPr="00794B34">
              <w:rPr>
                <w:b/>
              </w:rPr>
              <w:t xml:space="preserve">EU-information om förslag till förordning om inrättande av unionens program för säker </w:t>
            </w:r>
            <w:proofErr w:type="spellStart"/>
            <w:r w:rsidRPr="00794B34">
              <w:rPr>
                <w:b/>
              </w:rPr>
              <w:t>konnektivitet</w:t>
            </w:r>
            <w:proofErr w:type="spellEnd"/>
            <w:r w:rsidRPr="00794B34">
              <w:rPr>
                <w:b/>
              </w:rPr>
              <w:t xml:space="preserve"> för perioden 2023–2027</w:t>
            </w:r>
          </w:p>
          <w:p w14:paraId="6B23F402" w14:textId="77777777" w:rsidR="00686DE2" w:rsidRDefault="00686DE2">
            <w:pPr>
              <w:tabs>
                <w:tab w:val="left" w:pos="1701"/>
              </w:tabs>
              <w:rPr>
                <w:b/>
              </w:rPr>
            </w:pPr>
          </w:p>
          <w:p w14:paraId="41BC1703" w14:textId="2F9E8CE3" w:rsidR="00686DE2" w:rsidRDefault="00686DE2">
            <w:pPr>
              <w:tabs>
                <w:tab w:val="left" w:pos="1701"/>
              </w:tabs>
              <w:rPr>
                <w:b/>
              </w:rPr>
            </w:pPr>
            <w:r>
              <w:rPr>
                <w:bCs/>
              </w:rPr>
              <w:t>S</w:t>
            </w:r>
            <w:r w:rsidRPr="00686DE2">
              <w:rPr>
                <w:bCs/>
              </w:rPr>
              <w:t xml:space="preserve">tatssekreterare Maria Nilsson, biträdd av medarbetare från Utbildningsdepartementet, informerade om förslaget till förordning om inrättande av unionens program för säker </w:t>
            </w:r>
            <w:proofErr w:type="spellStart"/>
            <w:r w:rsidRPr="00686DE2">
              <w:rPr>
                <w:bCs/>
              </w:rPr>
              <w:t>konnektivitet</w:t>
            </w:r>
            <w:proofErr w:type="spellEnd"/>
            <w:r w:rsidRPr="00686DE2">
              <w:rPr>
                <w:bCs/>
              </w:rPr>
              <w:t xml:space="preserve"> för perioden 2023–2027.</w:t>
            </w:r>
          </w:p>
          <w:p w14:paraId="6D50EC42" w14:textId="7DAF1B6D" w:rsidR="00686DE2" w:rsidRDefault="00686DE2">
            <w:pPr>
              <w:tabs>
                <w:tab w:val="left" w:pos="1701"/>
              </w:tabs>
              <w:rPr>
                <w:b/>
                <w:snapToGrid w:val="0"/>
              </w:rPr>
            </w:pPr>
          </w:p>
        </w:tc>
      </w:tr>
      <w:tr w:rsidR="00686DE2" w14:paraId="3059861D" w14:textId="77777777" w:rsidTr="0001177E">
        <w:tc>
          <w:tcPr>
            <w:tcW w:w="567" w:type="dxa"/>
          </w:tcPr>
          <w:p w14:paraId="49424F29" w14:textId="77777777" w:rsidR="00686DE2" w:rsidRPr="003B4DE8" w:rsidRDefault="00686DE2" w:rsidP="003B4DE8">
            <w:pPr>
              <w:pStyle w:val="Liststycke"/>
              <w:numPr>
                <w:ilvl w:val="0"/>
                <w:numId w:val="2"/>
              </w:numPr>
              <w:tabs>
                <w:tab w:val="left" w:pos="1701"/>
              </w:tabs>
              <w:rPr>
                <w:b/>
                <w:snapToGrid w:val="0"/>
              </w:rPr>
            </w:pPr>
          </w:p>
        </w:tc>
        <w:tc>
          <w:tcPr>
            <w:tcW w:w="6946" w:type="dxa"/>
            <w:gridSpan w:val="2"/>
          </w:tcPr>
          <w:p w14:paraId="43B0C3B3" w14:textId="77777777" w:rsidR="00686DE2" w:rsidRDefault="00686DE2">
            <w:pPr>
              <w:tabs>
                <w:tab w:val="left" w:pos="1701"/>
              </w:tabs>
              <w:rPr>
                <w:b/>
              </w:rPr>
            </w:pPr>
            <w:r w:rsidRPr="00794B34">
              <w:rPr>
                <w:b/>
              </w:rPr>
              <w:t>Allmän information inför det svenska ordförandeskapet, forskning och rymd</w:t>
            </w:r>
          </w:p>
          <w:p w14:paraId="7FE261AD" w14:textId="77777777" w:rsidR="00686DE2" w:rsidRDefault="00686DE2">
            <w:pPr>
              <w:tabs>
                <w:tab w:val="left" w:pos="1701"/>
              </w:tabs>
              <w:rPr>
                <w:b/>
              </w:rPr>
            </w:pPr>
          </w:p>
          <w:p w14:paraId="5483918A" w14:textId="0A72ACFD" w:rsidR="00686DE2" w:rsidRDefault="00686DE2">
            <w:pPr>
              <w:tabs>
                <w:tab w:val="left" w:pos="1701"/>
              </w:tabs>
              <w:rPr>
                <w:bCs/>
              </w:rPr>
            </w:pPr>
            <w:r>
              <w:rPr>
                <w:bCs/>
              </w:rPr>
              <w:t>S</w:t>
            </w:r>
            <w:r w:rsidRPr="00686DE2">
              <w:rPr>
                <w:bCs/>
              </w:rPr>
              <w:t>tatssekreterare Maria Nilsson, biträdd av medarbetare från Utbildningsdepartementet,</w:t>
            </w:r>
            <w:r>
              <w:rPr>
                <w:bCs/>
              </w:rPr>
              <w:t xml:space="preserve"> informerade om det svenska ordförandeskapet och prioriterade frågor på forsknings- och rymdområdet. </w:t>
            </w:r>
          </w:p>
          <w:p w14:paraId="0FE3C717" w14:textId="1CADD9A7" w:rsidR="00686DE2" w:rsidRDefault="00686DE2">
            <w:pPr>
              <w:tabs>
                <w:tab w:val="left" w:pos="1701"/>
              </w:tabs>
              <w:rPr>
                <w:b/>
                <w:snapToGrid w:val="0"/>
              </w:rPr>
            </w:pPr>
          </w:p>
        </w:tc>
      </w:tr>
      <w:tr w:rsidR="00686DE2" w14:paraId="5323E7D2" w14:textId="77777777" w:rsidTr="0001177E">
        <w:tc>
          <w:tcPr>
            <w:tcW w:w="567" w:type="dxa"/>
          </w:tcPr>
          <w:p w14:paraId="636C5B9D" w14:textId="77777777" w:rsidR="00686DE2" w:rsidRPr="003B4DE8" w:rsidRDefault="00686DE2" w:rsidP="003B4DE8">
            <w:pPr>
              <w:pStyle w:val="Liststycke"/>
              <w:numPr>
                <w:ilvl w:val="0"/>
                <w:numId w:val="2"/>
              </w:numPr>
              <w:tabs>
                <w:tab w:val="left" w:pos="1701"/>
              </w:tabs>
              <w:rPr>
                <w:b/>
                <w:snapToGrid w:val="0"/>
              </w:rPr>
            </w:pPr>
          </w:p>
        </w:tc>
        <w:tc>
          <w:tcPr>
            <w:tcW w:w="6946" w:type="dxa"/>
            <w:gridSpan w:val="2"/>
          </w:tcPr>
          <w:p w14:paraId="75304D8A" w14:textId="77777777" w:rsidR="00686DE2" w:rsidRDefault="00686DE2">
            <w:pPr>
              <w:tabs>
                <w:tab w:val="left" w:pos="1701"/>
              </w:tabs>
              <w:rPr>
                <w:b/>
              </w:rPr>
            </w:pPr>
            <w:r w:rsidRPr="003A5B5A">
              <w:rPr>
                <w:b/>
              </w:rPr>
              <w:t xml:space="preserve">EU-överläggning om </w:t>
            </w:r>
            <w:proofErr w:type="spellStart"/>
            <w:r w:rsidRPr="003A5B5A">
              <w:rPr>
                <w:b/>
              </w:rPr>
              <w:t>rådsslutsatser</w:t>
            </w:r>
            <w:proofErr w:type="spellEnd"/>
            <w:r w:rsidRPr="003A5B5A">
              <w:rPr>
                <w:b/>
              </w:rPr>
              <w:t xml:space="preserve"> om att stödja välmående inom digital utbildning</w:t>
            </w:r>
          </w:p>
          <w:p w14:paraId="1290DB34" w14:textId="77777777" w:rsidR="00686DE2" w:rsidRDefault="00686DE2">
            <w:pPr>
              <w:tabs>
                <w:tab w:val="left" w:pos="1701"/>
              </w:tabs>
              <w:rPr>
                <w:b/>
              </w:rPr>
            </w:pPr>
          </w:p>
          <w:p w14:paraId="44B16DEF" w14:textId="231A86B5" w:rsidR="008B1824" w:rsidRDefault="00686DE2" w:rsidP="00686DE2">
            <w:pPr>
              <w:tabs>
                <w:tab w:val="left" w:pos="1701"/>
              </w:tabs>
              <w:rPr>
                <w:bCs/>
              </w:rPr>
            </w:pPr>
            <w:r w:rsidRPr="00686DE2">
              <w:rPr>
                <w:bCs/>
                <w:snapToGrid w:val="0"/>
              </w:rPr>
              <w:t xml:space="preserve">Utskottet överlade med statsrådet Lotta Edholm, biträdd av medarbetare från Utbildningsdepartementet, om </w:t>
            </w:r>
            <w:proofErr w:type="spellStart"/>
            <w:r w:rsidRPr="00686DE2">
              <w:rPr>
                <w:bCs/>
              </w:rPr>
              <w:t>rådsslutsatser</w:t>
            </w:r>
            <w:proofErr w:type="spellEnd"/>
            <w:r w:rsidRPr="00686DE2">
              <w:rPr>
                <w:bCs/>
              </w:rPr>
              <w:t xml:space="preserve"> om att stödja välmående inom digital utbildning.</w:t>
            </w:r>
          </w:p>
          <w:p w14:paraId="7BFDD248" w14:textId="77777777" w:rsidR="008B1824" w:rsidRDefault="008B1824" w:rsidP="008B1824">
            <w:pPr>
              <w:tabs>
                <w:tab w:val="left" w:pos="1701"/>
              </w:tabs>
              <w:rPr>
                <w:bCs/>
              </w:rPr>
            </w:pPr>
          </w:p>
          <w:p w14:paraId="537909B8" w14:textId="77777777" w:rsidR="008B1824" w:rsidRPr="008B1824" w:rsidRDefault="008B1824" w:rsidP="008B1824">
            <w:pPr>
              <w:tabs>
                <w:tab w:val="left" w:pos="1701"/>
              </w:tabs>
              <w:rPr>
                <w:bCs/>
                <w:i/>
                <w:iCs/>
              </w:rPr>
            </w:pPr>
            <w:r w:rsidRPr="008B1824">
              <w:rPr>
                <w:bCs/>
                <w:i/>
                <w:iCs/>
              </w:rPr>
              <w:t>Underlag för överläggningen</w:t>
            </w:r>
          </w:p>
          <w:p w14:paraId="6FAAC297" w14:textId="77777777" w:rsidR="008B1824" w:rsidRPr="008B1824" w:rsidRDefault="008B1824" w:rsidP="008B1824">
            <w:pPr>
              <w:tabs>
                <w:tab w:val="left" w:pos="1701"/>
              </w:tabs>
              <w:rPr>
                <w:bCs/>
              </w:rPr>
            </w:pPr>
            <w:r w:rsidRPr="008B1824">
              <w:rPr>
                <w:bCs/>
              </w:rPr>
              <w:t xml:space="preserve">Promemoria från Utbildningsdepartementet (dnr </w:t>
            </w:r>
            <w:proofErr w:type="gramStart"/>
            <w:r w:rsidRPr="008B1824">
              <w:rPr>
                <w:bCs/>
              </w:rPr>
              <w:t>836-2022</w:t>
            </w:r>
            <w:proofErr w:type="gramEnd"/>
            <w:r w:rsidRPr="008B1824">
              <w:rPr>
                <w:bCs/>
              </w:rPr>
              <w:t>/23)</w:t>
            </w:r>
          </w:p>
          <w:p w14:paraId="15859882" w14:textId="3B897356" w:rsidR="008B1824" w:rsidRDefault="008B1824" w:rsidP="008B1824">
            <w:pPr>
              <w:tabs>
                <w:tab w:val="left" w:pos="1701"/>
              </w:tabs>
              <w:rPr>
                <w:bCs/>
              </w:rPr>
            </w:pPr>
            <w:r w:rsidRPr="008B1824">
              <w:rPr>
                <w:bCs/>
              </w:rPr>
              <w:t xml:space="preserve">Rådsdokument WK </w:t>
            </w:r>
            <w:proofErr w:type="gramStart"/>
            <w:r w:rsidRPr="008B1824">
              <w:rPr>
                <w:bCs/>
              </w:rPr>
              <w:t>14575</w:t>
            </w:r>
            <w:proofErr w:type="gramEnd"/>
            <w:r w:rsidRPr="008B1824">
              <w:rPr>
                <w:bCs/>
              </w:rPr>
              <w:t xml:space="preserve">/2022 </w:t>
            </w:r>
          </w:p>
          <w:p w14:paraId="41386E7F" w14:textId="77777777" w:rsidR="008B1824" w:rsidRDefault="008B1824" w:rsidP="008B1824">
            <w:pPr>
              <w:tabs>
                <w:tab w:val="left" w:pos="1701"/>
              </w:tabs>
              <w:rPr>
                <w:bCs/>
              </w:rPr>
            </w:pPr>
          </w:p>
          <w:p w14:paraId="2CF3CB9D" w14:textId="77777777" w:rsidR="008B1824" w:rsidRPr="008B1824" w:rsidRDefault="008B1824" w:rsidP="008B1824">
            <w:pPr>
              <w:tabs>
                <w:tab w:val="left" w:pos="1701"/>
              </w:tabs>
              <w:rPr>
                <w:bCs/>
                <w:i/>
                <w:iCs/>
              </w:rPr>
            </w:pPr>
            <w:r w:rsidRPr="008B1824">
              <w:rPr>
                <w:bCs/>
                <w:i/>
                <w:iCs/>
              </w:rPr>
              <w:t>Regeringens förslag till svensk ståndpunkt</w:t>
            </w:r>
          </w:p>
          <w:p w14:paraId="20E55772" w14:textId="317547D0" w:rsidR="008B1824" w:rsidRDefault="008B1824" w:rsidP="008B1824">
            <w:pPr>
              <w:tabs>
                <w:tab w:val="left" w:pos="1701"/>
              </w:tabs>
              <w:rPr>
                <w:bCs/>
              </w:rPr>
            </w:pPr>
            <w:r w:rsidRPr="008B1824">
              <w:rPr>
                <w:bCs/>
              </w:rPr>
              <w:t xml:space="preserve">Regeringen kan stödja arbete som syftar till att främja en högkvalitativ, jämställd och tillgänglig digital utbildning för alla elever och studenter. Regeringen stödjer också samarbete som syftar till att öka elevers välmående inom digital utbildning och förebygga och motverka t.ex. mobbning på internet. </w:t>
            </w:r>
          </w:p>
          <w:p w14:paraId="7B50BF04" w14:textId="77777777" w:rsidR="008B1824" w:rsidRPr="008B1824" w:rsidRDefault="008B1824" w:rsidP="008B1824">
            <w:pPr>
              <w:tabs>
                <w:tab w:val="left" w:pos="1701"/>
              </w:tabs>
              <w:rPr>
                <w:bCs/>
              </w:rPr>
            </w:pPr>
          </w:p>
          <w:p w14:paraId="1958816A" w14:textId="63BCEF17" w:rsidR="008B1824" w:rsidRDefault="008B1824" w:rsidP="008B1824">
            <w:pPr>
              <w:tabs>
                <w:tab w:val="left" w:pos="1701"/>
              </w:tabs>
              <w:rPr>
                <w:bCs/>
              </w:rPr>
            </w:pPr>
            <w:r w:rsidRPr="008B1824">
              <w:rPr>
                <w:bCs/>
              </w:rPr>
              <w:t xml:space="preserve">Regeringen kan ställa sig bakom att olika lärandeverktyg, vilka kan vara både analoga och digitala, kan användas i undervisningen. Det är även viktigt att säkerställa lärares kompetens när det gäller att använda digitala verktyg i den pedagogiska undervisningen. Det är också viktigt att elever och lärare även har tillgång till läroböcker, alltså tryckta läromedel, och inte enbart är hänvisade till digitala hjälpmedel i undervisningen. </w:t>
            </w:r>
          </w:p>
          <w:p w14:paraId="622D4242" w14:textId="77777777" w:rsidR="008B1824" w:rsidRPr="008B1824" w:rsidRDefault="008B1824" w:rsidP="008B1824">
            <w:pPr>
              <w:tabs>
                <w:tab w:val="left" w:pos="1701"/>
              </w:tabs>
              <w:rPr>
                <w:bCs/>
              </w:rPr>
            </w:pPr>
          </w:p>
          <w:p w14:paraId="19E07235" w14:textId="7D53D64F" w:rsidR="008B1824" w:rsidRDefault="008B1824" w:rsidP="008B1824">
            <w:pPr>
              <w:tabs>
                <w:tab w:val="left" w:pos="1701"/>
              </w:tabs>
              <w:rPr>
                <w:bCs/>
              </w:rPr>
            </w:pPr>
            <w:r w:rsidRPr="008B1824">
              <w:rPr>
                <w:bCs/>
              </w:rPr>
              <w:t>Regeringen är positiv till initiativ för att genomföra omställningen mot ett mer digitalt och grönt samhälle och att bidra till återhämtning från covid-19-pandemin.</w:t>
            </w:r>
          </w:p>
          <w:p w14:paraId="528A1207" w14:textId="77777777" w:rsidR="008B1824" w:rsidRDefault="008B1824" w:rsidP="008B1824">
            <w:pPr>
              <w:tabs>
                <w:tab w:val="left" w:pos="1701"/>
              </w:tabs>
              <w:rPr>
                <w:bCs/>
              </w:rPr>
            </w:pPr>
          </w:p>
          <w:p w14:paraId="15E267EB" w14:textId="77777777" w:rsidR="008B1824" w:rsidRPr="008B1824" w:rsidRDefault="008B1824" w:rsidP="008B1824">
            <w:pPr>
              <w:tabs>
                <w:tab w:val="left" w:pos="1701"/>
              </w:tabs>
              <w:rPr>
                <w:bCs/>
                <w:i/>
                <w:iCs/>
              </w:rPr>
            </w:pPr>
            <w:r w:rsidRPr="008B1824">
              <w:rPr>
                <w:bCs/>
                <w:i/>
                <w:iCs/>
              </w:rPr>
              <w:t>Överläggningen</w:t>
            </w:r>
          </w:p>
          <w:p w14:paraId="29B95FE4" w14:textId="77777777" w:rsidR="008B1824" w:rsidRDefault="008B1824" w:rsidP="008B1824">
            <w:pPr>
              <w:tabs>
                <w:tab w:val="left" w:pos="1701"/>
              </w:tabs>
              <w:rPr>
                <w:bCs/>
              </w:rPr>
            </w:pPr>
            <w:r w:rsidRPr="00395794">
              <w:rPr>
                <w:bCs/>
              </w:rPr>
              <w:t>Ordföranden konstaterade att det fanns stöd för regeringens ståndpunkt.</w:t>
            </w:r>
          </w:p>
          <w:p w14:paraId="47A0662D" w14:textId="77777777" w:rsidR="008B1824" w:rsidRDefault="008B1824" w:rsidP="008B1824">
            <w:pPr>
              <w:tabs>
                <w:tab w:val="left" w:pos="1701"/>
              </w:tabs>
              <w:rPr>
                <w:bCs/>
              </w:rPr>
            </w:pPr>
          </w:p>
          <w:p w14:paraId="73B82F5C" w14:textId="50DE7BF3" w:rsidR="008B1824" w:rsidRPr="00686DE2" w:rsidRDefault="008B1824" w:rsidP="008B1824">
            <w:pPr>
              <w:widowControl/>
              <w:tabs>
                <w:tab w:val="left" w:pos="284"/>
              </w:tabs>
              <w:rPr>
                <w:bCs/>
              </w:rPr>
            </w:pPr>
            <w:r>
              <w:t>Denna paragraf förklarades omedelbart justerad.</w:t>
            </w:r>
          </w:p>
          <w:p w14:paraId="4F03781E" w14:textId="0245EA6E" w:rsidR="00686DE2" w:rsidRDefault="00686DE2">
            <w:pPr>
              <w:tabs>
                <w:tab w:val="left" w:pos="1701"/>
              </w:tabs>
              <w:rPr>
                <w:b/>
                <w:snapToGrid w:val="0"/>
              </w:rPr>
            </w:pPr>
          </w:p>
        </w:tc>
      </w:tr>
      <w:tr w:rsidR="00686DE2" w14:paraId="3C0435F2" w14:textId="77777777" w:rsidTr="0001177E">
        <w:tc>
          <w:tcPr>
            <w:tcW w:w="567" w:type="dxa"/>
          </w:tcPr>
          <w:p w14:paraId="371A7193" w14:textId="77777777" w:rsidR="00686DE2" w:rsidRPr="003B4DE8" w:rsidRDefault="00686DE2" w:rsidP="003B4DE8">
            <w:pPr>
              <w:pStyle w:val="Liststycke"/>
              <w:numPr>
                <w:ilvl w:val="0"/>
                <w:numId w:val="2"/>
              </w:numPr>
              <w:tabs>
                <w:tab w:val="left" w:pos="1701"/>
              </w:tabs>
              <w:rPr>
                <w:b/>
                <w:snapToGrid w:val="0"/>
              </w:rPr>
            </w:pPr>
          </w:p>
        </w:tc>
        <w:tc>
          <w:tcPr>
            <w:tcW w:w="6946" w:type="dxa"/>
            <w:gridSpan w:val="2"/>
          </w:tcPr>
          <w:p w14:paraId="2D7EF3F3" w14:textId="77777777" w:rsidR="00686DE2" w:rsidRDefault="00686DE2">
            <w:pPr>
              <w:tabs>
                <w:tab w:val="left" w:pos="1701"/>
              </w:tabs>
              <w:rPr>
                <w:b/>
              </w:rPr>
            </w:pPr>
            <w:r w:rsidRPr="00794B34">
              <w:rPr>
                <w:b/>
              </w:rPr>
              <w:t xml:space="preserve">EU-överläggning om rådsrekommendation om vägar till en framgångsrik skolgång </w:t>
            </w:r>
          </w:p>
          <w:p w14:paraId="07099EC7" w14:textId="77777777" w:rsidR="00686DE2" w:rsidRDefault="00686DE2">
            <w:pPr>
              <w:tabs>
                <w:tab w:val="left" w:pos="1701"/>
              </w:tabs>
              <w:rPr>
                <w:b/>
              </w:rPr>
            </w:pPr>
          </w:p>
          <w:p w14:paraId="795EB169" w14:textId="4964E6A8" w:rsidR="008B1824" w:rsidRDefault="00686DE2">
            <w:pPr>
              <w:tabs>
                <w:tab w:val="left" w:pos="1701"/>
              </w:tabs>
              <w:rPr>
                <w:bCs/>
              </w:rPr>
            </w:pPr>
            <w:r w:rsidRPr="00686DE2">
              <w:rPr>
                <w:bCs/>
                <w:snapToGrid w:val="0"/>
              </w:rPr>
              <w:t xml:space="preserve">Utskottet överlade med statsrådet Lotta Edholm, biträdd av medarbetare från Utbildningsdepartementet, om </w:t>
            </w:r>
            <w:r w:rsidRPr="00686DE2">
              <w:rPr>
                <w:bCs/>
              </w:rPr>
              <w:t xml:space="preserve">en rådsrekommendation om vägar till en framgångsrik skolgång </w:t>
            </w:r>
          </w:p>
          <w:p w14:paraId="12E4E851" w14:textId="77777777" w:rsidR="008B1824" w:rsidRDefault="008B1824" w:rsidP="008B1824">
            <w:pPr>
              <w:tabs>
                <w:tab w:val="left" w:pos="1701"/>
              </w:tabs>
              <w:rPr>
                <w:bCs/>
              </w:rPr>
            </w:pPr>
          </w:p>
          <w:p w14:paraId="72B12BC9" w14:textId="77777777" w:rsidR="008B1824" w:rsidRPr="008B1824" w:rsidRDefault="008B1824" w:rsidP="008B1824">
            <w:pPr>
              <w:tabs>
                <w:tab w:val="left" w:pos="1701"/>
              </w:tabs>
              <w:rPr>
                <w:bCs/>
                <w:i/>
                <w:iCs/>
              </w:rPr>
            </w:pPr>
            <w:r w:rsidRPr="008B1824">
              <w:rPr>
                <w:bCs/>
                <w:i/>
                <w:iCs/>
              </w:rPr>
              <w:t>Underlag för överläggningen</w:t>
            </w:r>
          </w:p>
          <w:p w14:paraId="104BA569" w14:textId="77777777" w:rsidR="008B1824" w:rsidRPr="008B1824" w:rsidRDefault="008B1824" w:rsidP="008B1824">
            <w:pPr>
              <w:tabs>
                <w:tab w:val="left" w:pos="1701"/>
              </w:tabs>
              <w:rPr>
                <w:bCs/>
              </w:rPr>
            </w:pPr>
            <w:r w:rsidRPr="008B1824">
              <w:rPr>
                <w:bCs/>
              </w:rPr>
              <w:t xml:space="preserve">Promemoria från Utbildningsdepartementet (dnr </w:t>
            </w:r>
            <w:proofErr w:type="gramStart"/>
            <w:r w:rsidRPr="008B1824">
              <w:rPr>
                <w:bCs/>
              </w:rPr>
              <w:t>837-2022</w:t>
            </w:r>
            <w:proofErr w:type="gramEnd"/>
            <w:r w:rsidRPr="008B1824">
              <w:rPr>
                <w:bCs/>
              </w:rPr>
              <w:t>/23)</w:t>
            </w:r>
          </w:p>
          <w:p w14:paraId="41155ADA" w14:textId="77777777" w:rsidR="008B1824" w:rsidRPr="008B1824" w:rsidRDefault="008B1824" w:rsidP="008B1824">
            <w:pPr>
              <w:tabs>
                <w:tab w:val="left" w:pos="1701"/>
              </w:tabs>
              <w:rPr>
                <w:bCs/>
              </w:rPr>
            </w:pPr>
            <w:r w:rsidRPr="008B1824">
              <w:rPr>
                <w:bCs/>
              </w:rPr>
              <w:t xml:space="preserve">Rådsdokument ST </w:t>
            </w:r>
            <w:proofErr w:type="gramStart"/>
            <w:r w:rsidRPr="008B1824">
              <w:rPr>
                <w:bCs/>
              </w:rPr>
              <w:t>13412</w:t>
            </w:r>
            <w:proofErr w:type="gramEnd"/>
            <w:r w:rsidRPr="008B1824">
              <w:rPr>
                <w:bCs/>
              </w:rPr>
              <w:t>/22</w:t>
            </w:r>
          </w:p>
          <w:p w14:paraId="4F5E8097" w14:textId="6A5891FC" w:rsidR="008B1824" w:rsidRDefault="008B1824" w:rsidP="008B1824">
            <w:pPr>
              <w:tabs>
                <w:tab w:val="left" w:pos="1701"/>
              </w:tabs>
              <w:rPr>
                <w:bCs/>
              </w:rPr>
            </w:pPr>
            <w:proofErr w:type="gramStart"/>
            <w:r w:rsidRPr="008B1824">
              <w:rPr>
                <w:bCs/>
              </w:rPr>
              <w:t>COM</w:t>
            </w:r>
            <w:r>
              <w:rPr>
                <w:bCs/>
              </w:rPr>
              <w:t>(</w:t>
            </w:r>
            <w:proofErr w:type="gramEnd"/>
            <w:r w:rsidRPr="008B1824">
              <w:rPr>
                <w:bCs/>
              </w:rPr>
              <w:t>2022</w:t>
            </w:r>
            <w:r>
              <w:rPr>
                <w:bCs/>
              </w:rPr>
              <w:t>)</w:t>
            </w:r>
            <w:r w:rsidRPr="008B1824">
              <w:rPr>
                <w:bCs/>
              </w:rPr>
              <w:t xml:space="preserve"> 316</w:t>
            </w:r>
          </w:p>
          <w:p w14:paraId="7777F0BA" w14:textId="77777777" w:rsidR="008B1824" w:rsidRDefault="008B1824" w:rsidP="008B1824">
            <w:pPr>
              <w:tabs>
                <w:tab w:val="left" w:pos="1701"/>
              </w:tabs>
              <w:rPr>
                <w:bCs/>
              </w:rPr>
            </w:pPr>
          </w:p>
          <w:p w14:paraId="4F5B0189" w14:textId="77777777" w:rsidR="008B1824" w:rsidRPr="008B1824" w:rsidRDefault="008B1824" w:rsidP="008B1824">
            <w:pPr>
              <w:tabs>
                <w:tab w:val="left" w:pos="1701"/>
              </w:tabs>
              <w:rPr>
                <w:bCs/>
                <w:i/>
                <w:iCs/>
              </w:rPr>
            </w:pPr>
            <w:r w:rsidRPr="008B1824">
              <w:rPr>
                <w:bCs/>
                <w:i/>
                <w:iCs/>
              </w:rPr>
              <w:t>Regeringens förslag till svensk ståndpunkt</w:t>
            </w:r>
          </w:p>
          <w:p w14:paraId="55B64E8B" w14:textId="612F8AC4" w:rsidR="008B1824" w:rsidRDefault="008B1824" w:rsidP="008B1824">
            <w:pPr>
              <w:tabs>
                <w:tab w:val="left" w:pos="1701"/>
              </w:tabs>
              <w:rPr>
                <w:bCs/>
              </w:rPr>
            </w:pPr>
            <w:r w:rsidRPr="008B1824">
              <w:rPr>
                <w:bCs/>
              </w:rPr>
              <w:t>Regeringen stödjer arbete som betonar vikten av att alla ska ha samma tillgång till inkluderande och jämlik utbildning av hög kvalitet. Regeringen ställer sig även bakom insatser för att fler barn och elever ska kunna tillgodogöra sig och lyckas nå målen i grundskolan liksom arbete för att minska andelen elever som inte blir behöriga till gymnasieskolan och därmed också minska risken för skolavhopp. Det kan bland annat handla om insatser för att höja baskunskaper inom läs- och skrivförmåga men också om möjligheterna till stöd via speciallärare och en elevhälsa av god kvalité.</w:t>
            </w:r>
          </w:p>
          <w:p w14:paraId="77EB683A" w14:textId="77777777" w:rsidR="008B1824" w:rsidRPr="008B1824" w:rsidRDefault="008B1824" w:rsidP="008B1824">
            <w:pPr>
              <w:tabs>
                <w:tab w:val="left" w:pos="1701"/>
              </w:tabs>
              <w:rPr>
                <w:bCs/>
              </w:rPr>
            </w:pPr>
          </w:p>
          <w:p w14:paraId="3473F46B" w14:textId="77777777" w:rsidR="008B1824" w:rsidRDefault="008B1824" w:rsidP="008B1824">
            <w:pPr>
              <w:tabs>
                <w:tab w:val="left" w:pos="1701"/>
              </w:tabs>
              <w:rPr>
                <w:bCs/>
              </w:rPr>
            </w:pPr>
            <w:r w:rsidRPr="008B1824">
              <w:rPr>
                <w:bCs/>
              </w:rPr>
              <w:t>Det är av största vikt att arbeta för ett jämlikt och jämställt utbildningssystem som utjämnar livschanser och bidrar till sammanhållning, demokratiska värderingar, inkludering och gemenskap. Detta främjar livslångt lärande för alla, oavsett exempelvis bakgrund, kön, ålder, funktionsnedsättning och bostadsort.</w:t>
            </w:r>
          </w:p>
          <w:p w14:paraId="4DF018A4" w14:textId="5F747E3E" w:rsidR="008B1824" w:rsidRPr="008B1824" w:rsidRDefault="008B1824" w:rsidP="008B1824">
            <w:pPr>
              <w:tabs>
                <w:tab w:val="left" w:pos="1701"/>
              </w:tabs>
              <w:rPr>
                <w:bCs/>
              </w:rPr>
            </w:pPr>
          </w:p>
          <w:p w14:paraId="297365FB" w14:textId="131BF468" w:rsidR="008B1824" w:rsidRDefault="008B1824" w:rsidP="008B1824">
            <w:pPr>
              <w:tabs>
                <w:tab w:val="left" w:pos="1701"/>
              </w:tabs>
              <w:rPr>
                <w:bCs/>
              </w:rPr>
            </w:pPr>
            <w:r w:rsidRPr="008B1824">
              <w:rPr>
                <w:bCs/>
              </w:rPr>
              <w:t>Regeringen anser det värdefullt med ett fortsatt erfarenhetsutbyte mellan medlemsländerna om jämlikhet i utbildning, vilket innebär diskussioner både om erfarenheter från nationella insatser och möjliga åtgärder på EU-nivå.</w:t>
            </w:r>
          </w:p>
          <w:p w14:paraId="4B1C1DD5" w14:textId="77777777" w:rsidR="008B1824" w:rsidRDefault="008B1824" w:rsidP="008B1824">
            <w:pPr>
              <w:tabs>
                <w:tab w:val="left" w:pos="1701"/>
              </w:tabs>
              <w:rPr>
                <w:bCs/>
              </w:rPr>
            </w:pPr>
          </w:p>
          <w:p w14:paraId="10B15171" w14:textId="77777777" w:rsidR="008B1824" w:rsidRPr="008B1824" w:rsidRDefault="008B1824" w:rsidP="008B1824">
            <w:pPr>
              <w:tabs>
                <w:tab w:val="left" w:pos="1701"/>
              </w:tabs>
              <w:rPr>
                <w:bCs/>
                <w:i/>
                <w:iCs/>
              </w:rPr>
            </w:pPr>
            <w:r w:rsidRPr="008B1824">
              <w:rPr>
                <w:bCs/>
                <w:i/>
                <w:iCs/>
              </w:rPr>
              <w:t>Överläggningen</w:t>
            </w:r>
          </w:p>
          <w:p w14:paraId="7D8E2673" w14:textId="77777777" w:rsidR="008B1824" w:rsidRPr="00E42144" w:rsidRDefault="008B1824" w:rsidP="008B1824">
            <w:pPr>
              <w:tabs>
                <w:tab w:val="left" w:pos="1701"/>
              </w:tabs>
              <w:rPr>
                <w:bCs/>
              </w:rPr>
            </w:pPr>
            <w:r w:rsidRPr="00E42144">
              <w:rPr>
                <w:bCs/>
              </w:rPr>
              <w:t>Ordföranden konstaterade att det fanns stöd för regeringens ståndpunkt.</w:t>
            </w:r>
          </w:p>
          <w:p w14:paraId="51661824" w14:textId="77777777" w:rsidR="008B1824" w:rsidRPr="00E42144" w:rsidRDefault="008B1824" w:rsidP="008B1824">
            <w:pPr>
              <w:tabs>
                <w:tab w:val="left" w:pos="1701"/>
              </w:tabs>
              <w:rPr>
                <w:bCs/>
              </w:rPr>
            </w:pPr>
          </w:p>
          <w:p w14:paraId="54B8FB69" w14:textId="3DF549D6" w:rsidR="008B1824" w:rsidRDefault="00395794" w:rsidP="008B1824">
            <w:pPr>
              <w:tabs>
                <w:tab w:val="left" w:pos="1701"/>
              </w:tabs>
              <w:rPr>
                <w:bCs/>
              </w:rPr>
            </w:pPr>
            <w:r w:rsidRPr="00A75335">
              <w:rPr>
                <w:bCs/>
              </w:rPr>
              <w:t>Ledamoten från Vänsterpartiet</w:t>
            </w:r>
            <w:r w:rsidR="008B1824" w:rsidRPr="00A75335">
              <w:rPr>
                <w:bCs/>
              </w:rPr>
              <w:t xml:space="preserve"> lämnade en avvikande ståndpunkt</w:t>
            </w:r>
            <w:r w:rsidR="00A75335">
              <w:rPr>
                <w:bCs/>
              </w:rPr>
              <w:t xml:space="preserve"> enligt följande:</w:t>
            </w:r>
          </w:p>
          <w:p w14:paraId="23409BD2" w14:textId="00A693F2" w:rsidR="00A75335" w:rsidRDefault="00A75335" w:rsidP="008B1824">
            <w:pPr>
              <w:tabs>
                <w:tab w:val="left" w:pos="1701"/>
              </w:tabs>
              <w:rPr>
                <w:bCs/>
              </w:rPr>
            </w:pPr>
          </w:p>
          <w:p w14:paraId="60920400" w14:textId="40FA7FA9" w:rsidR="00A75335" w:rsidRPr="00A75335" w:rsidRDefault="00F3624B" w:rsidP="00A75335">
            <w:pPr>
              <w:tabs>
                <w:tab w:val="left" w:pos="1701"/>
              </w:tabs>
              <w:rPr>
                <w:bCs/>
              </w:rPr>
            </w:pPr>
            <w:r>
              <w:rPr>
                <w:bCs/>
              </w:rPr>
              <w:t>”</w:t>
            </w:r>
            <w:r w:rsidR="00A75335" w:rsidRPr="00A75335">
              <w:rPr>
                <w:bCs/>
              </w:rPr>
              <w:t xml:space="preserve">Jag och Vänsterpartiet ställer oss bakom stora delar av regeringens förslag till ståndpunkt, men har en avvikande ståndpunkt med anledning av att skolområdet är nationell kompetens samt att ländernas lagstiftning och skolsystem varierar från land till land. EU har länge utökat sina befogenheter över skolområdet och detta är något vi vänder oss emot. </w:t>
            </w:r>
            <w:r>
              <w:rPr>
                <w:bCs/>
              </w:rPr>
              <w:t>”</w:t>
            </w:r>
          </w:p>
          <w:p w14:paraId="5791DF48" w14:textId="77777777" w:rsidR="008B1824" w:rsidRDefault="008B1824" w:rsidP="008B1824">
            <w:pPr>
              <w:tabs>
                <w:tab w:val="left" w:pos="1701"/>
              </w:tabs>
              <w:rPr>
                <w:bCs/>
              </w:rPr>
            </w:pPr>
          </w:p>
          <w:p w14:paraId="7C52E33F" w14:textId="061E5C5B" w:rsidR="008B1824" w:rsidRPr="00686DE2" w:rsidRDefault="008B1824" w:rsidP="00A75335">
            <w:pPr>
              <w:widowControl/>
              <w:tabs>
                <w:tab w:val="left" w:pos="284"/>
              </w:tabs>
              <w:rPr>
                <w:bCs/>
              </w:rPr>
            </w:pPr>
            <w:r>
              <w:lastRenderedPageBreak/>
              <w:t>Denna paragraf förklarades omedelbart justerad.</w:t>
            </w:r>
          </w:p>
          <w:p w14:paraId="0C83EC12" w14:textId="19018803" w:rsidR="00686DE2" w:rsidRDefault="00686DE2">
            <w:pPr>
              <w:tabs>
                <w:tab w:val="left" w:pos="1701"/>
              </w:tabs>
              <w:rPr>
                <w:b/>
                <w:snapToGrid w:val="0"/>
              </w:rPr>
            </w:pPr>
          </w:p>
        </w:tc>
      </w:tr>
      <w:tr w:rsidR="00686DE2" w14:paraId="22664903" w14:textId="77777777" w:rsidTr="0001177E">
        <w:tc>
          <w:tcPr>
            <w:tcW w:w="567" w:type="dxa"/>
          </w:tcPr>
          <w:p w14:paraId="021A5E19" w14:textId="77777777" w:rsidR="00686DE2" w:rsidRPr="003B4DE8" w:rsidRDefault="00686DE2" w:rsidP="003B4DE8">
            <w:pPr>
              <w:pStyle w:val="Liststycke"/>
              <w:numPr>
                <w:ilvl w:val="0"/>
                <w:numId w:val="2"/>
              </w:numPr>
              <w:tabs>
                <w:tab w:val="left" w:pos="1701"/>
              </w:tabs>
              <w:rPr>
                <w:b/>
                <w:snapToGrid w:val="0"/>
              </w:rPr>
            </w:pPr>
          </w:p>
        </w:tc>
        <w:tc>
          <w:tcPr>
            <w:tcW w:w="6946" w:type="dxa"/>
            <w:gridSpan w:val="2"/>
          </w:tcPr>
          <w:p w14:paraId="06A34C67" w14:textId="77777777" w:rsidR="00686DE2" w:rsidRDefault="00686DE2">
            <w:pPr>
              <w:tabs>
                <w:tab w:val="left" w:pos="1701"/>
              </w:tabs>
              <w:rPr>
                <w:b/>
              </w:rPr>
            </w:pPr>
            <w:r w:rsidRPr="00794B34">
              <w:rPr>
                <w:b/>
              </w:rPr>
              <w:t>EU-överläggning om rådsrekommendation om europeiska mål om förskoleverksamhet och barnomsorg: Barcelonamål till 2030</w:t>
            </w:r>
          </w:p>
          <w:p w14:paraId="1902DD2C" w14:textId="77777777" w:rsidR="00686DE2" w:rsidRDefault="00686DE2">
            <w:pPr>
              <w:tabs>
                <w:tab w:val="left" w:pos="1701"/>
              </w:tabs>
              <w:rPr>
                <w:b/>
              </w:rPr>
            </w:pPr>
          </w:p>
          <w:p w14:paraId="1F761E77" w14:textId="03775729" w:rsidR="008B1824" w:rsidRDefault="00686DE2" w:rsidP="00686DE2">
            <w:pPr>
              <w:tabs>
                <w:tab w:val="left" w:pos="1701"/>
              </w:tabs>
              <w:rPr>
                <w:bCs/>
              </w:rPr>
            </w:pPr>
            <w:r w:rsidRPr="00686DE2">
              <w:rPr>
                <w:bCs/>
                <w:snapToGrid w:val="0"/>
              </w:rPr>
              <w:t xml:space="preserve">Utskottet överlade med statsrådet Lotta Edholm, biträdd av medarbetare från Utbildningsdepartementet, om </w:t>
            </w:r>
            <w:r w:rsidRPr="00686DE2">
              <w:rPr>
                <w:bCs/>
              </w:rPr>
              <w:t>en rådsrekommendation om europeiska mål om förskoleverksamhet och barnomsorg: Barcelonamål till 2030.</w:t>
            </w:r>
          </w:p>
          <w:p w14:paraId="65E759F2" w14:textId="77777777" w:rsidR="008B1824" w:rsidRDefault="008B1824" w:rsidP="008B1824">
            <w:pPr>
              <w:tabs>
                <w:tab w:val="left" w:pos="1701"/>
              </w:tabs>
              <w:rPr>
                <w:bCs/>
              </w:rPr>
            </w:pPr>
          </w:p>
          <w:p w14:paraId="77727E97" w14:textId="77777777" w:rsidR="008B1824" w:rsidRPr="008B1824" w:rsidRDefault="008B1824" w:rsidP="008B1824">
            <w:pPr>
              <w:tabs>
                <w:tab w:val="left" w:pos="1701"/>
              </w:tabs>
              <w:rPr>
                <w:bCs/>
                <w:i/>
                <w:iCs/>
              </w:rPr>
            </w:pPr>
            <w:r w:rsidRPr="008B1824">
              <w:rPr>
                <w:bCs/>
                <w:i/>
                <w:iCs/>
              </w:rPr>
              <w:t>Underlag för överläggningen</w:t>
            </w:r>
          </w:p>
          <w:p w14:paraId="4A0F1A6B" w14:textId="77777777" w:rsidR="008B1824" w:rsidRPr="008B1824" w:rsidRDefault="008B1824" w:rsidP="008B1824">
            <w:pPr>
              <w:tabs>
                <w:tab w:val="left" w:pos="1701"/>
              </w:tabs>
              <w:rPr>
                <w:bCs/>
              </w:rPr>
            </w:pPr>
            <w:r w:rsidRPr="008B1824">
              <w:rPr>
                <w:bCs/>
              </w:rPr>
              <w:t xml:space="preserve">Promemoria från Utbildningsdepartementet (dnr </w:t>
            </w:r>
            <w:proofErr w:type="gramStart"/>
            <w:r w:rsidRPr="008B1824">
              <w:rPr>
                <w:bCs/>
              </w:rPr>
              <w:t>838-2022</w:t>
            </w:r>
            <w:proofErr w:type="gramEnd"/>
            <w:r w:rsidRPr="008B1824">
              <w:rPr>
                <w:bCs/>
              </w:rPr>
              <w:t>/23)</w:t>
            </w:r>
          </w:p>
          <w:p w14:paraId="407555C2" w14:textId="77777777" w:rsidR="008B1824" w:rsidRPr="008B1824" w:rsidRDefault="008B1824" w:rsidP="008B1824">
            <w:pPr>
              <w:tabs>
                <w:tab w:val="left" w:pos="1701"/>
              </w:tabs>
              <w:rPr>
                <w:bCs/>
              </w:rPr>
            </w:pPr>
            <w:r w:rsidRPr="008B1824">
              <w:rPr>
                <w:bCs/>
              </w:rPr>
              <w:t xml:space="preserve">Rådsdokument ST </w:t>
            </w:r>
            <w:proofErr w:type="gramStart"/>
            <w:r w:rsidRPr="008B1824">
              <w:rPr>
                <w:bCs/>
              </w:rPr>
              <w:t>14034</w:t>
            </w:r>
            <w:proofErr w:type="gramEnd"/>
            <w:r w:rsidRPr="008B1824">
              <w:rPr>
                <w:bCs/>
              </w:rPr>
              <w:t xml:space="preserve">/22 </w:t>
            </w:r>
          </w:p>
          <w:p w14:paraId="0FDD7E23" w14:textId="7B3096A0" w:rsidR="008B1824" w:rsidRDefault="008B1824" w:rsidP="008B1824">
            <w:pPr>
              <w:tabs>
                <w:tab w:val="left" w:pos="1701"/>
              </w:tabs>
              <w:rPr>
                <w:bCs/>
              </w:rPr>
            </w:pPr>
            <w:proofErr w:type="gramStart"/>
            <w:r w:rsidRPr="008B1824">
              <w:rPr>
                <w:bCs/>
              </w:rPr>
              <w:t>COM</w:t>
            </w:r>
            <w:r>
              <w:rPr>
                <w:bCs/>
              </w:rPr>
              <w:t>(</w:t>
            </w:r>
            <w:proofErr w:type="gramEnd"/>
            <w:r w:rsidRPr="008B1824">
              <w:rPr>
                <w:bCs/>
              </w:rPr>
              <w:t>2022</w:t>
            </w:r>
            <w:r>
              <w:rPr>
                <w:bCs/>
              </w:rPr>
              <w:t>)</w:t>
            </w:r>
            <w:r w:rsidRPr="008B1824">
              <w:rPr>
                <w:bCs/>
              </w:rPr>
              <w:t xml:space="preserve"> 442</w:t>
            </w:r>
          </w:p>
          <w:p w14:paraId="3F3CC17B" w14:textId="77777777" w:rsidR="008B1824" w:rsidRDefault="008B1824" w:rsidP="008B1824">
            <w:pPr>
              <w:tabs>
                <w:tab w:val="left" w:pos="1701"/>
              </w:tabs>
              <w:rPr>
                <w:bCs/>
              </w:rPr>
            </w:pPr>
          </w:p>
          <w:p w14:paraId="18D77170" w14:textId="77777777" w:rsidR="008B1824" w:rsidRPr="008B1824" w:rsidRDefault="008B1824" w:rsidP="008B1824">
            <w:pPr>
              <w:tabs>
                <w:tab w:val="left" w:pos="1701"/>
              </w:tabs>
              <w:rPr>
                <w:bCs/>
                <w:i/>
                <w:iCs/>
              </w:rPr>
            </w:pPr>
            <w:r w:rsidRPr="008B1824">
              <w:rPr>
                <w:bCs/>
                <w:i/>
                <w:iCs/>
              </w:rPr>
              <w:t>Regeringens förslag till svensk ståndpunkt</w:t>
            </w:r>
          </w:p>
          <w:p w14:paraId="1C27A2CB" w14:textId="56541542" w:rsidR="008B1824" w:rsidRDefault="008B1824" w:rsidP="008B1824">
            <w:pPr>
              <w:tabs>
                <w:tab w:val="left" w:pos="1701"/>
              </w:tabs>
              <w:rPr>
                <w:bCs/>
              </w:rPr>
            </w:pPr>
            <w:r w:rsidRPr="008B1824">
              <w:rPr>
                <w:bCs/>
              </w:rPr>
              <w:t>Regeringen är positiv till kommissionens förslag till rådsrekommendation om förskoleverksamhet och barnomsorg och är positiv till att gemensamma utmaningar och möjligheter lyfts fram på EU-nivå. Regeringen delar kommissionens ambition att skapa en tillgänglig omsorg av god kvalitet till överkomliga avgifter. Det är viktigt att barns bästa beaktas och att rättvisa arbetsvillkor inom förskola och barnomsorg främjas. Regeringen ser positivt på att kommissionen betonar förskoleverksamhetens och barnomsorgens betydelse för jämställdheten i samhället. Regeringen är även positiv till att rekommendationen tar stor hänsyn till de behov av stöd som barn och föräldrar med funktionsnedsättning kan ha.</w:t>
            </w:r>
          </w:p>
          <w:p w14:paraId="379CF5B3" w14:textId="6D47796F" w:rsidR="008B1824" w:rsidRDefault="008B1824" w:rsidP="008B1824">
            <w:pPr>
              <w:tabs>
                <w:tab w:val="left" w:pos="1701"/>
              </w:tabs>
              <w:rPr>
                <w:bCs/>
              </w:rPr>
            </w:pPr>
          </w:p>
          <w:p w14:paraId="2F3DD307" w14:textId="28C5F877" w:rsidR="008B1824" w:rsidRDefault="008B1824" w:rsidP="008B1824">
            <w:pPr>
              <w:tabs>
                <w:tab w:val="left" w:pos="1701"/>
              </w:tabs>
              <w:rPr>
                <w:bCs/>
              </w:rPr>
            </w:pPr>
            <w:r w:rsidRPr="008B1824">
              <w:rPr>
                <w:bCs/>
              </w:rPr>
              <w:t>Det är centralt att fördelningen av befogenheter mellan EU och medlems-staterna avseende bland annat utbildning, arbetsmarknad och lönebildning, inklusive parternas autonomi respekteras.</w:t>
            </w:r>
          </w:p>
          <w:p w14:paraId="4DD9B34A" w14:textId="77777777" w:rsidR="008B1824" w:rsidRPr="008B1824" w:rsidRDefault="008B1824" w:rsidP="008B1824">
            <w:pPr>
              <w:tabs>
                <w:tab w:val="left" w:pos="1701"/>
              </w:tabs>
              <w:rPr>
                <w:bCs/>
              </w:rPr>
            </w:pPr>
          </w:p>
          <w:p w14:paraId="6A0A8744" w14:textId="71D58E6E" w:rsidR="008B1824" w:rsidRDefault="008B1824" w:rsidP="008B1824">
            <w:pPr>
              <w:tabs>
                <w:tab w:val="left" w:pos="1701"/>
              </w:tabs>
              <w:rPr>
                <w:bCs/>
              </w:rPr>
            </w:pPr>
            <w:r w:rsidRPr="008B1824">
              <w:rPr>
                <w:bCs/>
              </w:rPr>
              <w:t>En restriktiv budgethållning är viktig, såväl avseende hur EU-medel används som dess påverkan på medlemsstaternas budget. Det är viktigt att uppföljningen av rekommendationen är proportionerlig i förhållande till syftet och att befintliga strukturer för rapportering så som den europeiska planeringsterminen används i möjligaste mån.</w:t>
            </w:r>
          </w:p>
          <w:p w14:paraId="1B8AB776" w14:textId="77777777" w:rsidR="008B1824" w:rsidRDefault="008B1824" w:rsidP="008B1824">
            <w:pPr>
              <w:tabs>
                <w:tab w:val="left" w:pos="1701"/>
              </w:tabs>
              <w:rPr>
                <w:bCs/>
              </w:rPr>
            </w:pPr>
          </w:p>
          <w:p w14:paraId="33ACDEC5" w14:textId="77777777" w:rsidR="008B1824" w:rsidRPr="008B1824" w:rsidRDefault="008B1824" w:rsidP="008B1824">
            <w:pPr>
              <w:tabs>
                <w:tab w:val="left" w:pos="1701"/>
              </w:tabs>
              <w:rPr>
                <w:bCs/>
                <w:i/>
                <w:iCs/>
              </w:rPr>
            </w:pPr>
            <w:r w:rsidRPr="008B1824">
              <w:rPr>
                <w:bCs/>
                <w:i/>
                <w:iCs/>
              </w:rPr>
              <w:t>Överläggningen</w:t>
            </w:r>
          </w:p>
          <w:p w14:paraId="09EAE830" w14:textId="77777777" w:rsidR="008B1824" w:rsidRDefault="008B1824" w:rsidP="008B1824">
            <w:pPr>
              <w:tabs>
                <w:tab w:val="left" w:pos="1701"/>
              </w:tabs>
              <w:rPr>
                <w:bCs/>
              </w:rPr>
            </w:pPr>
            <w:r w:rsidRPr="00E42144">
              <w:rPr>
                <w:bCs/>
              </w:rPr>
              <w:t>Ordföranden konstaterade att det fanns stöd för regeringens ståndpunkt.</w:t>
            </w:r>
          </w:p>
          <w:p w14:paraId="13DA2AE5" w14:textId="77777777" w:rsidR="008B1824" w:rsidRDefault="008B1824" w:rsidP="008B1824">
            <w:pPr>
              <w:tabs>
                <w:tab w:val="left" w:pos="1701"/>
              </w:tabs>
              <w:rPr>
                <w:bCs/>
              </w:rPr>
            </w:pPr>
          </w:p>
          <w:p w14:paraId="492D3216" w14:textId="33BFF15B" w:rsidR="008B1824" w:rsidRPr="00686DE2" w:rsidRDefault="008B1824" w:rsidP="008B1824">
            <w:pPr>
              <w:widowControl/>
              <w:tabs>
                <w:tab w:val="left" w:pos="284"/>
              </w:tabs>
              <w:rPr>
                <w:bCs/>
              </w:rPr>
            </w:pPr>
            <w:r>
              <w:t>Denna paragraf förklarades omedelbart justerad.</w:t>
            </w:r>
          </w:p>
          <w:p w14:paraId="4898A106" w14:textId="7ABA6E45" w:rsidR="00686DE2" w:rsidRDefault="00686DE2">
            <w:pPr>
              <w:tabs>
                <w:tab w:val="left" w:pos="1701"/>
              </w:tabs>
              <w:rPr>
                <w:b/>
                <w:snapToGrid w:val="0"/>
              </w:rPr>
            </w:pPr>
          </w:p>
        </w:tc>
      </w:tr>
      <w:tr w:rsidR="00686DE2" w14:paraId="5647C118" w14:textId="77777777" w:rsidTr="0001177E">
        <w:tc>
          <w:tcPr>
            <w:tcW w:w="567" w:type="dxa"/>
          </w:tcPr>
          <w:p w14:paraId="6138291B" w14:textId="77777777" w:rsidR="00686DE2" w:rsidRPr="003B4DE8" w:rsidRDefault="00686DE2" w:rsidP="003B4DE8">
            <w:pPr>
              <w:pStyle w:val="Liststycke"/>
              <w:numPr>
                <w:ilvl w:val="0"/>
                <w:numId w:val="2"/>
              </w:numPr>
              <w:tabs>
                <w:tab w:val="left" w:pos="1701"/>
              </w:tabs>
              <w:rPr>
                <w:b/>
                <w:snapToGrid w:val="0"/>
              </w:rPr>
            </w:pPr>
          </w:p>
        </w:tc>
        <w:tc>
          <w:tcPr>
            <w:tcW w:w="6946" w:type="dxa"/>
            <w:gridSpan w:val="2"/>
          </w:tcPr>
          <w:p w14:paraId="03D035BA" w14:textId="77777777" w:rsidR="00686DE2" w:rsidRDefault="00686DE2">
            <w:pPr>
              <w:tabs>
                <w:tab w:val="left" w:pos="1701"/>
              </w:tabs>
              <w:rPr>
                <w:b/>
              </w:rPr>
            </w:pPr>
            <w:r w:rsidRPr="003A5B5A">
              <w:rPr>
                <w:b/>
              </w:rPr>
              <w:t>EU-överläggning om det europeiska utbildningsområdet i tider av ryskt angrepp mot Ukraina</w:t>
            </w:r>
          </w:p>
          <w:p w14:paraId="3F0AA41A" w14:textId="77777777" w:rsidR="00686DE2" w:rsidRDefault="00686DE2">
            <w:pPr>
              <w:tabs>
                <w:tab w:val="left" w:pos="1701"/>
              </w:tabs>
              <w:rPr>
                <w:b/>
              </w:rPr>
            </w:pPr>
          </w:p>
          <w:p w14:paraId="565725E1" w14:textId="55A144AF" w:rsidR="008B1824" w:rsidRDefault="00686DE2" w:rsidP="00686DE2">
            <w:pPr>
              <w:tabs>
                <w:tab w:val="left" w:pos="1701"/>
              </w:tabs>
              <w:rPr>
                <w:bCs/>
              </w:rPr>
            </w:pPr>
            <w:r w:rsidRPr="00686DE2">
              <w:rPr>
                <w:bCs/>
                <w:snapToGrid w:val="0"/>
              </w:rPr>
              <w:t xml:space="preserve">Utskottet överlade med statsrådet Lotta Edholm, biträdd av medarbetare från Utbildningsdepartementet, </w:t>
            </w:r>
            <w:r w:rsidRPr="00686DE2">
              <w:rPr>
                <w:bCs/>
              </w:rPr>
              <w:t>om det europeiska utbildningsområdet i tider av ryskt angrepp mot Ukraina.</w:t>
            </w:r>
          </w:p>
          <w:p w14:paraId="635C31CD" w14:textId="77777777" w:rsidR="008B1824" w:rsidRDefault="008B1824" w:rsidP="008B1824">
            <w:pPr>
              <w:tabs>
                <w:tab w:val="left" w:pos="1701"/>
              </w:tabs>
              <w:rPr>
                <w:bCs/>
              </w:rPr>
            </w:pPr>
          </w:p>
          <w:p w14:paraId="62EF6887" w14:textId="77777777" w:rsidR="008B1824" w:rsidRPr="008B1824" w:rsidRDefault="008B1824" w:rsidP="008B1824">
            <w:pPr>
              <w:tabs>
                <w:tab w:val="left" w:pos="1701"/>
              </w:tabs>
              <w:rPr>
                <w:bCs/>
                <w:i/>
                <w:iCs/>
              </w:rPr>
            </w:pPr>
            <w:r w:rsidRPr="008B1824">
              <w:rPr>
                <w:bCs/>
                <w:i/>
                <w:iCs/>
              </w:rPr>
              <w:lastRenderedPageBreak/>
              <w:t>Underlag för överläggningen</w:t>
            </w:r>
          </w:p>
          <w:p w14:paraId="2FD7E2F2" w14:textId="77777777" w:rsidR="008B1824" w:rsidRPr="008B1824" w:rsidRDefault="008B1824" w:rsidP="008B1824">
            <w:pPr>
              <w:tabs>
                <w:tab w:val="left" w:pos="1701"/>
              </w:tabs>
              <w:rPr>
                <w:bCs/>
              </w:rPr>
            </w:pPr>
            <w:r w:rsidRPr="008B1824">
              <w:rPr>
                <w:bCs/>
              </w:rPr>
              <w:t xml:space="preserve">Promemoria från Utbildningsdepartementet (dnr </w:t>
            </w:r>
            <w:proofErr w:type="gramStart"/>
            <w:r w:rsidRPr="008B1824">
              <w:rPr>
                <w:bCs/>
              </w:rPr>
              <w:t>840-2022</w:t>
            </w:r>
            <w:proofErr w:type="gramEnd"/>
            <w:r w:rsidRPr="008B1824">
              <w:rPr>
                <w:bCs/>
              </w:rPr>
              <w:t>/23)</w:t>
            </w:r>
          </w:p>
          <w:p w14:paraId="65A9533C" w14:textId="26D4C278" w:rsidR="008B1824" w:rsidRDefault="008B1824" w:rsidP="008B1824">
            <w:pPr>
              <w:tabs>
                <w:tab w:val="left" w:pos="1701"/>
              </w:tabs>
              <w:rPr>
                <w:bCs/>
              </w:rPr>
            </w:pPr>
            <w:r w:rsidRPr="008B1824">
              <w:rPr>
                <w:bCs/>
              </w:rPr>
              <w:t xml:space="preserve">Rådsdokument ST </w:t>
            </w:r>
            <w:proofErr w:type="gramStart"/>
            <w:r w:rsidRPr="008B1824">
              <w:rPr>
                <w:bCs/>
              </w:rPr>
              <w:t>13903</w:t>
            </w:r>
            <w:proofErr w:type="gramEnd"/>
            <w:r w:rsidRPr="008B1824">
              <w:rPr>
                <w:bCs/>
              </w:rPr>
              <w:t xml:space="preserve">/22 </w:t>
            </w:r>
          </w:p>
          <w:p w14:paraId="2BEB211B" w14:textId="77777777" w:rsidR="008B1824" w:rsidRDefault="008B1824" w:rsidP="008B1824">
            <w:pPr>
              <w:tabs>
                <w:tab w:val="left" w:pos="1701"/>
              </w:tabs>
              <w:rPr>
                <w:bCs/>
              </w:rPr>
            </w:pPr>
          </w:p>
          <w:p w14:paraId="7661C965" w14:textId="77777777" w:rsidR="008B1824" w:rsidRPr="008B1824" w:rsidRDefault="008B1824" w:rsidP="008B1824">
            <w:pPr>
              <w:tabs>
                <w:tab w:val="left" w:pos="1701"/>
              </w:tabs>
              <w:rPr>
                <w:bCs/>
                <w:i/>
                <w:iCs/>
              </w:rPr>
            </w:pPr>
            <w:r w:rsidRPr="008B1824">
              <w:rPr>
                <w:bCs/>
                <w:i/>
                <w:iCs/>
              </w:rPr>
              <w:t>Regeringens förslag till svensk ståndpunkt</w:t>
            </w:r>
          </w:p>
          <w:p w14:paraId="21C92D43" w14:textId="77777777" w:rsidR="008B1824" w:rsidRPr="008B1824" w:rsidRDefault="008B1824" w:rsidP="008B1824">
            <w:pPr>
              <w:tabs>
                <w:tab w:val="left" w:pos="1701"/>
              </w:tabs>
              <w:rPr>
                <w:bCs/>
              </w:rPr>
            </w:pPr>
            <w:r w:rsidRPr="008B1824">
              <w:rPr>
                <w:bCs/>
              </w:rPr>
              <w:t xml:space="preserve">Regeringen stödjer att kommissionen tar initiativ på utbildningsområdet för att ge stöd åt behövande som flyr det ryska anfallskriget mot Ukraina. Regeringen stödjer också EU-samarbete som stärker krishanteringsarbete genom att medlemsstaterna kan dra nytta av varandras arbete genom utbyte av erfarenheter och bästa praxis. </w:t>
            </w:r>
          </w:p>
          <w:p w14:paraId="3DDA2C05" w14:textId="77777777" w:rsidR="008B1824" w:rsidRPr="008B1824" w:rsidRDefault="008B1824" w:rsidP="008B1824">
            <w:pPr>
              <w:tabs>
                <w:tab w:val="left" w:pos="1701"/>
              </w:tabs>
              <w:rPr>
                <w:bCs/>
              </w:rPr>
            </w:pPr>
          </w:p>
          <w:p w14:paraId="75D79CFF" w14:textId="77777777" w:rsidR="008B1824" w:rsidRPr="008B1824" w:rsidRDefault="008B1824" w:rsidP="008B1824">
            <w:pPr>
              <w:tabs>
                <w:tab w:val="left" w:pos="1701"/>
              </w:tabs>
              <w:rPr>
                <w:bCs/>
              </w:rPr>
            </w:pPr>
            <w:r w:rsidRPr="008B1824">
              <w:rPr>
                <w:bCs/>
              </w:rPr>
              <w:t xml:space="preserve">Fortsatt samarbete inom ramen för och utveckling av EEA är värdefullt för att upprätthålla alla barns rätt till utbildning och för att säkerställa rätten till utbildning för barn som flyr krig och katastrofer. Fördjupade internationella samarbeten är viktigt för att stärka kvaliteten i utbildningen och för att bygga förtroende för varandras utbildningssystem. Samarbeten och förtroende mellan länder och utbildningssystem borgar för ett motståndskraftigt och starkt Europa där utbildnings- och vetenskapsdiplomati är av central betydelse. </w:t>
            </w:r>
          </w:p>
          <w:p w14:paraId="6BAED307" w14:textId="77777777" w:rsidR="008B1824" w:rsidRPr="008B1824" w:rsidRDefault="008B1824" w:rsidP="008B1824">
            <w:pPr>
              <w:tabs>
                <w:tab w:val="left" w:pos="1701"/>
              </w:tabs>
              <w:rPr>
                <w:bCs/>
              </w:rPr>
            </w:pPr>
          </w:p>
          <w:p w14:paraId="2CE29F11" w14:textId="77777777" w:rsidR="008B1824" w:rsidRPr="008B1824" w:rsidRDefault="008B1824" w:rsidP="008B1824">
            <w:pPr>
              <w:tabs>
                <w:tab w:val="left" w:pos="1701"/>
              </w:tabs>
              <w:rPr>
                <w:bCs/>
              </w:rPr>
            </w:pPr>
            <w:r w:rsidRPr="008B1824">
              <w:rPr>
                <w:bCs/>
              </w:rPr>
              <w:t xml:space="preserve">Det är viktigt att betona värdet av tillgång till inkluderande och jämlik utbildning av hög kvalitet inom EEA. Regeringen menar att kvaliteten ska sättas först och det är av högsta vikt att barn och unga som flyr Ukraina får tillgång till utbildning av hög kvalitet. Regeringen menar också att de studiesociala frågorna måste prioriteras. De som flyr undan det ryska anfallskriget mot Ukraina behöver komma till trygga sammanhang där de kan få det stöd de behöver för att klara av sin utbildning. Trygghet och </w:t>
            </w:r>
            <w:proofErr w:type="spellStart"/>
            <w:r w:rsidRPr="008B1824">
              <w:rPr>
                <w:bCs/>
              </w:rPr>
              <w:t>studiero</w:t>
            </w:r>
            <w:proofErr w:type="spellEnd"/>
            <w:r w:rsidRPr="008B1824">
              <w:rPr>
                <w:bCs/>
              </w:rPr>
              <w:t xml:space="preserve"> är grunden till utbildning av hög kvalitet och skolan ska vara en inkluderande plats för alla barn, elever och studenter. </w:t>
            </w:r>
          </w:p>
          <w:p w14:paraId="0CFD1BD5" w14:textId="77777777" w:rsidR="008B1824" w:rsidRPr="008B1824" w:rsidRDefault="008B1824" w:rsidP="008B1824">
            <w:pPr>
              <w:tabs>
                <w:tab w:val="left" w:pos="1701"/>
              </w:tabs>
              <w:rPr>
                <w:bCs/>
              </w:rPr>
            </w:pPr>
          </w:p>
          <w:p w14:paraId="3A2CAA22" w14:textId="6C43DE2C" w:rsidR="008B1824" w:rsidRDefault="008B1824" w:rsidP="008B1824">
            <w:pPr>
              <w:tabs>
                <w:tab w:val="left" w:pos="1701"/>
              </w:tabs>
              <w:rPr>
                <w:bCs/>
              </w:rPr>
            </w:pPr>
            <w:r w:rsidRPr="008B1824">
              <w:rPr>
                <w:bCs/>
              </w:rPr>
              <w:t>Regeringen strävar efter att EU-enighet ska upprätthållas. I den mån det är aktuellt på utbildningsområdet och med hänsyn till de nationella förutsättningarna verkar Sverige för ett gemensamt, effektivt och tydligt agerande från EU:s sida.</w:t>
            </w:r>
          </w:p>
          <w:p w14:paraId="5E87A461" w14:textId="77777777" w:rsidR="008B1824" w:rsidRDefault="008B1824" w:rsidP="008B1824">
            <w:pPr>
              <w:tabs>
                <w:tab w:val="left" w:pos="1701"/>
              </w:tabs>
              <w:rPr>
                <w:bCs/>
              </w:rPr>
            </w:pPr>
          </w:p>
          <w:p w14:paraId="14BA08C3" w14:textId="77777777" w:rsidR="008B1824" w:rsidRPr="008B1824" w:rsidRDefault="008B1824" w:rsidP="008B1824">
            <w:pPr>
              <w:tabs>
                <w:tab w:val="left" w:pos="1701"/>
              </w:tabs>
              <w:rPr>
                <w:bCs/>
                <w:i/>
                <w:iCs/>
              </w:rPr>
            </w:pPr>
            <w:r w:rsidRPr="008B1824">
              <w:rPr>
                <w:bCs/>
                <w:i/>
                <w:iCs/>
              </w:rPr>
              <w:t>Överläggningen</w:t>
            </w:r>
          </w:p>
          <w:p w14:paraId="3FEEED6B" w14:textId="77777777" w:rsidR="008B1824" w:rsidRPr="00712451" w:rsidRDefault="008B1824" w:rsidP="008B1824">
            <w:pPr>
              <w:tabs>
                <w:tab w:val="left" w:pos="1701"/>
              </w:tabs>
              <w:rPr>
                <w:bCs/>
              </w:rPr>
            </w:pPr>
            <w:r w:rsidRPr="00712451">
              <w:rPr>
                <w:bCs/>
              </w:rPr>
              <w:t>Ordföranden konstaterade att det fanns stöd för regeringens ståndpunkt.</w:t>
            </w:r>
          </w:p>
          <w:p w14:paraId="4C16EDC6" w14:textId="77777777" w:rsidR="008B1824" w:rsidRPr="00712451" w:rsidRDefault="008B1824" w:rsidP="008B1824">
            <w:pPr>
              <w:tabs>
                <w:tab w:val="left" w:pos="1701"/>
              </w:tabs>
              <w:rPr>
                <w:bCs/>
              </w:rPr>
            </w:pPr>
          </w:p>
          <w:p w14:paraId="26AC9ED8" w14:textId="7E16F264" w:rsidR="008B1824" w:rsidRDefault="008B1824" w:rsidP="008B1824">
            <w:pPr>
              <w:tabs>
                <w:tab w:val="left" w:pos="1701"/>
              </w:tabs>
              <w:rPr>
                <w:bCs/>
              </w:rPr>
            </w:pPr>
            <w:r w:rsidRPr="00712451">
              <w:rPr>
                <w:bCs/>
              </w:rPr>
              <w:t>Ledam</w:t>
            </w:r>
            <w:r w:rsidR="00E42144">
              <w:rPr>
                <w:bCs/>
              </w:rPr>
              <w:t xml:space="preserve">öterna från Socialdemokraterna, Vänsterpartiet och Miljöpartiet lämnade </w:t>
            </w:r>
            <w:r w:rsidRPr="00712451">
              <w:rPr>
                <w:bCs/>
              </w:rPr>
              <w:t xml:space="preserve">en avvikande ståndpunkt om </w:t>
            </w:r>
            <w:r w:rsidR="00E42144">
              <w:rPr>
                <w:bCs/>
              </w:rPr>
              <w:t>ett tillägg i</w:t>
            </w:r>
            <w:r w:rsidRPr="00712451">
              <w:rPr>
                <w:bCs/>
              </w:rPr>
              <w:t xml:space="preserve"> regeringens ståndpunkt </w:t>
            </w:r>
            <w:r w:rsidR="00E42144">
              <w:rPr>
                <w:bCs/>
              </w:rPr>
              <w:t>enligt följande.</w:t>
            </w:r>
          </w:p>
          <w:p w14:paraId="0BB7C89A" w14:textId="24976E13" w:rsidR="00E42144" w:rsidRDefault="00E42144" w:rsidP="008B1824">
            <w:pPr>
              <w:tabs>
                <w:tab w:val="left" w:pos="1701"/>
              </w:tabs>
              <w:rPr>
                <w:bCs/>
              </w:rPr>
            </w:pPr>
          </w:p>
          <w:p w14:paraId="0F418DA7" w14:textId="66D2F0C8" w:rsidR="008B1824" w:rsidRDefault="00F3624B" w:rsidP="008B1824">
            <w:pPr>
              <w:widowControl/>
              <w:tabs>
                <w:tab w:val="left" w:pos="284"/>
              </w:tabs>
            </w:pPr>
            <w:r>
              <w:t>”</w:t>
            </w:r>
            <w:r w:rsidR="00A75335">
              <w:t xml:space="preserve">Det är </w:t>
            </w:r>
            <w:r w:rsidR="00E42144">
              <w:t>viktigt med stöd till folkbildningsinsatser bl.a. för att flyktingar från Ukraina ska få lära sig språket i vistelselandet.</w:t>
            </w:r>
            <w:r>
              <w:t>”</w:t>
            </w:r>
            <w:r w:rsidR="00E42144">
              <w:br/>
            </w:r>
          </w:p>
          <w:p w14:paraId="2216E502" w14:textId="6A7AE753" w:rsidR="008B1824" w:rsidRDefault="008B1824" w:rsidP="008B1824">
            <w:pPr>
              <w:widowControl/>
              <w:tabs>
                <w:tab w:val="left" w:pos="284"/>
              </w:tabs>
            </w:pPr>
            <w:r>
              <w:t>Denna paragraf förklarades omedelbart justerad.</w:t>
            </w:r>
          </w:p>
          <w:p w14:paraId="55865CD3" w14:textId="77777777" w:rsidR="00686DE2" w:rsidRDefault="00686DE2">
            <w:pPr>
              <w:tabs>
                <w:tab w:val="left" w:pos="1701"/>
              </w:tabs>
              <w:rPr>
                <w:b/>
                <w:snapToGrid w:val="0"/>
              </w:rPr>
            </w:pPr>
          </w:p>
          <w:p w14:paraId="428DD596" w14:textId="65003F39" w:rsidR="00F3624B" w:rsidRDefault="00F3624B">
            <w:pPr>
              <w:tabs>
                <w:tab w:val="left" w:pos="1701"/>
              </w:tabs>
              <w:rPr>
                <w:b/>
                <w:snapToGrid w:val="0"/>
              </w:rPr>
            </w:pPr>
          </w:p>
        </w:tc>
      </w:tr>
      <w:tr w:rsidR="00686DE2" w14:paraId="2C06DBAF" w14:textId="77777777" w:rsidTr="0001177E">
        <w:tc>
          <w:tcPr>
            <w:tcW w:w="567" w:type="dxa"/>
          </w:tcPr>
          <w:p w14:paraId="44AD3D59" w14:textId="77777777" w:rsidR="00686DE2" w:rsidRPr="003B4DE8" w:rsidRDefault="00686DE2" w:rsidP="003B4DE8">
            <w:pPr>
              <w:pStyle w:val="Liststycke"/>
              <w:numPr>
                <w:ilvl w:val="0"/>
                <w:numId w:val="2"/>
              </w:numPr>
              <w:tabs>
                <w:tab w:val="left" w:pos="1701"/>
              </w:tabs>
              <w:rPr>
                <w:b/>
                <w:snapToGrid w:val="0"/>
              </w:rPr>
            </w:pPr>
          </w:p>
        </w:tc>
        <w:tc>
          <w:tcPr>
            <w:tcW w:w="6946" w:type="dxa"/>
            <w:gridSpan w:val="2"/>
          </w:tcPr>
          <w:p w14:paraId="2A16CF86" w14:textId="3CF6B373" w:rsidR="00686DE2" w:rsidRDefault="00686DE2">
            <w:pPr>
              <w:tabs>
                <w:tab w:val="left" w:pos="1701"/>
              </w:tabs>
              <w:rPr>
                <w:b/>
              </w:rPr>
            </w:pPr>
            <w:r w:rsidRPr="00794B34">
              <w:rPr>
                <w:b/>
              </w:rPr>
              <w:t>EU-information om</w:t>
            </w:r>
            <w:r>
              <w:rPr>
                <w:b/>
              </w:rPr>
              <w:t xml:space="preserve"> kommande</w:t>
            </w:r>
            <w:r w:rsidRPr="00794B34">
              <w:rPr>
                <w:b/>
              </w:rPr>
              <w:t xml:space="preserve"> lunchdiskussion </w:t>
            </w:r>
            <w:r>
              <w:rPr>
                <w:b/>
              </w:rPr>
              <w:t>i</w:t>
            </w:r>
            <w:r w:rsidRPr="00794B34">
              <w:rPr>
                <w:b/>
              </w:rPr>
              <w:t xml:space="preserve"> </w:t>
            </w:r>
            <w:r>
              <w:rPr>
                <w:b/>
              </w:rPr>
              <w:t>rådet för Utbildning, ungdom, kultur och idrott (</w:t>
            </w:r>
            <w:r w:rsidRPr="00794B34">
              <w:rPr>
                <w:b/>
              </w:rPr>
              <w:t>UUKI</w:t>
            </w:r>
            <w:r>
              <w:rPr>
                <w:b/>
              </w:rPr>
              <w:t>)</w:t>
            </w:r>
          </w:p>
          <w:p w14:paraId="2BE4CB79" w14:textId="77777777" w:rsidR="00686DE2" w:rsidRDefault="00686DE2">
            <w:pPr>
              <w:tabs>
                <w:tab w:val="left" w:pos="1701"/>
              </w:tabs>
              <w:rPr>
                <w:b/>
              </w:rPr>
            </w:pPr>
          </w:p>
          <w:p w14:paraId="604E4C1B" w14:textId="3A2C01B7" w:rsidR="00686DE2" w:rsidRPr="00686DE2" w:rsidRDefault="00686DE2">
            <w:pPr>
              <w:tabs>
                <w:tab w:val="left" w:pos="1701"/>
              </w:tabs>
              <w:rPr>
                <w:bCs/>
              </w:rPr>
            </w:pPr>
            <w:r w:rsidRPr="00686DE2">
              <w:rPr>
                <w:bCs/>
              </w:rPr>
              <w:t xml:space="preserve">Statsrådet Lotta Edholm, biträdd av medarbetare från Utbildningsdepartementet, informerade om en </w:t>
            </w:r>
            <w:r>
              <w:rPr>
                <w:bCs/>
              </w:rPr>
              <w:t xml:space="preserve">planerad </w:t>
            </w:r>
            <w:r w:rsidRPr="00686DE2">
              <w:rPr>
                <w:bCs/>
              </w:rPr>
              <w:t>lunchdiskussion i rådet för UUKI</w:t>
            </w:r>
            <w:r>
              <w:rPr>
                <w:bCs/>
              </w:rPr>
              <w:t xml:space="preserve"> den 28</w:t>
            </w:r>
            <w:r w:rsidR="00D61E2A">
              <w:rPr>
                <w:bCs/>
              </w:rPr>
              <w:t xml:space="preserve"> </w:t>
            </w:r>
            <w:r>
              <w:rPr>
                <w:bCs/>
              </w:rPr>
              <w:t>november 2022</w:t>
            </w:r>
            <w:r w:rsidRPr="00686DE2">
              <w:rPr>
                <w:bCs/>
              </w:rPr>
              <w:t>.</w:t>
            </w:r>
          </w:p>
          <w:p w14:paraId="45175AE5" w14:textId="2CE174E5" w:rsidR="00686DE2" w:rsidRDefault="00686DE2">
            <w:pPr>
              <w:tabs>
                <w:tab w:val="left" w:pos="1701"/>
              </w:tabs>
              <w:rPr>
                <w:b/>
                <w:snapToGrid w:val="0"/>
              </w:rPr>
            </w:pPr>
          </w:p>
        </w:tc>
      </w:tr>
      <w:tr w:rsidR="00686DE2" w14:paraId="7FE44D38" w14:textId="77777777" w:rsidTr="0001177E">
        <w:tc>
          <w:tcPr>
            <w:tcW w:w="567" w:type="dxa"/>
          </w:tcPr>
          <w:p w14:paraId="771538BB" w14:textId="77777777" w:rsidR="00686DE2" w:rsidRPr="003B4DE8" w:rsidRDefault="00686DE2" w:rsidP="003B4DE8">
            <w:pPr>
              <w:pStyle w:val="Liststycke"/>
              <w:numPr>
                <w:ilvl w:val="0"/>
                <w:numId w:val="2"/>
              </w:numPr>
              <w:tabs>
                <w:tab w:val="left" w:pos="1701"/>
              </w:tabs>
              <w:rPr>
                <w:b/>
                <w:snapToGrid w:val="0"/>
              </w:rPr>
            </w:pPr>
          </w:p>
        </w:tc>
        <w:tc>
          <w:tcPr>
            <w:tcW w:w="6946" w:type="dxa"/>
            <w:gridSpan w:val="2"/>
          </w:tcPr>
          <w:p w14:paraId="43C31C08" w14:textId="272E1CFA" w:rsidR="00686DE2" w:rsidRDefault="00686DE2">
            <w:pPr>
              <w:tabs>
                <w:tab w:val="left" w:pos="1701"/>
              </w:tabs>
              <w:rPr>
                <w:b/>
              </w:rPr>
            </w:pPr>
            <w:r>
              <w:rPr>
                <w:b/>
              </w:rPr>
              <w:t xml:space="preserve">EU-information om övriga punkter på </w:t>
            </w:r>
            <w:r w:rsidRPr="00794B34">
              <w:rPr>
                <w:b/>
              </w:rPr>
              <w:t>UUKI</w:t>
            </w:r>
          </w:p>
          <w:p w14:paraId="2F1A6AAE" w14:textId="237B501B" w:rsidR="00686DE2" w:rsidRDefault="00686DE2">
            <w:pPr>
              <w:tabs>
                <w:tab w:val="left" w:pos="1701"/>
              </w:tabs>
              <w:rPr>
                <w:b/>
              </w:rPr>
            </w:pPr>
          </w:p>
          <w:p w14:paraId="4CBCECCE" w14:textId="4DAA03B9" w:rsidR="00686DE2" w:rsidRDefault="00686DE2">
            <w:pPr>
              <w:tabs>
                <w:tab w:val="left" w:pos="1701"/>
              </w:tabs>
              <w:rPr>
                <w:b/>
              </w:rPr>
            </w:pPr>
            <w:r w:rsidRPr="00686DE2">
              <w:rPr>
                <w:bCs/>
              </w:rPr>
              <w:t xml:space="preserve">Statsrådet Lotta Edholm, biträdd av medarbetare från Utbildningsdepartementet, informerade om </w:t>
            </w:r>
            <w:r>
              <w:rPr>
                <w:bCs/>
              </w:rPr>
              <w:t xml:space="preserve">övriga punkter inom utbildningsområdet som planeras att tas upp </w:t>
            </w:r>
            <w:r w:rsidRPr="00686DE2">
              <w:rPr>
                <w:bCs/>
              </w:rPr>
              <w:t>i rådet för UUKI</w:t>
            </w:r>
            <w:r>
              <w:rPr>
                <w:bCs/>
              </w:rPr>
              <w:t xml:space="preserve"> den 28</w:t>
            </w:r>
            <w:r w:rsidR="00D61E2A">
              <w:rPr>
                <w:bCs/>
              </w:rPr>
              <w:t xml:space="preserve"> </w:t>
            </w:r>
            <w:r>
              <w:rPr>
                <w:bCs/>
              </w:rPr>
              <w:t>november 2022</w:t>
            </w:r>
            <w:r w:rsidRPr="00686DE2">
              <w:rPr>
                <w:bCs/>
              </w:rPr>
              <w:t>.</w:t>
            </w:r>
          </w:p>
          <w:p w14:paraId="042E50F4" w14:textId="2F434BE3" w:rsidR="00686DE2" w:rsidRDefault="00686DE2">
            <w:pPr>
              <w:tabs>
                <w:tab w:val="left" w:pos="1701"/>
              </w:tabs>
              <w:rPr>
                <w:b/>
                <w:snapToGrid w:val="0"/>
              </w:rPr>
            </w:pPr>
          </w:p>
        </w:tc>
      </w:tr>
      <w:tr w:rsidR="00686DE2" w14:paraId="60830511" w14:textId="77777777" w:rsidTr="0001177E">
        <w:tc>
          <w:tcPr>
            <w:tcW w:w="567" w:type="dxa"/>
          </w:tcPr>
          <w:p w14:paraId="09036DCE" w14:textId="77777777" w:rsidR="00686DE2" w:rsidRPr="003B4DE8" w:rsidRDefault="00686DE2" w:rsidP="003B4DE8">
            <w:pPr>
              <w:pStyle w:val="Liststycke"/>
              <w:numPr>
                <w:ilvl w:val="0"/>
                <w:numId w:val="2"/>
              </w:numPr>
              <w:tabs>
                <w:tab w:val="left" w:pos="1701"/>
              </w:tabs>
              <w:rPr>
                <w:b/>
                <w:snapToGrid w:val="0"/>
              </w:rPr>
            </w:pPr>
          </w:p>
        </w:tc>
        <w:tc>
          <w:tcPr>
            <w:tcW w:w="6946" w:type="dxa"/>
            <w:gridSpan w:val="2"/>
          </w:tcPr>
          <w:p w14:paraId="688ACACA" w14:textId="2722E374" w:rsidR="00686DE2" w:rsidRDefault="00686DE2">
            <w:pPr>
              <w:tabs>
                <w:tab w:val="left" w:pos="1701"/>
              </w:tabs>
              <w:rPr>
                <w:b/>
              </w:rPr>
            </w:pPr>
            <w:r w:rsidRPr="00794B34">
              <w:rPr>
                <w:b/>
              </w:rPr>
              <w:t>Information om det svenska ordförandeskapets prioriteringar på utbildningsområdet</w:t>
            </w:r>
          </w:p>
          <w:p w14:paraId="007C940A" w14:textId="4647EE44" w:rsidR="00686DE2" w:rsidRDefault="00686DE2">
            <w:pPr>
              <w:tabs>
                <w:tab w:val="left" w:pos="1701"/>
              </w:tabs>
              <w:rPr>
                <w:b/>
              </w:rPr>
            </w:pPr>
          </w:p>
          <w:p w14:paraId="508C8E1B" w14:textId="605CE4F8" w:rsidR="00686DE2" w:rsidRDefault="00686DE2">
            <w:pPr>
              <w:tabs>
                <w:tab w:val="left" w:pos="1701"/>
              </w:tabs>
              <w:rPr>
                <w:b/>
              </w:rPr>
            </w:pPr>
            <w:r w:rsidRPr="00686DE2">
              <w:rPr>
                <w:bCs/>
              </w:rPr>
              <w:t>Statsrådet Lotta Edholm, biträdd av medarbetare från Utbildningsdepartementet, informerade om</w:t>
            </w:r>
            <w:r>
              <w:rPr>
                <w:bCs/>
              </w:rPr>
              <w:t xml:space="preserve"> det svenska ordförandeskapets prioriteringar på utbildningsområdet.</w:t>
            </w:r>
          </w:p>
          <w:p w14:paraId="63983054" w14:textId="31496A96" w:rsidR="00686DE2" w:rsidRDefault="00686DE2">
            <w:pPr>
              <w:tabs>
                <w:tab w:val="left" w:pos="1701"/>
              </w:tabs>
              <w:rPr>
                <w:b/>
                <w:snapToGrid w:val="0"/>
              </w:rPr>
            </w:pPr>
          </w:p>
        </w:tc>
      </w:tr>
      <w:tr w:rsidR="00447E69" w14:paraId="6840EE88" w14:textId="77777777" w:rsidTr="0001177E">
        <w:tc>
          <w:tcPr>
            <w:tcW w:w="567" w:type="dxa"/>
          </w:tcPr>
          <w:p w14:paraId="69E580D2" w14:textId="77777777" w:rsidR="00447E69" w:rsidRPr="003B4DE8" w:rsidRDefault="00447E69" w:rsidP="003B4DE8">
            <w:pPr>
              <w:pStyle w:val="Liststycke"/>
              <w:numPr>
                <w:ilvl w:val="0"/>
                <w:numId w:val="2"/>
              </w:numPr>
              <w:tabs>
                <w:tab w:val="left" w:pos="1701"/>
              </w:tabs>
              <w:rPr>
                <w:b/>
                <w:snapToGrid w:val="0"/>
              </w:rPr>
            </w:pPr>
          </w:p>
        </w:tc>
        <w:tc>
          <w:tcPr>
            <w:tcW w:w="6946" w:type="dxa"/>
            <w:gridSpan w:val="2"/>
          </w:tcPr>
          <w:p w14:paraId="248BDFEB" w14:textId="77777777" w:rsidR="00447E69" w:rsidRDefault="00F23954">
            <w:pPr>
              <w:tabs>
                <w:tab w:val="left" w:pos="1701"/>
              </w:tabs>
              <w:rPr>
                <w:b/>
                <w:snapToGrid w:val="0"/>
              </w:rPr>
            </w:pPr>
            <w:r>
              <w:rPr>
                <w:b/>
                <w:snapToGrid w:val="0"/>
              </w:rPr>
              <w:t>Justering av p</w:t>
            </w:r>
            <w:r w:rsidR="00447E69">
              <w:rPr>
                <w:b/>
                <w:snapToGrid w:val="0"/>
              </w:rPr>
              <w:t>rotokoll</w:t>
            </w:r>
          </w:p>
          <w:p w14:paraId="2519F5DE" w14:textId="77777777" w:rsidR="00447E69" w:rsidRDefault="00447E69">
            <w:pPr>
              <w:tabs>
                <w:tab w:val="left" w:pos="1701"/>
              </w:tabs>
              <w:rPr>
                <w:snapToGrid w:val="0"/>
              </w:rPr>
            </w:pPr>
          </w:p>
          <w:p w14:paraId="6FFA01AA" w14:textId="194D6365" w:rsidR="00447E69" w:rsidRDefault="00F23954">
            <w:pPr>
              <w:tabs>
                <w:tab w:val="left" w:pos="1701"/>
              </w:tabs>
              <w:rPr>
                <w:snapToGrid w:val="0"/>
              </w:rPr>
            </w:pPr>
            <w:r>
              <w:rPr>
                <w:snapToGrid w:val="0"/>
              </w:rPr>
              <w:t>Utskottet justerade p</w:t>
            </w:r>
            <w:r w:rsidR="00E04650">
              <w:rPr>
                <w:snapToGrid w:val="0"/>
              </w:rPr>
              <w:t>rotokoll 20</w:t>
            </w:r>
            <w:r w:rsidR="002A3434">
              <w:rPr>
                <w:snapToGrid w:val="0"/>
              </w:rPr>
              <w:t>2</w:t>
            </w:r>
            <w:r w:rsidR="00050807">
              <w:rPr>
                <w:snapToGrid w:val="0"/>
              </w:rPr>
              <w:t>2</w:t>
            </w:r>
            <w:r w:rsidR="00267FC1">
              <w:rPr>
                <w:snapToGrid w:val="0"/>
              </w:rPr>
              <w:t>/</w:t>
            </w:r>
            <w:r w:rsidR="00E362AB">
              <w:rPr>
                <w:snapToGrid w:val="0"/>
              </w:rPr>
              <w:t>2</w:t>
            </w:r>
            <w:r w:rsidR="00050807">
              <w:rPr>
                <w:snapToGrid w:val="0"/>
              </w:rPr>
              <w:t>3</w:t>
            </w:r>
            <w:r w:rsidR="00A2367D">
              <w:rPr>
                <w:snapToGrid w:val="0"/>
              </w:rPr>
              <w:t>:</w:t>
            </w:r>
            <w:r w:rsidR="00686DE2">
              <w:rPr>
                <w:snapToGrid w:val="0"/>
              </w:rPr>
              <w:t>8</w:t>
            </w:r>
            <w:r w:rsidR="00447E69">
              <w:rPr>
                <w:snapToGrid w:val="0"/>
              </w:rPr>
              <w:t>.</w:t>
            </w:r>
          </w:p>
          <w:p w14:paraId="651EC38D" w14:textId="77777777" w:rsidR="00447E69" w:rsidRDefault="00447E69">
            <w:pPr>
              <w:tabs>
                <w:tab w:val="left" w:pos="1701"/>
              </w:tabs>
              <w:rPr>
                <w:snapToGrid w:val="0"/>
              </w:rPr>
            </w:pPr>
          </w:p>
        </w:tc>
      </w:tr>
      <w:tr w:rsidR="003B4DE8" w14:paraId="56B191A2" w14:textId="77777777" w:rsidTr="0001177E">
        <w:tc>
          <w:tcPr>
            <w:tcW w:w="567" w:type="dxa"/>
          </w:tcPr>
          <w:p w14:paraId="6B5EC73D" w14:textId="77777777" w:rsidR="003B4DE8" w:rsidRPr="003B4DE8" w:rsidRDefault="003B4DE8" w:rsidP="003B4DE8">
            <w:pPr>
              <w:pStyle w:val="Liststycke"/>
              <w:numPr>
                <w:ilvl w:val="0"/>
                <w:numId w:val="2"/>
              </w:numPr>
              <w:tabs>
                <w:tab w:val="left" w:pos="1701"/>
              </w:tabs>
              <w:rPr>
                <w:b/>
                <w:snapToGrid w:val="0"/>
              </w:rPr>
            </w:pPr>
          </w:p>
        </w:tc>
        <w:tc>
          <w:tcPr>
            <w:tcW w:w="6946" w:type="dxa"/>
            <w:gridSpan w:val="2"/>
          </w:tcPr>
          <w:p w14:paraId="2E0E4F72" w14:textId="77777777" w:rsidR="003B4DE8" w:rsidRDefault="003B4DE8" w:rsidP="003B4DE8">
            <w:pPr>
              <w:tabs>
                <w:tab w:val="left" w:pos="1701"/>
              </w:tabs>
              <w:rPr>
                <w:b/>
                <w:snapToGrid w:val="0"/>
              </w:rPr>
            </w:pPr>
            <w:r w:rsidRPr="00CD461C">
              <w:rPr>
                <w:b/>
                <w:snapToGrid w:val="0"/>
              </w:rPr>
              <w:t>Inkomna EU-dokument</w:t>
            </w:r>
          </w:p>
          <w:p w14:paraId="760A8B9F" w14:textId="77777777" w:rsidR="003B4DE8" w:rsidRDefault="003B4DE8" w:rsidP="003B4DE8">
            <w:pPr>
              <w:tabs>
                <w:tab w:val="left" w:pos="1701"/>
              </w:tabs>
              <w:rPr>
                <w:b/>
                <w:snapToGrid w:val="0"/>
              </w:rPr>
            </w:pPr>
          </w:p>
          <w:p w14:paraId="0D9B5058" w14:textId="002C151B" w:rsidR="003B4DE8" w:rsidRDefault="00B432F2" w:rsidP="003B4DE8">
            <w:pPr>
              <w:tabs>
                <w:tab w:val="left" w:pos="1701"/>
              </w:tabs>
              <w:rPr>
                <w:snapToGrid w:val="0"/>
              </w:rPr>
            </w:pPr>
            <w:r>
              <w:rPr>
                <w:snapToGrid w:val="0"/>
              </w:rPr>
              <w:t>I</w:t>
            </w:r>
            <w:r w:rsidR="003B4DE8">
              <w:rPr>
                <w:snapToGrid w:val="0"/>
              </w:rPr>
              <w:t>nkomna EU-dokument</w:t>
            </w:r>
            <w:r w:rsidR="007765ED">
              <w:rPr>
                <w:snapToGrid w:val="0"/>
              </w:rPr>
              <w:t xml:space="preserve"> anmäldes enligt</w:t>
            </w:r>
            <w:r w:rsidR="003B4DE8">
              <w:rPr>
                <w:snapToGrid w:val="0"/>
              </w:rPr>
              <w:t xml:space="preserve"> bilaga </w:t>
            </w:r>
            <w:r w:rsidR="00686DE2">
              <w:rPr>
                <w:snapToGrid w:val="0"/>
              </w:rPr>
              <w:t>2</w:t>
            </w:r>
          </w:p>
          <w:p w14:paraId="1A6603EE" w14:textId="77777777" w:rsidR="003B4DE8" w:rsidRDefault="003B4DE8" w:rsidP="003B4DE8">
            <w:pPr>
              <w:tabs>
                <w:tab w:val="left" w:pos="1701"/>
              </w:tabs>
              <w:rPr>
                <w:snapToGrid w:val="0"/>
              </w:rPr>
            </w:pPr>
          </w:p>
        </w:tc>
      </w:tr>
      <w:tr w:rsidR="00686DE2" w14:paraId="35FB1149" w14:textId="77777777" w:rsidTr="0001177E">
        <w:tc>
          <w:tcPr>
            <w:tcW w:w="567" w:type="dxa"/>
          </w:tcPr>
          <w:p w14:paraId="4A60A2EA" w14:textId="77777777" w:rsidR="00686DE2" w:rsidRPr="003B4DE8" w:rsidRDefault="00686DE2" w:rsidP="003B4DE8">
            <w:pPr>
              <w:pStyle w:val="Liststycke"/>
              <w:numPr>
                <w:ilvl w:val="0"/>
                <w:numId w:val="2"/>
              </w:numPr>
              <w:tabs>
                <w:tab w:val="left" w:pos="1701"/>
              </w:tabs>
              <w:rPr>
                <w:b/>
                <w:snapToGrid w:val="0"/>
              </w:rPr>
            </w:pPr>
          </w:p>
        </w:tc>
        <w:tc>
          <w:tcPr>
            <w:tcW w:w="6946" w:type="dxa"/>
            <w:gridSpan w:val="2"/>
          </w:tcPr>
          <w:p w14:paraId="388ED158" w14:textId="77777777" w:rsidR="00686DE2" w:rsidRDefault="00686DE2" w:rsidP="003B4DE8">
            <w:pPr>
              <w:tabs>
                <w:tab w:val="left" w:pos="1701"/>
              </w:tabs>
              <w:rPr>
                <w:b/>
                <w:bCs/>
                <w:color w:val="000000"/>
                <w:szCs w:val="24"/>
              </w:rPr>
            </w:pPr>
            <w:r w:rsidRPr="006365FA">
              <w:rPr>
                <w:b/>
                <w:bCs/>
                <w:color w:val="000000"/>
                <w:szCs w:val="24"/>
              </w:rPr>
              <w:t>Uppföljning av riksdagens tillämpning av subsidiaritetsprincipen (UbU1y)</w:t>
            </w:r>
          </w:p>
          <w:p w14:paraId="15DC921A" w14:textId="77777777" w:rsidR="00686DE2" w:rsidRDefault="00686DE2" w:rsidP="003B4DE8">
            <w:pPr>
              <w:tabs>
                <w:tab w:val="left" w:pos="1701"/>
              </w:tabs>
              <w:rPr>
                <w:b/>
                <w:bCs/>
                <w:color w:val="000000"/>
                <w:szCs w:val="24"/>
              </w:rPr>
            </w:pPr>
          </w:p>
          <w:p w14:paraId="359DF54D" w14:textId="07D865CA" w:rsidR="00686DE2" w:rsidRDefault="00686DE2" w:rsidP="00686DE2">
            <w:pPr>
              <w:autoSpaceDE w:val="0"/>
              <w:autoSpaceDN w:val="0"/>
              <w:adjustRightInd w:val="0"/>
              <w:textAlignment w:val="center"/>
              <w:rPr>
                <w:szCs w:val="26"/>
              </w:rPr>
            </w:pPr>
            <w:r w:rsidRPr="002D49E0">
              <w:rPr>
                <w:szCs w:val="26"/>
              </w:rPr>
              <w:t xml:space="preserve">Utskottet </w:t>
            </w:r>
            <w:r>
              <w:rPr>
                <w:szCs w:val="26"/>
              </w:rPr>
              <w:t>fortsatte behandlingen av</w:t>
            </w:r>
            <w:r w:rsidRPr="002D49E0">
              <w:rPr>
                <w:szCs w:val="26"/>
              </w:rPr>
              <w:t xml:space="preserve"> fråga om yttrande till </w:t>
            </w:r>
            <w:r>
              <w:rPr>
                <w:szCs w:val="26"/>
              </w:rPr>
              <w:t>konstitutionsutskottet</w:t>
            </w:r>
            <w:r w:rsidRPr="002D49E0">
              <w:rPr>
                <w:szCs w:val="26"/>
              </w:rPr>
              <w:t xml:space="preserve"> över </w:t>
            </w:r>
            <w:r>
              <w:rPr>
                <w:szCs w:val="26"/>
              </w:rPr>
              <w:t>u</w:t>
            </w:r>
            <w:r w:rsidRPr="006B1B7A">
              <w:rPr>
                <w:szCs w:val="26"/>
              </w:rPr>
              <w:t>ppföljning av riksdagens tillämpning av subsidiaritetsprincipen</w:t>
            </w:r>
            <w:r>
              <w:rPr>
                <w:szCs w:val="26"/>
              </w:rPr>
              <w:t>.</w:t>
            </w:r>
          </w:p>
          <w:p w14:paraId="13C5AF8E" w14:textId="21ECA4C4" w:rsidR="00686DE2" w:rsidRDefault="00686DE2" w:rsidP="00686DE2">
            <w:pPr>
              <w:autoSpaceDE w:val="0"/>
              <w:autoSpaceDN w:val="0"/>
              <w:adjustRightInd w:val="0"/>
              <w:textAlignment w:val="center"/>
              <w:rPr>
                <w:szCs w:val="26"/>
              </w:rPr>
            </w:pPr>
          </w:p>
          <w:p w14:paraId="0E79C64D" w14:textId="065C7ADB" w:rsidR="00686DE2" w:rsidRPr="002D49E0" w:rsidRDefault="00686DE2" w:rsidP="00686DE2">
            <w:pPr>
              <w:autoSpaceDE w:val="0"/>
              <w:autoSpaceDN w:val="0"/>
              <w:adjustRightInd w:val="0"/>
              <w:textAlignment w:val="center"/>
              <w:rPr>
                <w:szCs w:val="26"/>
              </w:rPr>
            </w:pPr>
            <w:r>
              <w:rPr>
                <w:szCs w:val="26"/>
              </w:rPr>
              <w:t>Utskottet justerade yttrande 2022/</w:t>
            </w:r>
            <w:proofErr w:type="gramStart"/>
            <w:r>
              <w:rPr>
                <w:szCs w:val="26"/>
              </w:rPr>
              <w:t>23:UbU</w:t>
            </w:r>
            <w:proofErr w:type="gramEnd"/>
            <w:r>
              <w:rPr>
                <w:szCs w:val="26"/>
              </w:rPr>
              <w:t>1y.</w:t>
            </w:r>
          </w:p>
          <w:p w14:paraId="7856D374" w14:textId="5A01E5DF" w:rsidR="00686DE2" w:rsidRPr="00CD461C" w:rsidRDefault="00686DE2" w:rsidP="003B4DE8">
            <w:pPr>
              <w:tabs>
                <w:tab w:val="left" w:pos="1701"/>
              </w:tabs>
              <w:rPr>
                <w:b/>
                <w:snapToGrid w:val="0"/>
              </w:rPr>
            </w:pPr>
          </w:p>
        </w:tc>
      </w:tr>
      <w:tr w:rsidR="00686DE2" w14:paraId="14FC30A7" w14:textId="77777777" w:rsidTr="0001177E">
        <w:tc>
          <w:tcPr>
            <w:tcW w:w="567" w:type="dxa"/>
          </w:tcPr>
          <w:p w14:paraId="2B7C2E48" w14:textId="77777777" w:rsidR="00686DE2" w:rsidRPr="00A75335" w:rsidRDefault="00686DE2" w:rsidP="003B4DE8">
            <w:pPr>
              <w:pStyle w:val="Liststycke"/>
              <w:numPr>
                <w:ilvl w:val="0"/>
                <w:numId w:val="2"/>
              </w:numPr>
              <w:tabs>
                <w:tab w:val="left" w:pos="1701"/>
              </w:tabs>
              <w:rPr>
                <w:b/>
                <w:snapToGrid w:val="0"/>
              </w:rPr>
            </w:pPr>
          </w:p>
        </w:tc>
        <w:tc>
          <w:tcPr>
            <w:tcW w:w="6946" w:type="dxa"/>
            <w:gridSpan w:val="2"/>
          </w:tcPr>
          <w:p w14:paraId="460E5486" w14:textId="77777777" w:rsidR="00686DE2" w:rsidRPr="00A75335" w:rsidRDefault="00686DE2" w:rsidP="003B4DE8">
            <w:pPr>
              <w:tabs>
                <w:tab w:val="left" w:pos="1701"/>
              </w:tabs>
              <w:rPr>
                <w:b/>
                <w:bCs/>
                <w:color w:val="000000"/>
                <w:szCs w:val="24"/>
              </w:rPr>
            </w:pPr>
            <w:r w:rsidRPr="00A75335">
              <w:rPr>
                <w:b/>
                <w:bCs/>
                <w:color w:val="000000"/>
                <w:szCs w:val="24"/>
              </w:rPr>
              <w:t>Rutiner</w:t>
            </w:r>
          </w:p>
          <w:p w14:paraId="1AF14704" w14:textId="77777777" w:rsidR="00686DE2" w:rsidRPr="00A75335" w:rsidRDefault="00686DE2" w:rsidP="003B4DE8">
            <w:pPr>
              <w:tabs>
                <w:tab w:val="left" w:pos="1701"/>
              </w:tabs>
              <w:rPr>
                <w:b/>
                <w:bCs/>
                <w:color w:val="000000"/>
                <w:szCs w:val="24"/>
              </w:rPr>
            </w:pPr>
          </w:p>
          <w:p w14:paraId="1E2CD129" w14:textId="77777777" w:rsidR="00686DE2" w:rsidRPr="00A75335" w:rsidRDefault="00686DE2" w:rsidP="003B4DE8">
            <w:pPr>
              <w:tabs>
                <w:tab w:val="left" w:pos="1701"/>
              </w:tabs>
              <w:rPr>
                <w:color w:val="000000"/>
                <w:szCs w:val="24"/>
              </w:rPr>
            </w:pPr>
            <w:r w:rsidRPr="00A75335">
              <w:rPr>
                <w:color w:val="000000"/>
                <w:szCs w:val="24"/>
              </w:rPr>
              <w:t>Utskottet behandlade frågor om delegationer till presidium och ordföranden samt om arbetsformer.</w:t>
            </w:r>
          </w:p>
          <w:p w14:paraId="752A0C0A" w14:textId="77777777" w:rsidR="00686DE2" w:rsidRPr="00A75335" w:rsidRDefault="00686DE2" w:rsidP="003B4DE8">
            <w:pPr>
              <w:tabs>
                <w:tab w:val="left" w:pos="1701"/>
              </w:tabs>
              <w:rPr>
                <w:color w:val="000000"/>
                <w:szCs w:val="24"/>
              </w:rPr>
            </w:pPr>
          </w:p>
          <w:p w14:paraId="1A23BCB6" w14:textId="44AB0C59" w:rsidR="00A75335" w:rsidRPr="00A75335" w:rsidRDefault="00A75335" w:rsidP="003B4DE8">
            <w:pPr>
              <w:tabs>
                <w:tab w:val="left" w:pos="1701"/>
              </w:tabs>
              <w:rPr>
                <w:color w:val="000000"/>
                <w:szCs w:val="24"/>
              </w:rPr>
            </w:pPr>
            <w:r w:rsidRPr="00A75335">
              <w:rPr>
                <w:color w:val="000000"/>
                <w:szCs w:val="24"/>
              </w:rPr>
              <w:t>Utskottet beslutade om delegationer till presidium och ordförande enligt bilaga 3.</w:t>
            </w:r>
          </w:p>
          <w:p w14:paraId="7D1A6B77" w14:textId="77777777" w:rsidR="00686DE2" w:rsidRPr="00A75335" w:rsidRDefault="00686DE2" w:rsidP="003B4DE8">
            <w:pPr>
              <w:tabs>
                <w:tab w:val="left" w:pos="1701"/>
              </w:tabs>
              <w:rPr>
                <w:color w:val="000000"/>
                <w:szCs w:val="24"/>
              </w:rPr>
            </w:pPr>
          </w:p>
          <w:p w14:paraId="6B27EB39" w14:textId="7577CCAF" w:rsidR="00686DE2" w:rsidRPr="00A75335" w:rsidRDefault="00686DE2" w:rsidP="003B4DE8">
            <w:pPr>
              <w:tabs>
                <w:tab w:val="left" w:pos="1701"/>
              </w:tabs>
              <w:rPr>
                <w:color w:val="000000"/>
                <w:szCs w:val="24"/>
              </w:rPr>
            </w:pPr>
            <w:r w:rsidRPr="00A75335">
              <w:rPr>
                <w:color w:val="000000"/>
                <w:szCs w:val="24"/>
              </w:rPr>
              <w:t>Utskottet ställde sig bakom arbetsformer enligt bilaga 4.</w:t>
            </w:r>
          </w:p>
          <w:p w14:paraId="56083C3F" w14:textId="4FE3A46E" w:rsidR="00686DE2" w:rsidRPr="00A75335" w:rsidRDefault="00686DE2" w:rsidP="003B4DE8">
            <w:pPr>
              <w:tabs>
                <w:tab w:val="left" w:pos="1701"/>
              </w:tabs>
              <w:rPr>
                <w:b/>
                <w:bCs/>
                <w:color w:val="000000"/>
                <w:szCs w:val="24"/>
              </w:rPr>
            </w:pPr>
          </w:p>
        </w:tc>
      </w:tr>
      <w:tr w:rsidR="003B4DE8" w14:paraId="305CB7E4" w14:textId="77777777" w:rsidTr="0001177E">
        <w:tc>
          <w:tcPr>
            <w:tcW w:w="567" w:type="dxa"/>
          </w:tcPr>
          <w:p w14:paraId="2DA3905C" w14:textId="77777777" w:rsidR="003B4DE8" w:rsidRPr="00656420" w:rsidRDefault="003B4DE8" w:rsidP="00CA5431">
            <w:pPr>
              <w:pStyle w:val="Liststycke"/>
              <w:numPr>
                <w:ilvl w:val="0"/>
                <w:numId w:val="2"/>
              </w:numPr>
              <w:tabs>
                <w:tab w:val="left" w:pos="1701"/>
              </w:tabs>
              <w:rPr>
                <w:b/>
                <w:snapToGrid w:val="0"/>
              </w:rPr>
            </w:pPr>
          </w:p>
        </w:tc>
        <w:tc>
          <w:tcPr>
            <w:tcW w:w="6946" w:type="dxa"/>
            <w:gridSpan w:val="2"/>
          </w:tcPr>
          <w:p w14:paraId="76E5EED6" w14:textId="77777777" w:rsidR="0040376B" w:rsidRDefault="0040376B" w:rsidP="0040376B">
            <w:pPr>
              <w:widowControl/>
              <w:autoSpaceDE w:val="0"/>
              <w:autoSpaceDN w:val="0"/>
              <w:adjustRightInd w:val="0"/>
              <w:rPr>
                <w:b/>
                <w:bCs/>
                <w:szCs w:val="24"/>
              </w:rPr>
            </w:pPr>
            <w:r>
              <w:rPr>
                <w:b/>
                <w:bCs/>
                <w:szCs w:val="24"/>
              </w:rPr>
              <w:t>Nästa sammanträde</w:t>
            </w:r>
          </w:p>
          <w:p w14:paraId="6E088AA4" w14:textId="77777777" w:rsidR="0040376B" w:rsidRDefault="0040376B" w:rsidP="0040376B">
            <w:pPr>
              <w:tabs>
                <w:tab w:val="left" w:pos="1701"/>
              </w:tabs>
              <w:rPr>
                <w:szCs w:val="24"/>
              </w:rPr>
            </w:pPr>
          </w:p>
          <w:p w14:paraId="4E29B269" w14:textId="5E96D20E" w:rsidR="003B4DE8" w:rsidRDefault="0040376B" w:rsidP="00F816D5">
            <w:pPr>
              <w:tabs>
                <w:tab w:val="left" w:pos="1701"/>
              </w:tabs>
              <w:rPr>
                <w:szCs w:val="24"/>
              </w:rPr>
            </w:pPr>
            <w:r>
              <w:rPr>
                <w:szCs w:val="24"/>
              </w:rPr>
              <w:t xml:space="preserve">Nästa sammanträde </w:t>
            </w:r>
            <w:r w:rsidR="007765ED">
              <w:rPr>
                <w:szCs w:val="24"/>
              </w:rPr>
              <w:t>äger</w:t>
            </w:r>
            <w:r w:rsidR="00BB7028">
              <w:rPr>
                <w:szCs w:val="24"/>
              </w:rPr>
              <w:t xml:space="preserve"> rum </w:t>
            </w:r>
            <w:r w:rsidR="00686DE2">
              <w:rPr>
                <w:szCs w:val="24"/>
              </w:rPr>
              <w:t>tis</w:t>
            </w:r>
            <w:r w:rsidR="00BB7028">
              <w:rPr>
                <w:szCs w:val="24"/>
              </w:rPr>
              <w:t xml:space="preserve">dagen den </w:t>
            </w:r>
            <w:r w:rsidR="00686DE2">
              <w:rPr>
                <w:szCs w:val="24"/>
              </w:rPr>
              <w:t>22 november</w:t>
            </w:r>
            <w:r w:rsidR="00BB7028">
              <w:rPr>
                <w:szCs w:val="24"/>
              </w:rPr>
              <w:t xml:space="preserve"> 20</w:t>
            </w:r>
            <w:r w:rsidR="005F0E85">
              <w:rPr>
                <w:szCs w:val="24"/>
              </w:rPr>
              <w:t>2</w:t>
            </w:r>
            <w:r w:rsidR="000A167A">
              <w:rPr>
                <w:szCs w:val="24"/>
              </w:rPr>
              <w:t>2</w:t>
            </w:r>
            <w:r w:rsidR="00F3624B">
              <w:rPr>
                <w:szCs w:val="24"/>
              </w:rPr>
              <w:br/>
            </w:r>
            <w:r>
              <w:rPr>
                <w:szCs w:val="24"/>
              </w:rPr>
              <w:lastRenderedPageBreak/>
              <w:t xml:space="preserve">kl. </w:t>
            </w:r>
            <w:r w:rsidR="00686DE2">
              <w:rPr>
                <w:szCs w:val="24"/>
              </w:rPr>
              <w:t>11</w:t>
            </w:r>
            <w:r>
              <w:rPr>
                <w:szCs w:val="24"/>
              </w:rPr>
              <w:t>.00.</w:t>
            </w:r>
          </w:p>
          <w:p w14:paraId="58BB9C01" w14:textId="14AD0F1E" w:rsidR="00E42144" w:rsidRDefault="00E42144" w:rsidP="00F816D5">
            <w:pPr>
              <w:tabs>
                <w:tab w:val="left" w:pos="1701"/>
              </w:tabs>
              <w:rPr>
                <w:snapToGrid w:val="0"/>
              </w:rPr>
            </w:pPr>
          </w:p>
        </w:tc>
      </w:tr>
      <w:tr w:rsidR="003B4DE8" w14:paraId="23A98902" w14:textId="77777777" w:rsidTr="0001177E">
        <w:trPr>
          <w:gridAfter w:val="1"/>
          <w:wAfter w:w="357" w:type="dxa"/>
        </w:trPr>
        <w:tc>
          <w:tcPr>
            <w:tcW w:w="7156" w:type="dxa"/>
            <w:gridSpan w:val="2"/>
          </w:tcPr>
          <w:p w14:paraId="70078463" w14:textId="77777777" w:rsidR="003B4DE8" w:rsidRDefault="003B4DE8" w:rsidP="003B4DE8">
            <w:pPr>
              <w:tabs>
                <w:tab w:val="left" w:pos="1701"/>
              </w:tabs>
              <w:rPr>
                <w:b/>
              </w:rPr>
            </w:pPr>
          </w:p>
          <w:p w14:paraId="6B6EACA5" w14:textId="77777777" w:rsidR="00D817DA" w:rsidRDefault="00D817DA" w:rsidP="00D817DA">
            <w:pPr>
              <w:tabs>
                <w:tab w:val="left" w:pos="1701"/>
              </w:tabs>
            </w:pPr>
            <w:r>
              <w:t>Vid protokollet</w:t>
            </w:r>
          </w:p>
          <w:p w14:paraId="0FE21853" w14:textId="77777777" w:rsidR="00D817DA" w:rsidRDefault="00D817DA" w:rsidP="00D817DA">
            <w:pPr>
              <w:tabs>
                <w:tab w:val="left" w:pos="1701"/>
              </w:tabs>
            </w:pPr>
          </w:p>
          <w:p w14:paraId="6FCBEEA8" w14:textId="77777777" w:rsidR="00D817DA" w:rsidRDefault="00D817DA" w:rsidP="00D817DA">
            <w:pPr>
              <w:tabs>
                <w:tab w:val="left" w:pos="1701"/>
              </w:tabs>
            </w:pPr>
          </w:p>
          <w:p w14:paraId="7D8FA04F" w14:textId="2729BD85" w:rsidR="00D817DA" w:rsidRDefault="00686DE2" w:rsidP="00D817DA">
            <w:pPr>
              <w:tabs>
                <w:tab w:val="left" w:pos="1701"/>
              </w:tabs>
            </w:pPr>
            <w:r>
              <w:t>Lotta Lann</w:t>
            </w:r>
          </w:p>
          <w:p w14:paraId="0A05EB84" w14:textId="77777777" w:rsidR="00D817DA" w:rsidRDefault="00D817DA" w:rsidP="00D817DA">
            <w:pPr>
              <w:tabs>
                <w:tab w:val="left" w:pos="1701"/>
              </w:tabs>
            </w:pPr>
          </w:p>
          <w:p w14:paraId="2028E153" w14:textId="77777777" w:rsidR="00D817DA" w:rsidRDefault="00D817DA" w:rsidP="00D817DA">
            <w:pPr>
              <w:tabs>
                <w:tab w:val="left" w:pos="1701"/>
              </w:tabs>
            </w:pPr>
          </w:p>
          <w:p w14:paraId="5B58F3BC" w14:textId="1B78FF52" w:rsidR="00D817DA" w:rsidRDefault="00D817DA" w:rsidP="00D817DA">
            <w:pPr>
              <w:tabs>
                <w:tab w:val="left" w:pos="1701"/>
              </w:tabs>
            </w:pPr>
            <w:r w:rsidRPr="00C56172">
              <w:t xml:space="preserve">Justeras </w:t>
            </w:r>
            <w:r w:rsidR="00686DE2">
              <w:t>tis</w:t>
            </w:r>
            <w:r w:rsidRPr="00C56172">
              <w:t xml:space="preserve">dagen </w:t>
            </w:r>
            <w:r w:rsidR="00686DE2">
              <w:t>den 22 november 202</w:t>
            </w:r>
            <w:r w:rsidR="000A167A">
              <w:t>2</w:t>
            </w:r>
          </w:p>
          <w:p w14:paraId="7E8B512E" w14:textId="77777777" w:rsidR="00D817DA" w:rsidRDefault="00D817DA" w:rsidP="00D817DA">
            <w:pPr>
              <w:tabs>
                <w:tab w:val="left" w:pos="1701"/>
              </w:tabs>
            </w:pPr>
          </w:p>
          <w:p w14:paraId="41B64267" w14:textId="77777777" w:rsidR="00D817DA" w:rsidRDefault="00D817DA" w:rsidP="00D817DA">
            <w:pPr>
              <w:tabs>
                <w:tab w:val="left" w:pos="1701"/>
              </w:tabs>
            </w:pPr>
          </w:p>
          <w:p w14:paraId="081E4A74" w14:textId="77777777" w:rsidR="00D817DA" w:rsidRDefault="00F44908" w:rsidP="003B4DE8">
            <w:pPr>
              <w:tabs>
                <w:tab w:val="left" w:pos="1701"/>
              </w:tabs>
              <w:rPr>
                <w:b/>
              </w:rPr>
            </w:pPr>
            <w:r>
              <w:t>Fredrik Malm</w:t>
            </w:r>
          </w:p>
          <w:p w14:paraId="0D1B003D" w14:textId="77777777" w:rsidR="00D817DA" w:rsidRDefault="00D817DA" w:rsidP="003B4DE8">
            <w:pPr>
              <w:tabs>
                <w:tab w:val="left" w:pos="1701"/>
              </w:tabs>
              <w:rPr>
                <w:b/>
              </w:rPr>
            </w:pPr>
          </w:p>
          <w:p w14:paraId="5FE4CB32" w14:textId="77777777" w:rsidR="00D817DA" w:rsidRDefault="00D817DA" w:rsidP="003B4DE8">
            <w:pPr>
              <w:tabs>
                <w:tab w:val="left" w:pos="1701"/>
              </w:tabs>
              <w:rPr>
                <w:b/>
              </w:rPr>
            </w:pPr>
          </w:p>
          <w:p w14:paraId="67542F5A" w14:textId="77777777" w:rsidR="00D817DA" w:rsidRDefault="00D817DA" w:rsidP="003B4DE8">
            <w:pPr>
              <w:tabs>
                <w:tab w:val="left" w:pos="1701"/>
              </w:tabs>
              <w:rPr>
                <w:b/>
              </w:rPr>
            </w:pPr>
          </w:p>
        </w:tc>
      </w:tr>
    </w:tbl>
    <w:p w14:paraId="39F9C820" w14:textId="77777777" w:rsidR="00447E69" w:rsidRDefault="00447E69">
      <w:pPr>
        <w:tabs>
          <w:tab w:val="left" w:pos="1701"/>
        </w:tabs>
      </w:pPr>
    </w:p>
    <w:p w14:paraId="3E7F4885" w14:textId="77777777" w:rsidR="00447E69" w:rsidRDefault="00447E69">
      <w:pPr>
        <w:tabs>
          <w:tab w:val="left" w:pos="1701"/>
        </w:tabs>
      </w:pPr>
    </w:p>
    <w:p w14:paraId="340DE870" w14:textId="77777777" w:rsidR="00E15FBD" w:rsidRDefault="00447E69" w:rsidP="00BB7028">
      <w:r>
        <w:br w:type="page"/>
      </w:r>
    </w:p>
    <w:tbl>
      <w:tblPr>
        <w:tblW w:w="8643" w:type="dxa"/>
        <w:tblLayout w:type="fixed"/>
        <w:tblCellMar>
          <w:left w:w="70" w:type="dxa"/>
          <w:right w:w="70" w:type="dxa"/>
        </w:tblCellMar>
        <w:tblLook w:val="0000" w:firstRow="0" w:lastRow="0" w:firstColumn="0" w:lastColumn="0" w:noHBand="0" w:noVBand="0"/>
      </w:tblPr>
      <w:tblGrid>
        <w:gridCol w:w="3614"/>
        <w:gridCol w:w="45"/>
        <w:gridCol w:w="27"/>
        <w:gridCol w:w="329"/>
        <w:gridCol w:w="356"/>
        <w:gridCol w:w="356"/>
        <w:gridCol w:w="356"/>
        <w:gridCol w:w="356"/>
        <w:gridCol w:w="356"/>
        <w:gridCol w:w="356"/>
        <w:gridCol w:w="356"/>
        <w:gridCol w:w="356"/>
        <w:gridCol w:w="225"/>
        <w:gridCol w:w="131"/>
        <w:gridCol w:w="356"/>
        <w:gridCol w:w="356"/>
        <w:gridCol w:w="356"/>
        <w:gridCol w:w="356"/>
      </w:tblGrid>
      <w:tr w:rsidR="00822AF4" w14:paraId="33BEAC3E" w14:textId="77777777" w:rsidTr="007A14AA">
        <w:tc>
          <w:tcPr>
            <w:tcW w:w="3686" w:type="dxa"/>
            <w:gridSpan w:val="3"/>
          </w:tcPr>
          <w:p w14:paraId="149AED87" w14:textId="77777777" w:rsidR="00822AF4" w:rsidRDefault="00822AF4" w:rsidP="007A14AA">
            <w:pPr>
              <w:tabs>
                <w:tab w:val="left" w:pos="1276"/>
              </w:tabs>
            </w:pPr>
            <w:r>
              <w:lastRenderedPageBreak/>
              <w:t>UTBILDNINGSUTSKOTTET</w:t>
            </w:r>
          </w:p>
        </w:tc>
        <w:tc>
          <w:tcPr>
            <w:tcW w:w="3402" w:type="dxa"/>
            <w:gridSpan w:val="10"/>
          </w:tcPr>
          <w:p w14:paraId="1697098B" w14:textId="77777777" w:rsidR="00822AF4" w:rsidRPr="0013107A" w:rsidRDefault="00822AF4" w:rsidP="007A14AA">
            <w:pPr>
              <w:tabs>
                <w:tab w:val="left" w:pos="1276"/>
              </w:tabs>
              <w:rPr>
                <w:b/>
              </w:rPr>
            </w:pPr>
            <w:r w:rsidRPr="0013107A">
              <w:rPr>
                <w:b/>
              </w:rPr>
              <w:t>NÄRVAROFÖRTECKNING</w:t>
            </w:r>
          </w:p>
        </w:tc>
        <w:tc>
          <w:tcPr>
            <w:tcW w:w="1555" w:type="dxa"/>
            <w:gridSpan w:val="5"/>
          </w:tcPr>
          <w:p w14:paraId="3B55E77F" w14:textId="77777777" w:rsidR="00822AF4" w:rsidRDefault="00822AF4" w:rsidP="007A14AA">
            <w:pPr>
              <w:tabs>
                <w:tab w:val="left" w:pos="1276"/>
              </w:tabs>
              <w:rPr>
                <w:b/>
              </w:rPr>
            </w:pPr>
            <w:r>
              <w:rPr>
                <w:b/>
              </w:rPr>
              <w:t>Bilaga 1</w:t>
            </w:r>
          </w:p>
          <w:p w14:paraId="699ED058" w14:textId="77777777" w:rsidR="00822AF4" w:rsidRPr="00DB43E0" w:rsidRDefault="00822AF4" w:rsidP="007A14AA">
            <w:pPr>
              <w:tabs>
                <w:tab w:val="left" w:pos="1276"/>
              </w:tabs>
            </w:pPr>
            <w:r w:rsidRPr="00DB43E0">
              <w:t>till protokoll</w:t>
            </w:r>
          </w:p>
          <w:p w14:paraId="0CABBEAD" w14:textId="0BE7A224" w:rsidR="00822AF4" w:rsidRPr="00310016" w:rsidRDefault="00822AF4" w:rsidP="007A14AA">
            <w:pPr>
              <w:tabs>
                <w:tab w:val="left" w:pos="1276"/>
              </w:tabs>
              <w:rPr>
                <w:b/>
              </w:rPr>
            </w:pPr>
            <w:r w:rsidRPr="00DB43E0">
              <w:t>202</w:t>
            </w:r>
            <w:r>
              <w:t>2</w:t>
            </w:r>
            <w:r w:rsidRPr="00DB43E0">
              <w:t>/2</w:t>
            </w:r>
            <w:r>
              <w:t>3</w:t>
            </w:r>
            <w:r w:rsidRPr="00DB43E0">
              <w:t>:</w:t>
            </w:r>
            <w:r w:rsidR="00686DE2">
              <w:t>9</w:t>
            </w:r>
          </w:p>
        </w:tc>
      </w:tr>
      <w:tr w:rsidR="00822AF4" w14:paraId="5B67F3AF" w14:textId="77777777" w:rsidTr="007A14AA">
        <w:tc>
          <w:tcPr>
            <w:tcW w:w="3686" w:type="dxa"/>
            <w:gridSpan w:val="3"/>
          </w:tcPr>
          <w:p w14:paraId="34E2A59C" w14:textId="77777777" w:rsidR="00822AF4" w:rsidRDefault="00822AF4" w:rsidP="007A14AA">
            <w:pPr>
              <w:tabs>
                <w:tab w:val="left" w:pos="1276"/>
              </w:tabs>
            </w:pPr>
          </w:p>
        </w:tc>
        <w:tc>
          <w:tcPr>
            <w:tcW w:w="3402" w:type="dxa"/>
            <w:gridSpan w:val="10"/>
          </w:tcPr>
          <w:p w14:paraId="75F81867" w14:textId="77777777" w:rsidR="00822AF4" w:rsidRPr="00310016" w:rsidRDefault="00822AF4" w:rsidP="007A14AA">
            <w:pPr>
              <w:tabs>
                <w:tab w:val="left" w:pos="1276"/>
              </w:tabs>
            </w:pPr>
          </w:p>
        </w:tc>
        <w:tc>
          <w:tcPr>
            <w:tcW w:w="1555" w:type="dxa"/>
            <w:gridSpan w:val="5"/>
          </w:tcPr>
          <w:p w14:paraId="49CD133D" w14:textId="77777777" w:rsidR="00822AF4" w:rsidRDefault="00822AF4" w:rsidP="007A14AA">
            <w:pPr>
              <w:tabs>
                <w:tab w:val="left" w:pos="1276"/>
              </w:tabs>
              <w:rPr>
                <w:b/>
              </w:rPr>
            </w:pPr>
          </w:p>
        </w:tc>
      </w:tr>
      <w:tr w:rsidR="00822AF4" w14:paraId="0B19B2DC" w14:textId="77777777" w:rsidTr="007A14AA">
        <w:trPr>
          <w:cantSplit/>
        </w:trPr>
        <w:tc>
          <w:tcPr>
            <w:tcW w:w="3659" w:type="dxa"/>
            <w:gridSpan w:val="2"/>
            <w:tcBorders>
              <w:top w:val="single" w:sz="6" w:space="0" w:color="auto"/>
              <w:left w:val="single" w:sz="6" w:space="0" w:color="auto"/>
              <w:bottom w:val="single" w:sz="6" w:space="0" w:color="auto"/>
              <w:right w:val="single" w:sz="6" w:space="0" w:color="auto"/>
            </w:tcBorders>
          </w:tcPr>
          <w:p w14:paraId="3DFC695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17616C72" w14:textId="580E9CF8" w:rsidR="00822AF4" w:rsidRDefault="00C9728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F1999">
              <w:rPr>
                <w:sz w:val="22"/>
              </w:rPr>
              <w:t>1–11</w:t>
            </w:r>
          </w:p>
        </w:tc>
        <w:tc>
          <w:tcPr>
            <w:tcW w:w="712" w:type="dxa"/>
            <w:gridSpan w:val="2"/>
            <w:tcBorders>
              <w:top w:val="single" w:sz="6" w:space="0" w:color="auto"/>
              <w:left w:val="single" w:sz="6" w:space="0" w:color="auto"/>
              <w:bottom w:val="single" w:sz="6" w:space="0" w:color="auto"/>
              <w:right w:val="single" w:sz="6" w:space="0" w:color="auto"/>
            </w:tcBorders>
          </w:tcPr>
          <w:p w14:paraId="0F8A1C58" w14:textId="7873C4E9"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2F1999">
              <w:rPr>
                <w:sz w:val="22"/>
              </w:rPr>
              <w:t>12-</w:t>
            </w:r>
            <w:r w:rsidR="00712451">
              <w:rPr>
                <w:sz w:val="22"/>
              </w:rPr>
              <w:t>14</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406E2805" w14:textId="566DD045" w:rsidR="00822AF4" w:rsidRDefault="00712451"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15-</w:t>
            </w:r>
            <w:r w:rsidR="00A75335">
              <w:rPr>
                <w:sz w:val="22"/>
              </w:rPr>
              <w:t>22</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5D022FA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37EB83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61215B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7B9B9C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458F01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EF5D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D12E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33F318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100B8B4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25EAE09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3EB794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23D7CE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292B8EE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071718F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1C250F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54E29A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1446437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6969D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3B352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00FEA6F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822AF4" w14:paraId="120A40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3001E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gridSpan w:val="2"/>
            <w:tcBorders>
              <w:top w:val="single" w:sz="6" w:space="0" w:color="auto"/>
              <w:left w:val="single" w:sz="6" w:space="0" w:color="auto"/>
              <w:bottom w:val="single" w:sz="6" w:space="0" w:color="auto"/>
              <w:right w:val="single" w:sz="6" w:space="0" w:color="auto"/>
            </w:tcBorders>
          </w:tcPr>
          <w:p w14:paraId="569E8F2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E7B5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2B990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9AF9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6D761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5894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40BA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42B7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7B0D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0D0F9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FC13B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8D61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F539B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B335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152CF77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E5A5974" w14:textId="77777777" w:rsidR="00712451" w:rsidRPr="00C145F4"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Fredrik Malm (L),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5B268BE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0D147A6"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B69063" w14:textId="4E8F7556"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1CDDACB"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4F5364" w14:textId="16E31B71"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B3F25A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93668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D14F78"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E25CD3"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0FE744"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27F9A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A1C00F"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51B5FF"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BFDA7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7D04441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91EBA8B" w14:textId="77777777" w:rsidR="00712451" w:rsidRPr="00C145F4"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Åsa Westlund (S), </w:t>
            </w:r>
            <w:r w:rsidRPr="00C145F4">
              <w:rPr>
                <w:i/>
                <w:sz w:val="22"/>
                <w:szCs w:val="22"/>
              </w:rPr>
              <w:t>vice</w:t>
            </w:r>
            <w:r>
              <w:rPr>
                <w:i/>
                <w:sz w:val="22"/>
                <w:szCs w:val="22"/>
              </w:rPr>
              <w:t xml:space="preserve">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2AE7525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74DD5F4"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15B407" w14:textId="70954DF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BA847D5"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D8A7AC" w14:textId="21A08A8E"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FA53D8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36989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89DC2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CFE6E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FDA6690"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9D8E23"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6296C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40184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F5107"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2D40E65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7B542A8" w14:textId="77777777" w:rsidR="00712451" w:rsidRPr="00C145F4" w:rsidRDefault="00712451" w:rsidP="00712451">
            <w:pPr>
              <w:rPr>
                <w:sz w:val="22"/>
                <w:szCs w:val="22"/>
              </w:rPr>
            </w:pPr>
            <w:r w:rsidRPr="00C145F4">
              <w:rPr>
                <w:sz w:val="22"/>
                <w:szCs w:val="22"/>
              </w:rPr>
              <w:t>Patrick Reslow (SD)</w:t>
            </w:r>
          </w:p>
        </w:tc>
        <w:tc>
          <w:tcPr>
            <w:tcW w:w="356" w:type="dxa"/>
            <w:gridSpan w:val="2"/>
            <w:tcBorders>
              <w:top w:val="single" w:sz="6" w:space="0" w:color="auto"/>
              <w:left w:val="single" w:sz="6" w:space="0" w:color="auto"/>
              <w:bottom w:val="single" w:sz="6" w:space="0" w:color="auto"/>
              <w:right w:val="single" w:sz="6" w:space="0" w:color="auto"/>
            </w:tcBorders>
          </w:tcPr>
          <w:p w14:paraId="6FCAFD45" w14:textId="77777777"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596342E4"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A045C" w14:textId="2ADCE1E3"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2B562DF7"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2E2FD4" w14:textId="26F02E86"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1AED9C5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93F55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382A34"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B7E2AF"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1802C98"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3B6E9B"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0EEA4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3F87F1"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4F035C"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rsidRPr="00001172" w14:paraId="3294C17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DD0A20B" w14:textId="77777777" w:rsidR="00712451" w:rsidRPr="00C145F4" w:rsidRDefault="00712451" w:rsidP="00712451">
            <w:pPr>
              <w:rPr>
                <w:sz w:val="22"/>
                <w:szCs w:val="22"/>
              </w:rPr>
            </w:pPr>
            <w:r w:rsidRPr="00C145F4">
              <w:rPr>
                <w:sz w:val="22"/>
                <w:szCs w:val="22"/>
              </w:rPr>
              <w:t>Josefin Malmqvist (M)</w:t>
            </w:r>
          </w:p>
        </w:tc>
        <w:tc>
          <w:tcPr>
            <w:tcW w:w="356" w:type="dxa"/>
            <w:gridSpan w:val="2"/>
            <w:tcBorders>
              <w:top w:val="single" w:sz="6" w:space="0" w:color="auto"/>
              <w:left w:val="single" w:sz="6" w:space="0" w:color="auto"/>
              <w:bottom w:val="single" w:sz="6" w:space="0" w:color="auto"/>
              <w:right w:val="single" w:sz="6" w:space="0" w:color="auto"/>
            </w:tcBorders>
          </w:tcPr>
          <w:p w14:paraId="37E55A10" w14:textId="77777777"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74BCD806" w14:textId="77777777" w:rsidR="00712451" w:rsidRPr="00001172"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B85193" w14:textId="76D27D54"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391E1D64" w14:textId="77777777" w:rsidR="00712451" w:rsidRPr="00001172"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5A4684" w14:textId="67358259"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495010D7" w14:textId="77777777" w:rsidR="00712451" w:rsidRPr="00001172"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A2EE9C" w14:textId="77777777" w:rsidR="00712451" w:rsidRPr="00001172"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A89CBB" w14:textId="77777777" w:rsidR="00712451" w:rsidRPr="00001172"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918568" w14:textId="77777777" w:rsidR="00712451" w:rsidRPr="00001172"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B7A797" w14:textId="77777777" w:rsidR="00712451" w:rsidRPr="00001172"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A550A1" w14:textId="77777777" w:rsidR="00712451" w:rsidRPr="00001172"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3053C" w14:textId="77777777" w:rsidR="00712451" w:rsidRPr="00001172"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BC92FC" w14:textId="77777777" w:rsidR="00712451" w:rsidRPr="00001172"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5F8C42" w14:textId="77777777" w:rsidR="00712451" w:rsidRPr="00001172"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rsidRPr="00EC27A5" w14:paraId="43EFCB1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FCE5430" w14:textId="77777777" w:rsidR="00712451" w:rsidRPr="00C145F4" w:rsidRDefault="00712451" w:rsidP="00712451">
            <w:pPr>
              <w:rPr>
                <w:sz w:val="22"/>
                <w:szCs w:val="22"/>
              </w:rPr>
            </w:pPr>
            <w:r w:rsidRPr="00C145F4">
              <w:rPr>
                <w:sz w:val="22"/>
                <w:szCs w:val="22"/>
              </w:rPr>
              <w:t>Linus Sköld (S)</w:t>
            </w:r>
          </w:p>
        </w:tc>
        <w:tc>
          <w:tcPr>
            <w:tcW w:w="356" w:type="dxa"/>
            <w:gridSpan w:val="2"/>
            <w:tcBorders>
              <w:top w:val="single" w:sz="6" w:space="0" w:color="auto"/>
              <w:left w:val="single" w:sz="6" w:space="0" w:color="auto"/>
              <w:bottom w:val="single" w:sz="6" w:space="0" w:color="auto"/>
              <w:right w:val="single" w:sz="6" w:space="0" w:color="auto"/>
            </w:tcBorders>
          </w:tcPr>
          <w:p w14:paraId="79806F21" w14:textId="09F2A728" w:rsidR="00712451" w:rsidRDefault="00712451" w:rsidP="00712451"/>
        </w:tc>
        <w:tc>
          <w:tcPr>
            <w:tcW w:w="356" w:type="dxa"/>
            <w:tcBorders>
              <w:top w:val="single" w:sz="6" w:space="0" w:color="auto"/>
              <w:left w:val="single" w:sz="6" w:space="0" w:color="auto"/>
              <w:bottom w:val="single" w:sz="6" w:space="0" w:color="auto"/>
              <w:right w:val="single" w:sz="6" w:space="0" w:color="auto"/>
            </w:tcBorders>
          </w:tcPr>
          <w:p w14:paraId="4F343FF2"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86039A" w14:textId="77777777" w:rsidR="00712451" w:rsidRDefault="00712451" w:rsidP="00712451"/>
        </w:tc>
        <w:tc>
          <w:tcPr>
            <w:tcW w:w="356" w:type="dxa"/>
            <w:tcBorders>
              <w:top w:val="single" w:sz="6" w:space="0" w:color="auto"/>
              <w:left w:val="single" w:sz="6" w:space="0" w:color="auto"/>
              <w:bottom w:val="single" w:sz="6" w:space="0" w:color="auto"/>
              <w:right w:val="single" w:sz="6" w:space="0" w:color="auto"/>
            </w:tcBorders>
          </w:tcPr>
          <w:p w14:paraId="0A44F8E0"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0C5942" w14:textId="77777777" w:rsidR="00712451" w:rsidRDefault="00712451" w:rsidP="00712451"/>
        </w:tc>
        <w:tc>
          <w:tcPr>
            <w:tcW w:w="356" w:type="dxa"/>
            <w:tcBorders>
              <w:top w:val="single" w:sz="6" w:space="0" w:color="auto"/>
              <w:left w:val="single" w:sz="6" w:space="0" w:color="auto"/>
              <w:bottom w:val="single" w:sz="6" w:space="0" w:color="auto"/>
              <w:right w:val="single" w:sz="6" w:space="0" w:color="auto"/>
            </w:tcBorders>
          </w:tcPr>
          <w:p w14:paraId="5BC8EF13"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888B49"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54521F"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DF70F6"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6FD7763"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DA11FD"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F10F05"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DA133F"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214F66"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rsidRPr="00EC27A5" w14:paraId="2CEF680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14F967C" w14:textId="77777777" w:rsidR="00712451" w:rsidRPr="00C145F4" w:rsidRDefault="00712451" w:rsidP="00712451">
            <w:pPr>
              <w:rPr>
                <w:sz w:val="22"/>
                <w:szCs w:val="22"/>
              </w:rPr>
            </w:pPr>
            <w:r w:rsidRPr="00C145F4">
              <w:rPr>
                <w:sz w:val="22"/>
                <w:szCs w:val="22"/>
              </w:rPr>
              <w:t>Robert Stenkvist (SD)</w:t>
            </w:r>
          </w:p>
        </w:tc>
        <w:tc>
          <w:tcPr>
            <w:tcW w:w="356" w:type="dxa"/>
            <w:gridSpan w:val="2"/>
            <w:tcBorders>
              <w:top w:val="single" w:sz="6" w:space="0" w:color="auto"/>
              <w:left w:val="single" w:sz="6" w:space="0" w:color="auto"/>
              <w:bottom w:val="single" w:sz="6" w:space="0" w:color="auto"/>
              <w:right w:val="single" w:sz="6" w:space="0" w:color="auto"/>
            </w:tcBorders>
          </w:tcPr>
          <w:p w14:paraId="454CFE6B" w14:textId="77777777"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35C933E0"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D7EC86" w14:textId="041F04BE"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3099837B"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55E55F" w14:textId="0AD68EF7"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564D3644"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27B6DA"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9EB577"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A48233"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E23D4FD"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AECE7E"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3496C9"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895CC8"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B9549A"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rsidRPr="00EC27A5" w14:paraId="4641C49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7774E80" w14:textId="77777777" w:rsidR="00712451" w:rsidRPr="00C145F4" w:rsidRDefault="00712451" w:rsidP="00712451">
            <w:pPr>
              <w:rPr>
                <w:sz w:val="22"/>
                <w:szCs w:val="22"/>
              </w:rPr>
            </w:pPr>
            <w:r w:rsidRPr="00C145F4">
              <w:rPr>
                <w:sz w:val="22"/>
                <w:szCs w:val="22"/>
              </w:rPr>
              <w:t>Caroline Helmersson Olsson (S)</w:t>
            </w:r>
          </w:p>
        </w:tc>
        <w:tc>
          <w:tcPr>
            <w:tcW w:w="356" w:type="dxa"/>
            <w:gridSpan w:val="2"/>
            <w:tcBorders>
              <w:top w:val="single" w:sz="6" w:space="0" w:color="auto"/>
              <w:left w:val="single" w:sz="6" w:space="0" w:color="auto"/>
              <w:bottom w:val="single" w:sz="6" w:space="0" w:color="auto"/>
              <w:right w:val="single" w:sz="6" w:space="0" w:color="auto"/>
            </w:tcBorders>
          </w:tcPr>
          <w:p w14:paraId="370B82E8" w14:textId="77777777"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4FA9C23E"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8D94B2" w14:textId="35059F00"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588E5824"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D830FF" w14:textId="64374C28"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6BDC9142"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BD7D07"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722653"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34FB25"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C938EBC"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D7A966"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8A8580"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03200"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FB142D" w14:textId="77777777" w:rsidR="00712451" w:rsidRPr="00EC27A5"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22C4913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41F77D8" w14:textId="77777777" w:rsidR="00712451" w:rsidRPr="00C145F4" w:rsidRDefault="00712451" w:rsidP="00712451">
            <w:pPr>
              <w:rPr>
                <w:sz w:val="22"/>
                <w:szCs w:val="22"/>
              </w:rPr>
            </w:pPr>
            <w:r w:rsidRPr="00C145F4">
              <w:rPr>
                <w:sz w:val="22"/>
                <w:szCs w:val="22"/>
              </w:rPr>
              <w:t>Noria Manouchi (M)</w:t>
            </w:r>
          </w:p>
        </w:tc>
        <w:tc>
          <w:tcPr>
            <w:tcW w:w="356" w:type="dxa"/>
            <w:gridSpan w:val="2"/>
            <w:tcBorders>
              <w:top w:val="single" w:sz="6" w:space="0" w:color="auto"/>
              <w:left w:val="single" w:sz="6" w:space="0" w:color="auto"/>
              <w:bottom w:val="single" w:sz="6" w:space="0" w:color="auto"/>
              <w:right w:val="single" w:sz="6" w:space="0" w:color="auto"/>
            </w:tcBorders>
          </w:tcPr>
          <w:p w14:paraId="26459301" w14:textId="77777777"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562558A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C760A6" w14:textId="33B1A2C2"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08D3B9EB"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90185B" w14:textId="503B8B52" w:rsidR="00712451" w:rsidRDefault="00712451" w:rsidP="00712451"/>
        </w:tc>
        <w:tc>
          <w:tcPr>
            <w:tcW w:w="356" w:type="dxa"/>
            <w:tcBorders>
              <w:top w:val="single" w:sz="6" w:space="0" w:color="auto"/>
              <w:left w:val="single" w:sz="6" w:space="0" w:color="auto"/>
              <w:bottom w:val="single" w:sz="6" w:space="0" w:color="auto"/>
              <w:right w:val="single" w:sz="6" w:space="0" w:color="auto"/>
            </w:tcBorders>
          </w:tcPr>
          <w:p w14:paraId="5C03266F"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E6662F"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EB0E90"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9A7CF6"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B8AA4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6864F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F734E6"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B5201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9DDA17"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34D295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A0434FC" w14:textId="77777777" w:rsidR="00712451" w:rsidRPr="00C145F4" w:rsidRDefault="00712451" w:rsidP="00712451">
            <w:pPr>
              <w:rPr>
                <w:sz w:val="22"/>
                <w:szCs w:val="22"/>
              </w:rPr>
            </w:pPr>
            <w:r w:rsidRPr="00C145F4">
              <w:rPr>
                <w:sz w:val="22"/>
                <w:szCs w:val="22"/>
              </w:rPr>
              <w:t xml:space="preserve">Mats Wiking (S) </w:t>
            </w:r>
          </w:p>
        </w:tc>
        <w:tc>
          <w:tcPr>
            <w:tcW w:w="356" w:type="dxa"/>
            <w:gridSpan w:val="2"/>
            <w:tcBorders>
              <w:top w:val="single" w:sz="6" w:space="0" w:color="auto"/>
              <w:left w:val="single" w:sz="6" w:space="0" w:color="auto"/>
              <w:bottom w:val="single" w:sz="6" w:space="0" w:color="auto"/>
              <w:right w:val="single" w:sz="6" w:space="0" w:color="auto"/>
            </w:tcBorders>
          </w:tcPr>
          <w:p w14:paraId="3E719C5C" w14:textId="77777777"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27885615"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5B233E" w14:textId="40BDCB90"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2763E388"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1CA25C" w14:textId="74F18204"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6B8D87F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A65285"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B883EC"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A9B2C7"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03C3F0F"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4BCFD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71E13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DAFBE3"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FE10A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6770E8B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DB23233" w14:textId="77777777" w:rsidR="00712451" w:rsidRPr="00C145F4" w:rsidRDefault="00712451" w:rsidP="00712451">
            <w:pPr>
              <w:rPr>
                <w:sz w:val="22"/>
                <w:szCs w:val="22"/>
              </w:rPr>
            </w:pPr>
            <w:r w:rsidRPr="00C145F4">
              <w:rPr>
                <w:sz w:val="22"/>
                <w:szCs w:val="22"/>
              </w:rPr>
              <w:t>Jörgen Gr</w:t>
            </w:r>
            <w:r>
              <w:rPr>
                <w:sz w:val="22"/>
                <w:szCs w:val="22"/>
              </w:rPr>
              <w:t>u</w:t>
            </w:r>
            <w:r w:rsidRPr="00C145F4">
              <w:rPr>
                <w:sz w:val="22"/>
                <w:szCs w:val="22"/>
              </w:rPr>
              <w:t>bb (SD)</w:t>
            </w:r>
          </w:p>
        </w:tc>
        <w:tc>
          <w:tcPr>
            <w:tcW w:w="356" w:type="dxa"/>
            <w:gridSpan w:val="2"/>
            <w:tcBorders>
              <w:top w:val="single" w:sz="6" w:space="0" w:color="auto"/>
              <w:left w:val="single" w:sz="6" w:space="0" w:color="auto"/>
              <w:bottom w:val="single" w:sz="6" w:space="0" w:color="auto"/>
              <w:right w:val="single" w:sz="6" w:space="0" w:color="auto"/>
            </w:tcBorders>
          </w:tcPr>
          <w:p w14:paraId="083C8740" w14:textId="77777777"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151D68FC"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515102" w14:textId="4C371A0B"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5E9D7BD0"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A3BC58" w14:textId="7015C2CB"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567D5761"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8E1528"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CE6F1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8934E7"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EBF5071"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7DE6A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075CB5"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7C47C5"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DA3D5C"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184685B5"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19D46F1" w14:textId="77777777" w:rsidR="00712451" w:rsidRPr="00C145F4" w:rsidRDefault="00712451" w:rsidP="00712451">
            <w:pPr>
              <w:rPr>
                <w:sz w:val="22"/>
                <w:szCs w:val="22"/>
              </w:rPr>
            </w:pPr>
            <w:r w:rsidRPr="00C145F4">
              <w:rPr>
                <w:sz w:val="22"/>
                <w:szCs w:val="22"/>
              </w:rPr>
              <w:t>Aylin Fazelian (S)</w:t>
            </w:r>
          </w:p>
        </w:tc>
        <w:tc>
          <w:tcPr>
            <w:tcW w:w="356" w:type="dxa"/>
            <w:gridSpan w:val="2"/>
            <w:tcBorders>
              <w:top w:val="single" w:sz="6" w:space="0" w:color="auto"/>
              <w:left w:val="single" w:sz="6" w:space="0" w:color="auto"/>
              <w:bottom w:val="single" w:sz="6" w:space="0" w:color="auto"/>
              <w:right w:val="single" w:sz="6" w:space="0" w:color="auto"/>
            </w:tcBorders>
          </w:tcPr>
          <w:p w14:paraId="39B772CD" w14:textId="77777777"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4DBC0800"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8BC68F" w14:textId="78EF03D1"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2A4D3EA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6888CB" w14:textId="0DDEE2F4"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7554B99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60108C"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67A41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0F39BB"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026B54B"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05C97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0F0EE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BACB78"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1C8C7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66315AC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484329D" w14:textId="77777777" w:rsidR="00712451" w:rsidRPr="00C145F4" w:rsidRDefault="00712451" w:rsidP="00712451">
            <w:pPr>
              <w:rPr>
                <w:sz w:val="22"/>
                <w:szCs w:val="22"/>
              </w:rPr>
            </w:pPr>
            <w:r w:rsidRPr="0042750F">
              <w:rPr>
                <w:sz w:val="22"/>
                <w:szCs w:val="22"/>
              </w:rPr>
              <w:t>Marie-Louise Hänel Sandström (M)</w:t>
            </w:r>
          </w:p>
        </w:tc>
        <w:tc>
          <w:tcPr>
            <w:tcW w:w="356" w:type="dxa"/>
            <w:gridSpan w:val="2"/>
            <w:tcBorders>
              <w:top w:val="single" w:sz="6" w:space="0" w:color="auto"/>
              <w:left w:val="single" w:sz="6" w:space="0" w:color="auto"/>
              <w:bottom w:val="single" w:sz="6" w:space="0" w:color="auto"/>
              <w:right w:val="single" w:sz="6" w:space="0" w:color="auto"/>
            </w:tcBorders>
          </w:tcPr>
          <w:p w14:paraId="3E96A446" w14:textId="77777777"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3428F935"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ED2FB0" w14:textId="04725161"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004B26B8"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901A9" w14:textId="3AB57233"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00619FAB"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371AD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0E95E3"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98E228"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728F751"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A4AFA7"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F3493F"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4DDCD6"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1DED9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70B45D95"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E746DB8" w14:textId="77777777" w:rsidR="00712451" w:rsidRPr="00C145F4" w:rsidRDefault="00712451" w:rsidP="00712451">
            <w:pPr>
              <w:rPr>
                <w:sz w:val="22"/>
                <w:szCs w:val="22"/>
              </w:rPr>
            </w:pPr>
            <w:r w:rsidRPr="00C145F4">
              <w:rPr>
                <w:sz w:val="22"/>
                <w:szCs w:val="22"/>
              </w:rPr>
              <w:t>Daniel Riazat (V)</w:t>
            </w:r>
          </w:p>
        </w:tc>
        <w:tc>
          <w:tcPr>
            <w:tcW w:w="356" w:type="dxa"/>
            <w:gridSpan w:val="2"/>
            <w:tcBorders>
              <w:top w:val="single" w:sz="6" w:space="0" w:color="auto"/>
              <w:left w:val="single" w:sz="6" w:space="0" w:color="auto"/>
              <w:bottom w:val="single" w:sz="6" w:space="0" w:color="auto"/>
              <w:right w:val="single" w:sz="6" w:space="0" w:color="auto"/>
            </w:tcBorders>
          </w:tcPr>
          <w:p w14:paraId="23A1F520" w14:textId="77777777"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174598D4"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04CC70" w14:textId="30A8B1CF"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2723D335"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6A6F06" w14:textId="5DEAD3E9"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2231F9B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44E433"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F35DC1"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09E3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BA35DE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575025"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AA8FBC"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58CF2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10CDD0"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4BDD1EF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276FFBC" w14:textId="2589F8CF" w:rsidR="00712451" w:rsidRPr="00C145F4" w:rsidRDefault="00712451" w:rsidP="00712451">
            <w:pPr>
              <w:rPr>
                <w:sz w:val="22"/>
                <w:szCs w:val="22"/>
              </w:rPr>
            </w:pPr>
            <w:r>
              <w:rPr>
                <w:sz w:val="22"/>
                <w:szCs w:val="22"/>
              </w:rPr>
              <w:t>Mathias Bengtsson</w:t>
            </w:r>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3A3DAAA3" w14:textId="77777777"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6AC7F2CC"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BA762C" w14:textId="52BA152F"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7354256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C2C85" w14:textId="14D07321"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7FB4E26C"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5F5007"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8E140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A42C10"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E3B2685"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41ABD0"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6908D4"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8484A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E2F4FC"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0829A4A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CFADFFE" w14:textId="77777777" w:rsidR="00712451" w:rsidRPr="00C145F4" w:rsidRDefault="00712451" w:rsidP="00712451">
            <w:pPr>
              <w:rPr>
                <w:sz w:val="22"/>
                <w:szCs w:val="22"/>
              </w:rPr>
            </w:pPr>
            <w:proofErr w:type="spellStart"/>
            <w:r w:rsidRPr="00C145F4">
              <w:rPr>
                <w:sz w:val="22"/>
                <w:szCs w:val="22"/>
              </w:rPr>
              <w:t>Muharrem</w:t>
            </w:r>
            <w:proofErr w:type="spellEnd"/>
            <w:r w:rsidRPr="00C145F4">
              <w:rPr>
                <w:sz w:val="22"/>
                <w:szCs w:val="22"/>
              </w:rPr>
              <w:t xml:space="preserve"> </w:t>
            </w:r>
            <w:proofErr w:type="spellStart"/>
            <w:r w:rsidRPr="00C145F4">
              <w:rPr>
                <w:sz w:val="22"/>
                <w:szCs w:val="22"/>
              </w:rPr>
              <w:t>Demirok</w:t>
            </w:r>
            <w:proofErr w:type="spellEnd"/>
            <w:r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3F701ECA" w14:textId="77777777"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4B5A0D9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C91EE5" w14:textId="47CB94C0"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36B30F6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61F46D" w14:textId="1BDD7888"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5EEABA8F"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3EC4B"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8CEC1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4AD98B"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6888E80"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F98A5"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1FCB1B"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BFAA7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FC7BE5"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192382F1"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09F92A9" w14:textId="77777777" w:rsidR="00712451" w:rsidRPr="00C145F4" w:rsidRDefault="00712451" w:rsidP="00712451">
            <w:pPr>
              <w:rPr>
                <w:sz w:val="22"/>
                <w:szCs w:val="22"/>
              </w:rPr>
            </w:pPr>
            <w:r w:rsidRPr="00C145F4">
              <w:rPr>
                <w:sz w:val="22"/>
                <w:szCs w:val="22"/>
              </w:rPr>
              <w:t xml:space="preserve">Anders </w:t>
            </w:r>
            <w:proofErr w:type="spellStart"/>
            <w:r w:rsidRPr="00C145F4">
              <w:rPr>
                <w:sz w:val="22"/>
                <w:szCs w:val="22"/>
              </w:rPr>
              <w:t>Alftberg</w:t>
            </w:r>
            <w:proofErr w:type="spellEnd"/>
            <w:r w:rsidRPr="00C145F4">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44CA2301" w14:textId="77777777"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19ADAD64"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E18881" w14:textId="68165A12"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053E9907"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81650E" w14:textId="1A65AE15"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780E96CF"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BC8366"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09D82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B6A39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AAFAEA8"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C16BB"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90EA83"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81709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CA2CBF"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41AC3CF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2630C14" w14:textId="77777777" w:rsidR="00712451" w:rsidRPr="00C145F4" w:rsidRDefault="00712451" w:rsidP="00712451">
            <w:pPr>
              <w:rPr>
                <w:sz w:val="22"/>
                <w:szCs w:val="22"/>
              </w:rPr>
            </w:pPr>
            <w:r w:rsidRPr="00C145F4">
              <w:rPr>
                <w:sz w:val="22"/>
                <w:szCs w:val="22"/>
              </w:rPr>
              <w:t>Camilla Hansén (MP)</w:t>
            </w:r>
          </w:p>
        </w:tc>
        <w:tc>
          <w:tcPr>
            <w:tcW w:w="356" w:type="dxa"/>
            <w:gridSpan w:val="2"/>
            <w:tcBorders>
              <w:top w:val="single" w:sz="6" w:space="0" w:color="auto"/>
              <w:left w:val="single" w:sz="6" w:space="0" w:color="auto"/>
              <w:bottom w:val="single" w:sz="6" w:space="0" w:color="auto"/>
              <w:right w:val="single" w:sz="6" w:space="0" w:color="auto"/>
            </w:tcBorders>
          </w:tcPr>
          <w:p w14:paraId="2CD31B68" w14:textId="77777777"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39CF2AD8"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AB6494" w14:textId="3C8A59F4"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593E5FE0"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F0F39C" w14:textId="49D429B4" w:rsidR="00712451" w:rsidRDefault="00712451" w:rsidP="00712451">
            <w:r>
              <w:t>X</w:t>
            </w:r>
          </w:p>
        </w:tc>
        <w:tc>
          <w:tcPr>
            <w:tcW w:w="356" w:type="dxa"/>
            <w:tcBorders>
              <w:top w:val="single" w:sz="6" w:space="0" w:color="auto"/>
              <w:left w:val="single" w:sz="6" w:space="0" w:color="auto"/>
              <w:bottom w:val="single" w:sz="6" w:space="0" w:color="auto"/>
              <w:right w:val="single" w:sz="6" w:space="0" w:color="auto"/>
            </w:tcBorders>
          </w:tcPr>
          <w:p w14:paraId="5EBE7C57"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B4F92F"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C86946"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7B7D2C"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07DB331"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5006B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1F536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CE9E75"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A1CFC4"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33199FC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7AC84E3"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p>
          <w:p w14:paraId="0072BD2E" w14:textId="77777777" w:rsidR="00712451" w:rsidRPr="003D41A2"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gridSpan w:val="2"/>
            <w:tcBorders>
              <w:top w:val="single" w:sz="6" w:space="0" w:color="auto"/>
              <w:left w:val="single" w:sz="6" w:space="0" w:color="auto"/>
              <w:bottom w:val="single" w:sz="6" w:space="0" w:color="auto"/>
              <w:right w:val="single" w:sz="6" w:space="0" w:color="auto"/>
            </w:tcBorders>
          </w:tcPr>
          <w:p w14:paraId="4CD0307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E09CF3"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F1F968"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F9F08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8D84E0"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2F3554"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1DBAF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99BCA5"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E6BA8B"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F8F2D9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D5553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3425B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985AA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DAFC9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14EBE72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9134445" w14:textId="77777777" w:rsidR="00712451" w:rsidRPr="00C145F4" w:rsidRDefault="00712451" w:rsidP="00712451">
            <w:pPr>
              <w:rPr>
                <w:sz w:val="22"/>
                <w:szCs w:val="22"/>
              </w:rPr>
            </w:pPr>
            <w:r w:rsidRPr="00C145F4">
              <w:rPr>
                <w:sz w:val="22"/>
                <w:szCs w:val="22"/>
              </w:rPr>
              <w:t xml:space="preserve">Victoria </w:t>
            </w:r>
            <w:proofErr w:type="spellStart"/>
            <w:r w:rsidRPr="00C145F4">
              <w:rPr>
                <w:sz w:val="22"/>
                <w:szCs w:val="22"/>
              </w:rPr>
              <w:t>Tiblom</w:t>
            </w:r>
            <w:proofErr w:type="spellEnd"/>
            <w:r w:rsidRPr="00C145F4">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732F06FF"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2C4F4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E9831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57341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773B2B"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259333"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8CD64F"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0652D0"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A3E5A8"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FAE2DA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1B4946"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D6CCD5"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7CEF6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F83A9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rsidRPr="009E1FCA" w14:paraId="1B6D289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910982B" w14:textId="77777777" w:rsidR="00712451" w:rsidRPr="00C145F4" w:rsidRDefault="00712451" w:rsidP="00712451">
            <w:pPr>
              <w:rPr>
                <w:sz w:val="22"/>
                <w:szCs w:val="22"/>
              </w:rPr>
            </w:pPr>
            <w:r w:rsidRPr="00C145F4">
              <w:rPr>
                <w:sz w:val="22"/>
                <w:szCs w:val="22"/>
              </w:rPr>
              <w:t>Rose-Marie Carlsson (S)</w:t>
            </w:r>
          </w:p>
        </w:tc>
        <w:tc>
          <w:tcPr>
            <w:tcW w:w="356" w:type="dxa"/>
            <w:gridSpan w:val="2"/>
            <w:tcBorders>
              <w:top w:val="single" w:sz="6" w:space="0" w:color="auto"/>
              <w:left w:val="single" w:sz="6" w:space="0" w:color="auto"/>
              <w:bottom w:val="single" w:sz="6" w:space="0" w:color="auto"/>
              <w:right w:val="single" w:sz="6" w:space="0" w:color="auto"/>
            </w:tcBorders>
          </w:tcPr>
          <w:p w14:paraId="4CAA75E6" w14:textId="35A9411F"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279CEF2"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6050450" w14:textId="22A9B152"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9834835"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C75D63E" w14:textId="6B50C291"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FA9032F"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1EBE2D1"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1691D01"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88A883B"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991A40"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D90C26B"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7F736B"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57B7C9A"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D680AA4"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712451" w:rsidRPr="009E1FCA" w14:paraId="60E4B5E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5BB222A" w14:textId="77777777" w:rsidR="00712451" w:rsidRPr="00C145F4" w:rsidRDefault="00712451" w:rsidP="00712451">
            <w:pPr>
              <w:rPr>
                <w:sz w:val="22"/>
                <w:szCs w:val="22"/>
              </w:rPr>
            </w:pPr>
            <w:r>
              <w:rPr>
                <w:sz w:val="22"/>
                <w:szCs w:val="22"/>
              </w:rPr>
              <w:t>Oliver Rosengren (M)</w:t>
            </w:r>
          </w:p>
        </w:tc>
        <w:tc>
          <w:tcPr>
            <w:tcW w:w="356" w:type="dxa"/>
            <w:gridSpan w:val="2"/>
            <w:tcBorders>
              <w:top w:val="single" w:sz="6" w:space="0" w:color="auto"/>
              <w:left w:val="single" w:sz="6" w:space="0" w:color="auto"/>
              <w:bottom w:val="single" w:sz="6" w:space="0" w:color="auto"/>
              <w:right w:val="single" w:sz="6" w:space="0" w:color="auto"/>
            </w:tcBorders>
          </w:tcPr>
          <w:p w14:paraId="371A8205" w14:textId="3934039A"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EFACEB7"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D8EE3D" w14:textId="6223DF33"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0B387700"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039F081" w14:textId="3154D6E2"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9CC2C81"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8D407B6"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938A976"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DC9CD43"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1D4626D"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BD0B654"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EFA056"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3E6EBC4"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CEFA6F5"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712451" w:rsidRPr="009E1FCA" w14:paraId="1A67CE4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1245CC1" w14:textId="77777777" w:rsidR="00712451" w:rsidRPr="00C145F4" w:rsidRDefault="00712451" w:rsidP="00712451">
            <w:pPr>
              <w:rPr>
                <w:sz w:val="22"/>
                <w:szCs w:val="22"/>
              </w:rPr>
            </w:pPr>
            <w:r w:rsidRPr="00C145F4">
              <w:rPr>
                <w:sz w:val="22"/>
                <w:szCs w:val="22"/>
              </w:rPr>
              <w:t>Niklas Sigvardsson (S)</w:t>
            </w:r>
          </w:p>
        </w:tc>
        <w:tc>
          <w:tcPr>
            <w:tcW w:w="356" w:type="dxa"/>
            <w:gridSpan w:val="2"/>
            <w:tcBorders>
              <w:top w:val="single" w:sz="6" w:space="0" w:color="auto"/>
              <w:left w:val="single" w:sz="6" w:space="0" w:color="auto"/>
              <w:bottom w:val="single" w:sz="6" w:space="0" w:color="auto"/>
              <w:right w:val="single" w:sz="6" w:space="0" w:color="auto"/>
            </w:tcBorders>
          </w:tcPr>
          <w:p w14:paraId="2B07242B"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4C03471C"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4CBCD92" w14:textId="3942861D"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099A300F"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B327701" w14:textId="3D32D71C"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5A0C4D1C"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4F70CCE"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4B30850"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352B7DB"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76441C0"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C3B1986"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24EFB0E"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B020599"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79DC3A8" w14:textId="77777777" w:rsidR="00712451" w:rsidRPr="009E1FCA"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712451" w:rsidRPr="00402D5D" w14:paraId="06CDA5E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B61A096" w14:textId="77777777" w:rsidR="00712451" w:rsidRPr="00C145F4" w:rsidRDefault="00712451" w:rsidP="00712451">
            <w:pPr>
              <w:rPr>
                <w:sz w:val="22"/>
                <w:szCs w:val="22"/>
              </w:rPr>
            </w:pPr>
            <w:r w:rsidRPr="00C145F4">
              <w:rPr>
                <w:sz w:val="22"/>
                <w:szCs w:val="22"/>
              </w:rPr>
              <w:t>Lars Andersson (SD)</w:t>
            </w:r>
          </w:p>
        </w:tc>
        <w:tc>
          <w:tcPr>
            <w:tcW w:w="356" w:type="dxa"/>
            <w:gridSpan w:val="2"/>
            <w:tcBorders>
              <w:top w:val="single" w:sz="6" w:space="0" w:color="auto"/>
              <w:left w:val="single" w:sz="6" w:space="0" w:color="auto"/>
              <w:bottom w:val="single" w:sz="6" w:space="0" w:color="auto"/>
              <w:right w:val="single" w:sz="6" w:space="0" w:color="auto"/>
            </w:tcBorders>
          </w:tcPr>
          <w:p w14:paraId="0B5A5AB6" w14:textId="77777777" w:rsidR="00712451" w:rsidRPr="00402D5D"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4569EC8" w14:textId="77777777" w:rsidR="00712451" w:rsidRPr="00402D5D"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A162E02" w14:textId="77777777" w:rsidR="00712451" w:rsidRPr="00402D5D"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FEFC3EA" w14:textId="77777777" w:rsidR="00712451" w:rsidRPr="00402D5D"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C3BC2E6" w14:textId="77777777" w:rsidR="00712451" w:rsidRPr="00402D5D"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B0B1B2" w14:textId="77777777" w:rsidR="00712451" w:rsidRPr="00402D5D"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9DBFBA" w14:textId="77777777" w:rsidR="00712451" w:rsidRPr="00402D5D"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2D0EFAE" w14:textId="77777777" w:rsidR="00712451" w:rsidRPr="00402D5D"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487A707" w14:textId="77777777" w:rsidR="00712451" w:rsidRPr="00402D5D"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31F6F97" w14:textId="77777777" w:rsidR="00712451" w:rsidRPr="00402D5D"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08C899" w14:textId="77777777" w:rsidR="00712451" w:rsidRPr="00402D5D"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4048021" w14:textId="77777777" w:rsidR="00712451" w:rsidRPr="00402D5D"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BB45712" w14:textId="77777777" w:rsidR="00712451" w:rsidRPr="00402D5D"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07D0249" w14:textId="77777777" w:rsidR="00712451" w:rsidRPr="00402D5D"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712451" w:rsidRPr="00402D5D" w14:paraId="29E6F60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A63553C" w14:textId="77777777" w:rsidR="00712451" w:rsidRPr="00C145F4" w:rsidRDefault="00712451" w:rsidP="00712451">
            <w:pPr>
              <w:rPr>
                <w:sz w:val="22"/>
                <w:szCs w:val="22"/>
              </w:rPr>
            </w:pPr>
            <w:r w:rsidRPr="00C145F4">
              <w:rPr>
                <w:sz w:val="22"/>
                <w:szCs w:val="22"/>
              </w:rPr>
              <w:t>Azadeh Rojhan (S)</w:t>
            </w:r>
          </w:p>
        </w:tc>
        <w:tc>
          <w:tcPr>
            <w:tcW w:w="356" w:type="dxa"/>
            <w:gridSpan w:val="2"/>
            <w:tcBorders>
              <w:top w:val="single" w:sz="6" w:space="0" w:color="auto"/>
              <w:left w:val="single" w:sz="6" w:space="0" w:color="auto"/>
              <w:bottom w:val="single" w:sz="6" w:space="0" w:color="auto"/>
              <w:right w:val="single" w:sz="6" w:space="0" w:color="auto"/>
            </w:tcBorders>
          </w:tcPr>
          <w:p w14:paraId="6FC993FE" w14:textId="77777777" w:rsidR="00712451" w:rsidRPr="00402D5D"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33F7621" w14:textId="77777777" w:rsidR="00712451" w:rsidRPr="00402D5D"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4A39765" w14:textId="77777777" w:rsidR="00712451" w:rsidRPr="00402D5D"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2F3DB81" w14:textId="77777777" w:rsidR="00712451" w:rsidRPr="00402D5D"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038A73A" w14:textId="77777777" w:rsidR="00712451" w:rsidRPr="00402D5D"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8741ADD" w14:textId="77777777" w:rsidR="00712451" w:rsidRPr="00402D5D"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9374C01" w14:textId="77777777" w:rsidR="00712451" w:rsidRPr="00402D5D"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6BA1A8" w14:textId="77777777" w:rsidR="00712451" w:rsidRPr="00402D5D"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125672C" w14:textId="77777777" w:rsidR="00712451" w:rsidRPr="00402D5D"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2F3E538" w14:textId="77777777" w:rsidR="00712451" w:rsidRPr="00402D5D"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1AD4DD8" w14:textId="77777777" w:rsidR="00712451" w:rsidRPr="00402D5D"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090094B" w14:textId="77777777" w:rsidR="00712451" w:rsidRPr="00402D5D"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0C17A6F" w14:textId="77777777" w:rsidR="00712451" w:rsidRPr="00402D5D"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82CC5D" w14:textId="77777777" w:rsidR="00712451" w:rsidRPr="00402D5D"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712451" w14:paraId="6BA448D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C7980A0" w14:textId="77777777" w:rsidR="00712451" w:rsidRPr="00C145F4" w:rsidRDefault="00712451" w:rsidP="00712451">
            <w:pPr>
              <w:rPr>
                <w:sz w:val="22"/>
                <w:szCs w:val="22"/>
              </w:rPr>
            </w:pPr>
            <w:r w:rsidRPr="00C145F4">
              <w:rPr>
                <w:sz w:val="22"/>
                <w:szCs w:val="22"/>
              </w:rPr>
              <w:t>Kalle Olsson (S)</w:t>
            </w:r>
          </w:p>
        </w:tc>
        <w:tc>
          <w:tcPr>
            <w:tcW w:w="356" w:type="dxa"/>
            <w:gridSpan w:val="2"/>
            <w:tcBorders>
              <w:top w:val="single" w:sz="6" w:space="0" w:color="auto"/>
              <w:left w:val="single" w:sz="6" w:space="0" w:color="auto"/>
              <w:bottom w:val="single" w:sz="6" w:space="0" w:color="auto"/>
              <w:right w:val="single" w:sz="6" w:space="0" w:color="auto"/>
            </w:tcBorders>
          </w:tcPr>
          <w:p w14:paraId="7C484D4B"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CA27E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6A049C"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3FD55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E7A658"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E56BF7"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6BAF15"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2895F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EF131"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A4795F3"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50917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E9B515"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D4D693"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38871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18E7745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88B29C3" w14:textId="77777777" w:rsidR="00712451" w:rsidRPr="00C145F4" w:rsidRDefault="00712451" w:rsidP="00712451">
            <w:pPr>
              <w:rPr>
                <w:sz w:val="22"/>
                <w:szCs w:val="22"/>
              </w:rPr>
            </w:pPr>
            <w:r w:rsidRPr="00C145F4">
              <w:rPr>
                <w:sz w:val="22"/>
                <w:szCs w:val="22"/>
              </w:rPr>
              <w:t>Lars Wistedt (SD)</w:t>
            </w:r>
          </w:p>
        </w:tc>
        <w:tc>
          <w:tcPr>
            <w:tcW w:w="356" w:type="dxa"/>
            <w:gridSpan w:val="2"/>
            <w:tcBorders>
              <w:top w:val="single" w:sz="6" w:space="0" w:color="auto"/>
              <w:left w:val="single" w:sz="6" w:space="0" w:color="auto"/>
              <w:bottom w:val="single" w:sz="6" w:space="0" w:color="auto"/>
              <w:right w:val="single" w:sz="6" w:space="0" w:color="auto"/>
            </w:tcBorders>
          </w:tcPr>
          <w:p w14:paraId="2DCDE69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143D5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832B6B"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2593C6"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A2B5A0"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E726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188086"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076A5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882D2B"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6398F5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3DE8F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1E5B57"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A2E0C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956F9B"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2D33FD1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266D7CB" w14:textId="77777777" w:rsidR="00712451" w:rsidRPr="00C145F4" w:rsidRDefault="00712451" w:rsidP="00712451">
            <w:pPr>
              <w:rPr>
                <w:sz w:val="22"/>
                <w:szCs w:val="22"/>
              </w:rPr>
            </w:pPr>
            <w:r w:rsidRPr="00C145F4">
              <w:rPr>
                <w:sz w:val="22"/>
                <w:szCs w:val="22"/>
              </w:rPr>
              <w:t>Anna Wallentheim (S)</w:t>
            </w:r>
          </w:p>
        </w:tc>
        <w:tc>
          <w:tcPr>
            <w:tcW w:w="356" w:type="dxa"/>
            <w:gridSpan w:val="2"/>
            <w:tcBorders>
              <w:top w:val="single" w:sz="6" w:space="0" w:color="auto"/>
              <w:left w:val="single" w:sz="6" w:space="0" w:color="auto"/>
              <w:bottom w:val="single" w:sz="6" w:space="0" w:color="auto"/>
              <w:right w:val="single" w:sz="6" w:space="0" w:color="auto"/>
            </w:tcBorders>
          </w:tcPr>
          <w:p w14:paraId="3E714456"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577CE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6046DF"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8BAA6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14557C"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202E7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A382D1"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DE61D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5D7410"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73A71B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2A3707"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8DD970"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DB8BFB"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96046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34D022F1"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E817077" w14:textId="77777777" w:rsidR="00712451" w:rsidRPr="00C145F4" w:rsidRDefault="00712451" w:rsidP="00712451">
            <w:pPr>
              <w:rPr>
                <w:sz w:val="22"/>
                <w:szCs w:val="22"/>
              </w:rPr>
            </w:pPr>
            <w:r w:rsidRPr="00C145F4">
              <w:rPr>
                <w:sz w:val="22"/>
                <w:szCs w:val="22"/>
              </w:rPr>
              <w:t>Johan Hultberg (M)</w:t>
            </w:r>
          </w:p>
        </w:tc>
        <w:tc>
          <w:tcPr>
            <w:tcW w:w="356" w:type="dxa"/>
            <w:gridSpan w:val="2"/>
            <w:tcBorders>
              <w:top w:val="single" w:sz="6" w:space="0" w:color="auto"/>
              <w:left w:val="single" w:sz="6" w:space="0" w:color="auto"/>
              <w:bottom w:val="single" w:sz="6" w:space="0" w:color="auto"/>
              <w:right w:val="single" w:sz="6" w:space="0" w:color="auto"/>
            </w:tcBorders>
          </w:tcPr>
          <w:p w14:paraId="06C44A8B"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6C6AA6"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4425F7"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714F66"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FFA74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C1944F"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6346A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9B72F4"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95CA25"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8789635"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271B8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583E06"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502B31"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5EDC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5C33D4B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FD9591C" w14:textId="77777777" w:rsidR="00712451" w:rsidRPr="00C145F4" w:rsidRDefault="00712451" w:rsidP="00712451">
            <w:pPr>
              <w:rPr>
                <w:sz w:val="22"/>
                <w:szCs w:val="22"/>
              </w:rPr>
            </w:pPr>
            <w:r w:rsidRPr="00C145F4">
              <w:rPr>
                <w:sz w:val="22"/>
                <w:szCs w:val="22"/>
              </w:rPr>
              <w:t>Samuel Gonzalez Westling (V)</w:t>
            </w:r>
          </w:p>
        </w:tc>
        <w:tc>
          <w:tcPr>
            <w:tcW w:w="356" w:type="dxa"/>
            <w:gridSpan w:val="2"/>
            <w:tcBorders>
              <w:top w:val="single" w:sz="6" w:space="0" w:color="auto"/>
              <w:left w:val="single" w:sz="6" w:space="0" w:color="auto"/>
              <w:bottom w:val="single" w:sz="6" w:space="0" w:color="auto"/>
              <w:right w:val="single" w:sz="6" w:space="0" w:color="auto"/>
            </w:tcBorders>
          </w:tcPr>
          <w:p w14:paraId="403C4DAE" w14:textId="55F28D0A"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7CE320"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223771"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B5A45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6EA9F3"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7A8AEB"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3049B0"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87C97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49B778"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A10687C"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853A7C"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216DEF"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8316D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10AFC4"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20B0AC30" w14:textId="77777777" w:rsidTr="007A14AA">
        <w:trPr>
          <w:trHeight w:val="50"/>
        </w:trPr>
        <w:tc>
          <w:tcPr>
            <w:tcW w:w="3659" w:type="dxa"/>
            <w:gridSpan w:val="2"/>
            <w:tcBorders>
              <w:top w:val="single" w:sz="6" w:space="0" w:color="auto"/>
              <w:left w:val="single" w:sz="6" w:space="0" w:color="auto"/>
              <w:bottom w:val="single" w:sz="6" w:space="0" w:color="auto"/>
              <w:right w:val="single" w:sz="6" w:space="0" w:color="auto"/>
            </w:tcBorders>
          </w:tcPr>
          <w:p w14:paraId="4B7504AA" w14:textId="57876EB4" w:rsidR="00712451" w:rsidRPr="00C145F4" w:rsidRDefault="00712451" w:rsidP="00712451">
            <w:pPr>
              <w:rPr>
                <w:sz w:val="22"/>
                <w:szCs w:val="22"/>
              </w:rPr>
            </w:pPr>
            <w:r>
              <w:rPr>
                <w:sz w:val="22"/>
                <w:szCs w:val="22"/>
              </w:rPr>
              <w:t xml:space="preserve">Dan </w:t>
            </w:r>
            <w:proofErr w:type="spellStart"/>
            <w:r>
              <w:rPr>
                <w:sz w:val="22"/>
                <w:szCs w:val="22"/>
              </w:rPr>
              <w:t>Hovskär</w:t>
            </w:r>
            <w:proofErr w:type="spellEnd"/>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6340DBD3" w14:textId="1B7AED69"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3E2756"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77E77B"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F84057"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C8F73C"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C1AA64"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B27FE3"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E12531"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5CC136"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46D0A8F"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3AF6E7"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1EC56C"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88A158"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A2700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357085A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4CA79A4" w14:textId="77777777" w:rsidR="00712451" w:rsidRPr="00C145F4" w:rsidRDefault="00712451" w:rsidP="00712451">
            <w:pPr>
              <w:rPr>
                <w:sz w:val="22"/>
                <w:szCs w:val="22"/>
              </w:rPr>
            </w:pPr>
            <w:r w:rsidRPr="00C145F4">
              <w:rPr>
                <w:sz w:val="22"/>
                <w:szCs w:val="22"/>
              </w:rPr>
              <w:t>Anders Ådahl (C)</w:t>
            </w:r>
          </w:p>
        </w:tc>
        <w:tc>
          <w:tcPr>
            <w:tcW w:w="356" w:type="dxa"/>
            <w:gridSpan w:val="2"/>
            <w:tcBorders>
              <w:top w:val="single" w:sz="6" w:space="0" w:color="auto"/>
              <w:left w:val="single" w:sz="6" w:space="0" w:color="auto"/>
              <w:bottom w:val="single" w:sz="6" w:space="0" w:color="auto"/>
              <w:right w:val="single" w:sz="6" w:space="0" w:color="auto"/>
            </w:tcBorders>
          </w:tcPr>
          <w:p w14:paraId="56A95800"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39A1E685"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155316" w14:textId="481FDAAE"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3421338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C1C4C2" w14:textId="627328BC"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3CA6521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A73F4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3440B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A495B6"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A10350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CFBD3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9BA9B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C9F804"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3C9017"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7F2D445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8C3C2C4" w14:textId="77777777" w:rsidR="00712451" w:rsidRPr="00C145F4" w:rsidRDefault="00712451" w:rsidP="00712451">
            <w:pPr>
              <w:rPr>
                <w:sz w:val="22"/>
                <w:szCs w:val="22"/>
              </w:rPr>
            </w:pPr>
            <w:r w:rsidRPr="00C145F4">
              <w:rPr>
                <w:sz w:val="22"/>
                <w:szCs w:val="22"/>
              </w:rPr>
              <w:t>Robert Hannah (L)</w:t>
            </w:r>
          </w:p>
        </w:tc>
        <w:tc>
          <w:tcPr>
            <w:tcW w:w="356" w:type="dxa"/>
            <w:gridSpan w:val="2"/>
            <w:tcBorders>
              <w:top w:val="single" w:sz="6" w:space="0" w:color="auto"/>
              <w:left w:val="single" w:sz="6" w:space="0" w:color="auto"/>
              <w:bottom w:val="single" w:sz="6" w:space="0" w:color="auto"/>
              <w:right w:val="single" w:sz="6" w:space="0" w:color="auto"/>
            </w:tcBorders>
          </w:tcPr>
          <w:p w14:paraId="4913990B"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E30B8C"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3EB774"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09C74"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4EFAA3"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F219A7"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EFEB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0EDDF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72A80"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0D62014"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998638"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BEDBD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04F4F1"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35849C"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54B553C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6A2A3C8" w14:textId="77777777" w:rsidR="00712451" w:rsidRPr="00C145F4" w:rsidRDefault="00712451" w:rsidP="00712451">
            <w:pPr>
              <w:rPr>
                <w:sz w:val="22"/>
                <w:szCs w:val="22"/>
              </w:rPr>
            </w:pPr>
            <w:r w:rsidRPr="00C145F4">
              <w:rPr>
                <w:sz w:val="22"/>
                <w:szCs w:val="22"/>
              </w:rPr>
              <w:t>Jan Riise (MP)</w:t>
            </w:r>
          </w:p>
        </w:tc>
        <w:tc>
          <w:tcPr>
            <w:tcW w:w="356" w:type="dxa"/>
            <w:gridSpan w:val="2"/>
            <w:tcBorders>
              <w:top w:val="single" w:sz="6" w:space="0" w:color="auto"/>
              <w:left w:val="single" w:sz="6" w:space="0" w:color="auto"/>
              <w:bottom w:val="single" w:sz="6" w:space="0" w:color="auto"/>
              <w:right w:val="single" w:sz="6" w:space="0" w:color="auto"/>
            </w:tcBorders>
          </w:tcPr>
          <w:p w14:paraId="2871E6BB"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AD5AD1"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81D751"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2E4500"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19CD2B"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E0BEF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0BDDFB"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4FB980"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8C631B"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3C2C318"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C36A14"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C94C9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8B4593"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F8C54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4A0F8B9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B5C5728" w14:textId="77777777" w:rsidR="00712451" w:rsidRPr="00C145F4" w:rsidRDefault="00712451" w:rsidP="00712451">
            <w:pPr>
              <w:rPr>
                <w:sz w:val="22"/>
                <w:szCs w:val="22"/>
              </w:rPr>
            </w:pPr>
            <w:r w:rsidRPr="00C145F4">
              <w:rPr>
                <w:sz w:val="22"/>
                <w:szCs w:val="22"/>
              </w:rPr>
              <w:t>Peter Ollén (M)</w:t>
            </w:r>
          </w:p>
        </w:tc>
        <w:tc>
          <w:tcPr>
            <w:tcW w:w="356" w:type="dxa"/>
            <w:gridSpan w:val="2"/>
            <w:tcBorders>
              <w:top w:val="single" w:sz="6" w:space="0" w:color="auto"/>
              <w:left w:val="single" w:sz="6" w:space="0" w:color="auto"/>
              <w:bottom w:val="single" w:sz="6" w:space="0" w:color="auto"/>
              <w:right w:val="single" w:sz="6" w:space="0" w:color="auto"/>
            </w:tcBorders>
          </w:tcPr>
          <w:p w14:paraId="30886D27"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D03FE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30F08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88B3C6"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5A460"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5FAA80"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1CD01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689353"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E87FC3"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E7A46E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F4824"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7F4B58"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7A46A4"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F4A29F"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7D1B052D" w14:textId="77777777" w:rsidTr="007A14AA">
        <w:tc>
          <w:tcPr>
            <w:tcW w:w="3659" w:type="dxa"/>
            <w:gridSpan w:val="2"/>
            <w:tcBorders>
              <w:top w:val="single" w:sz="6" w:space="0" w:color="auto"/>
              <w:left w:val="single" w:sz="6" w:space="0" w:color="auto"/>
              <w:bottom w:val="single" w:sz="4" w:space="0" w:color="auto"/>
              <w:right w:val="single" w:sz="6" w:space="0" w:color="auto"/>
            </w:tcBorders>
          </w:tcPr>
          <w:p w14:paraId="516A49C3" w14:textId="77777777" w:rsidR="00712451" w:rsidRPr="00C145F4" w:rsidRDefault="00712451" w:rsidP="00712451">
            <w:pPr>
              <w:rPr>
                <w:sz w:val="22"/>
                <w:szCs w:val="22"/>
              </w:rPr>
            </w:pPr>
            <w:r>
              <w:rPr>
                <w:sz w:val="22"/>
                <w:szCs w:val="22"/>
              </w:rPr>
              <w:t xml:space="preserve">Mats </w:t>
            </w:r>
            <w:proofErr w:type="spellStart"/>
            <w:r>
              <w:rPr>
                <w:sz w:val="22"/>
                <w:szCs w:val="22"/>
              </w:rPr>
              <w:t>Arkhem</w:t>
            </w:r>
            <w:proofErr w:type="spellEnd"/>
            <w:r>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759CA2F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25CC5C"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1D900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2C507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18985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99F02B"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9F66E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3C92F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DF447B"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C52FD5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CE10E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6C4CE3"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CE4C7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57A328"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6204E943" w14:textId="77777777" w:rsidTr="007A14AA">
        <w:tc>
          <w:tcPr>
            <w:tcW w:w="3659" w:type="dxa"/>
            <w:gridSpan w:val="2"/>
            <w:tcBorders>
              <w:top w:val="single" w:sz="4" w:space="0" w:color="auto"/>
              <w:left w:val="single" w:sz="6" w:space="0" w:color="auto"/>
              <w:bottom w:val="single" w:sz="6" w:space="0" w:color="auto"/>
              <w:right w:val="single" w:sz="6" w:space="0" w:color="auto"/>
            </w:tcBorders>
          </w:tcPr>
          <w:p w14:paraId="10A292C6" w14:textId="77777777" w:rsidR="00712451" w:rsidRPr="00C145F4" w:rsidRDefault="00712451" w:rsidP="00712451">
            <w:pPr>
              <w:rPr>
                <w:sz w:val="22"/>
                <w:szCs w:val="22"/>
              </w:rPr>
            </w:pPr>
            <w:r>
              <w:rPr>
                <w:sz w:val="22"/>
                <w:szCs w:val="22"/>
              </w:rPr>
              <w:t xml:space="preserve">Sara-Lena </w:t>
            </w:r>
            <w:proofErr w:type="spellStart"/>
            <w:r>
              <w:rPr>
                <w:sz w:val="22"/>
                <w:szCs w:val="22"/>
              </w:rPr>
              <w:t>Bjälkö</w:t>
            </w:r>
            <w:proofErr w:type="spellEnd"/>
            <w:r>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47E5807C"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7EE49F"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157DDC"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8A0916"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8B524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DF74F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973F16"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5C058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4D2AB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96D89E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5106D7"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80335C"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3F0E51"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14EE3F"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7AA3439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1758B46" w14:textId="77777777" w:rsidR="00712451" w:rsidRPr="00C145F4" w:rsidRDefault="00712451" w:rsidP="00712451">
            <w:pPr>
              <w:rPr>
                <w:sz w:val="22"/>
                <w:szCs w:val="22"/>
              </w:rPr>
            </w:pPr>
            <w:r w:rsidRPr="00E83E1F">
              <w:rPr>
                <w:sz w:val="22"/>
                <w:szCs w:val="22"/>
              </w:rPr>
              <w:t>Ciczie Weidby (V)</w:t>
            </w:r>
          </w:p>
        </w:tc>
        <w:tc>
          <w:tcPr>
            <w:tcW w:w="356" w:type="dxa"/>
            <w:gridSpan w:val="2"/>
            <w:tcBorders>
              <w:top w:val="single" w:sz="6" w:space="0" w:color="auto"/>
              <w:left w:val="single" w:sz="6" w:space="0" w:color="auto"/>
              <w:bottom w:val="single" w:sz="6" w:space="0" w:color="auto"/>
              <w:right w:val="single" w:sz="6" w:space="0" w:color="auto"/>
            </w:tcBorders>
          </w:tcPr>
          <w:p w14:paraId="456CF7C3"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69CD15"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ED5EE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5F315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F5BCD7"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5A47D8"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82E4B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8DF423"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BB58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BCF316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A78CA5"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CB6750"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474BF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393B43"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2149A271"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464F848" w14:textId="77777777" w:rsidR="00712451" w:rsidRPr="00C145F4" w:rsidRDefault="00712451" w:rsidP="00712451">
            <w:pPr>
              <w:rPr>
                <w:sz w:val="22"/>
                <w:szCs w:val="22"/>
              </w:rPr>
            </w:pPr>
            <w:r>
              <w:rPr>
                <w:sz w:val="22"/>
                <w:szCs w:val="22"/>
              </w:rPr>
              <w:t>Niels Paarup-Petersen (C)</w:t>
            </w:r>
          </w:p>
        </w:tc>
        <w:tc>
          <w:tcPr>
            <w:tcW w:w="356" w:type="dxa"/>
            <w:gridSpan w:val="2"/>
            <w:tcBorders>
              <w:top w:val="single" w:sz="6" w:space="0" w:color="auto"/>
              <w:left w:val="single" w:sz="6" w:space="0" w:color="auto"/>
              <w:bottom w:val="single" w:sz="6" w:space="0" w:color="auto"/>
              <w:right w:val="single" w:sz="6" w:space="0" w:color="auto"/>
            </w:tcBorders>
          </w:tcPr>
          <w:p w14:paraId="1095C8E3"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486110"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C0904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6C0275"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A7165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1137FC"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9DAEB8"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44791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E68D05"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0BCE9F6"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68407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7E9EC6"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9E07F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A3859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34A5005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0E99627" w14:textId="77777777" w:rsidR="00712451" w:rsidRPr="00C145F4" w:rsidRDefault="00712451" w:rsidP="00712451">
            <w:pPr>
              <w:rPr>
                <w:sz w:val="22"/>
                <w:szCs w:val="22"/>
              </w:rPr>
            </w:pPr>
            <w:r w:rsidRPr="00E83E1F">
              <w:rPr>
                <w:sz w:val="22"/>
                <w:szCs w:val="22"/>
              </w:rPr>
              <w:t>Lili André (KD)</w:t>
            </w:r>
          </w:p>
        </w:tc>
        <w:tc>
          <w:tcPr>
            <w:tcW w:w="356" w:type="dxa"/>
            <w:gridSpan w:val="2"/>
            <w:tcBorders>
              <w:top w:val="single" w:sz="6" w:space="0" w:color="auto"/>
              <w:left w:val="single" w:sz="6" w:space="0" w:color="auto"/>
              <w:bottom w:val="single" w:sz="6" w:space="0" w:color="auto"/>
              <w:right w:val="single" w:sz="6" w:space="0" w:color="auto"/>
            </w:tcBorders>
          </w:tcPr>
          <w:p w14:paraId="3C322C7C"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E1747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3E4795"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4D024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5C83B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366A0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8EB1A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428ACB"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D364E4"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6D23BD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4DBB96"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222A3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BAF0E0"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B79A3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17C65BB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90AA57B" w14:textId="77777777" w:rsidR="00712451" w:rsidRPr="00C145F4" w:rsidRDefault="00712451" w:rsidP="00712451">
            <w:pPr>
              <w:rPr>
                <w:sz w:val="22"/>
                <w:szCs w:val="22"/>
              </w:rPr>
            </w:pPr>
            <w:r>
              <w:rPr>
                <w:sz w:val="22"/>
                <w:szCs w:val="22"/>
              </w:rPr>
              <w:t>Magnus Jacobsson (KD)</w:t>
            </w:r>
          </w:p>
        </w:tc>
        <w:tc>
          <w:tcPr>
            <w:tcW w:w="356" w:type="dxa"/>
            <w:gridSpan w:val="2"/>
            <w:tcBorders>
              <w:top w:val="single" w:sz="6" w:space="0" w:color="auto"/>
              <w:left w:val="single" w:sz="6" w:space="0" w:color="auto"/>
              <w:bottom w:val="single" w:sz="6" w:space="0" w:color="auto"/>
              <w:right w:val="single" w:sz="6" w:space="0" w:color="auto"/>
            </w:tcBorders>
          </w:tcPr>
          <w:p w14:paraId="687B290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E237C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3A524"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631E9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9A19EB"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E11EA4"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616FD0"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0B70A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EE8F30"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3F8055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F0EF4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197F57"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371E1F"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8B6C4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37B0472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FB8D5F1" w14:textId="77777777" w:rsidR="00712451" w:rsidRDefault="00712451" w:rsidP="00712451">
            <w:pPr>
              <w:rPr>
                <w:sz w:val="22"/>
                <w:szCs w:val="22"/>
              </w:rPr>
            </w:pPr>
            <w:r>
              <w:rPr>
                <w:sz w:val="22"/>
                <w:szCs w:val="22"/>
              </w:rPr>
              <w:t>Leila Ali Elmi (MP)</w:t>
            </w:r>
          </w:p>
        </w:tc>
        <w:tc>
          <w:tcPr>
            <w:tcW w:w="356" w:type="dxa"/>
            <w:gridSpan w:val="2"/>
            <w:tcBorders>
              <w:top w:val="single" w:sz="6" w:space="0" w:color="auto"/>
              <w:left w:val="single" w:sz="6" w:space="0" w:color="auto"/>
              <w:bottom w:val="single" w:sz="6" w:space="0" w:color="auto"/>
              <w:right w:val="single" w:sz="6" w:space="0" w:color="auto"/>
            </w:tcBorders>
          </w:tcPr>
          <w:p w14:paraId="60F45850"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ECE62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455D7F"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20C55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FDCF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0CF6A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6029DB"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329CB0"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B1D584"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1591107"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EF1ED8"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7F347C"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0D6817"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5F1B8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353D0DD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0A6DB6C" w14:textId="77777777" w:rsidR="00712451" w:rsidRDefault="00712451" w:rsidP="00712451">
            <w:pPr>
              <w:rPr>
                <w:sz w:val="22"/>
                <w:szCs w:val="22"/>
              </w:rPr>
            </w:pPr>
            <w:r>
              <w:rPr>
                <w:sz w:val="22"/>
                <w:szCs w:val="22"/>
              </w:rPr>
              <w:t>Amanda Lind (MP)</w:t>
            </w:r>
          </w:p>
        </w:tc>
        <w:tc>
          <w:tcPr>
            <w:tcW w:w="356" w:type="dxa"/>
            <w:gridSpan w:val="2"/>
            <w:tcBorders>
              <w:top w:val="single" w:sz="6" w:space="0" w:color="auto"/>
              <w:left w:val="single" w:sz="6" w:space="0" w:color="auto"/>
              <w:bottom w:val="single" w:sz="6" w:space="0" w:color="auto"/>
              <w:right w:val="single" w:sz="6" w:space="0" w:color="auto"/>
            </w:tcBorders>
          </w:tcPr>
          <w:p w14:paraId="1C3C6473"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65BA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5807A0"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296C61"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2F8441"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F1823C"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1E22B8"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26CE66"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C90BE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5DB5A04"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1919E8"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039393"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415461"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4EEF3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20420B7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248D5BD" w14:textId="77777777" w:rsidR="00712451" w:rsidRDefault="00712451" w:rsidP="00712451">
            <w:pPr>
              <w:rPr>
                <w:sz w:val="22"/>
                <w:szCs w:val="22"/>
              </w:rPr>
            </w:pPr>
            <w:r>
              <w:rPr>
                <w:sz w:val="22"/>
                <w:szCs w:val="22"/>
              </w:rPr>
              <w:lastRenderedPageBreak/>
              <w:t>Louise Eklund (L)</w:t>
            </w:r>
          </w:p>
        </w:tc>
        <w:tc>
          <w:tcPr>
            <w:tcW w:w="356" w:type="dxa"/>
            <w:gridSpan w:val="2"/>
            <w:tcBorders>
              <w:top w:val="single" w:sz="6" w:space="0" w:color="auto"/>
              <w:left w:val="single" w:sz="6" w:space="0" w:color="auto"/>
              <w:bottom w:val="single" w:sz="6" w:space="0" w:color="auto"/>
              <w:right w:val="single" w:sz="6" w:space="0" w:color="auto"/>
            </w:tcBorders>
          </w:tcPr>
          <w:p w14:paraId="3F3C64F7"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FA1F25"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897687"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94F9B4"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3C2E01"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BDBE60"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3D0C77"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1415C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94A7B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6F326A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1F4C61"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C2128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4ED250"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E7234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5FFEC3B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0BE29C0" w14:textId="77777777" w:rsidR="00712451" w:rsidRDefault="00712451" w:rsidP="00712451">
            <w:pPr>
              <w:rPr>
                <w:sz w:val="22"/>
                <w:szCs w:val="22"/>
              </w:rPr>
            </w:pPr>
            <w:r>
              <w:rPr>
                <w:sz w:val="22"/>
                <w:szCs w:val="22"/>
              </w:rPr>
              <w:t>Lina Nordquist (L)</w:t>
            </w:r>
          </w:p>
        </w:tc>
        <w:tc>
          <w:tcPr>
            <w:tcW w:w="356" w:type="dxa"/>
            <w:gridSpan w:val="2"/>
            <w:tcBorders>
              <w:top w:val="single" w:sz="6" w:space="0" w:color="auto"/>
              <w:left w:val="single" w:sz="6" w:space="0" w:color="auto"/>
              <w:bottom w:val="single" w:sz="6" w:space="0" w:color="auto"/>
              <w:right w:val="single" w:sz="6" w:space="0" w:color="auto"/>
            </w:tcBorders>
          </w:tcPr>
          <w:p w14:paraId="3A545E9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BE0818"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496BDF"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BF3BF"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82C6E6"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152E3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B94FC"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AF2B37"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19B924"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CE04A7C"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963791"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DE68D9"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68F361"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4DCEA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6B4C0C99" w14:textId="77777777" w:rsidTr="007A14AA">
        <w:tc>
          <w:tcPr>
            <w:tcW w:w="3659" w:type="dxa"/>
            <w:gridSpan w:val="2"/>
            <w:tcBorders>
              <w:top w:val="single" w:sz="6" w:space="0" w:color="auto"/>
            </w:tcBorders>
          </w:tcPr>
          <w:p w14:paraId="4BA77A3B" w14:textId="77777777" w:rsidR="00712451" w:rsidRPr="00C145F4" w:rsidRDefault="00712451" w:rsidP="00712451">
            <w:pPr>
              <w:rPr>
                <w:sz w:val="22"/>
                <w:szCs w:val="22"/>
              </w:rPr>
            </w:pPr>
          </w:p>
        </w:tc>
        <w:tc>
          <w:tcPr>
            <w:tcW w:w="356" w:type="dxa"/>
            <w:gridSpan w:val="2"/>
            <w:tcBorders>
              <w:top w:val="single" w:sz="6" w:space="0" w:color="auto"/>
            </w:tcBorders>
          </w:tcPr>
          <w:p w14:paraId="73090418"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3BEF04A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5B9359B5"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3EE54E12"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7DF0CFCB"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1A6094FC"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0640534E"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6CC87CF3"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626E5728"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tcBorders>
          </w:tcPr>
          <w:p w14:paraId="3E12947D"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69D75C05"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05F21924"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33BB2E14"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2EE3915B"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2451" w14:paraId="366C1DAF" w14:textId="77777777" w:rsidTr="007A14AA">
        <w:trPr>
          <w:trHeight w:val="263"/>
        </w:trPr>
        <w:tc>
          <w:tcPr>
            <w:tcW w:w="3614" w:type="dxa"/>
          </w:tcPr>
          <w:p w14:paraId="5F8C40CB" w14:textId="77777777" w:rsidR="00712451" w:rsidRPr="003D41A2"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7"/>
          </w:tcPr>
          <w:p w14:paraId="229E854A"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712451" w14:paraId="1EBB5AAF" w14:textId="77777777" w:rsidTr="007A14AA">
        <w:trPr>
          <w:trHeight w:val="262"/>
        </w:trPr>
        <w:tc>
          <w:tcPr>
            <w:tcW w:w="3614" w:type="dxa"/>
          </w:tcPr>
          <w:p w14:paraId="6CBB8615" w14:textId="77777777" w:rsidR="00712451" w:rsidRPr="003D41A2"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7"/>
          </w:tcPr>
          <w:p w14:paraId="7113C6B7" w14:textId="77777777" w:rsidR="00712451" w:rsidRDefault="00712451" w:rsidP="0071245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14:paraId="1492BD53" w14:textId="3456629C" w:rsidR="007C1E05" w:rsidRDefault="007C1E05" w:rsidP="007C1E05"/>
    <w:sectPr w:rsidR="007C1E05" w:rsidSect="00A75335">
      <w:pgSz w:w="11906" w:h="16838" w:code="9"/>
      <w:pgMar w:top="1418" w:right="1983"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9D14F89"/>
    <w:multiLevelType w:val="hybridMultilevel"/>
    <w:tmpl w:val="3CA6F7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EDE"/>
    <w:rsid w:val="00001172"/>
    <w:rsid w:val="0001177E"/>
    <w:rsid w:val="00013FF4"/>
    <w:rsid w:val="0001407C"/>
    <w:rsid w:val="00022A7C"/>
    <w:rsid w:val="00026856"/>
    <w:rsid w:val="00033465"/>
    <w:rsid w:val="00050807"/>
    <w:rsid w:val="00071F8E"/>
    <w:rsid w:val="00073768"/>
    <w:rsid w:val="000867B0"/>
    <w:rsid w:val="0009467D"/>
    <w:rsid w:val="00097DF0"/>
    <w:rsid w:val="000A167A"/>
    <w:rsid w:val="000A2204"/>
    <w:rsid w:val="000B5D40"/>
    <w:rsid w:val="000C0C72"/>
    <w:rsid w:val="000C461C"/>
    <w:rsid w:val="000C5953"/>
    <w:rsid w:val="000D534A"/>
    <w:rsid w:val="000E5FA0"/>
    <w:rsid w:val="000E611E"/>
    <w:rsid w:val="000F18FE"/>
    <w:rsid w:val="000F3EEE"/>
    <w:rsid w:val="000F4556"/>
    <w:rsid w:val="00100A34"/>
    <w:rsid w:val="00126727"/>
    <w:rsid w:val="00127778"/>
    <w:rsid w:val="0013107A"/>
    <w:rsid w:val="00135412"/>
    <w:rsid w:val="00143656"/>
    <w:rsid w:val="00161A87"/>
    <w:rsid w:val="001634B9"/>
    <w:rsid w:val="001671DE"/>
    <w:rsid w:val="001712BC"/>
    <w:rsid w:val="00186651"/>
    <w:rsid w:val="001A287E"/>
    <w:rsid w:val="001A7C87"/>
    <w:rsid w:val="001D5522"/>
    <w:rsid w:val="001F050D"/>
    <w:rsid w:val="001F30E5"/>
    <w:rsid w:val="001F5AC6"/>
    <w:rsid w:val="002059AD"/>
    <w:rsid w:val="00207D45"/>
    <w:rsid w:val="0022226E"/>
    <w:rsid w:val="00224EC3"/>
    <w:rsid w:val="00237DB6"/>
    <w:rsid w:val="00241043"/>
    <w:rsid w:val="002462FF"/>
    <w:rsid w:val="00253162"/>
    <w:rsid w:val="002608E3"/>
    <w:rsid w:val="00267FC1"/>
    <w:rsid w:val="002711A1"/>
    <w:rsid w:val="002871AD"/>
    <w:rsid w:val="002A3434"/>
    <w:rsid w:val="002D5CD8"/>
    <w:rsid w:val="002E7435"/>
    <w:rsid w:val="002E7751"/>
    <w:rsid w:val="002F1999"/>
    <w:rsid w:val="002F31F6"/>
    <w:rsid w:val="002F53A6"/>
    <w:rsid w:val="00303E1D"/>
    <w:rsid w:val="00310016"/>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95794"/>
    <w:rsid w:val="003A0CB8"/>
    <w:rsid w:val="003A5FC9"/>
    <w:rsid w:val="003B4DE8"/>
    <w:rsid w:val="003D41A2"/>
    <w:rsid w:val="003F0380"/>
    <w:rsid w:val="003F4AD8"/>
    <w:rsid w:val="00402D5D"/>
    <w:rsid w:val="0040376B"/>
    <w:rsid w:val="00407517"/>
    <w:rsid w:val="00413A89"/>
    <w:rsid w:val="004214D1"/>
    <w:rsid w:val="00424C64"/>
    <w:rsid w:val="0042750F"/>
    <w:rsid w:val="004309E7"/>
    <w:rsid w:val="00437505"/>
    <w:rsid w:val="00447E69"/>
    <w:rsid w:val="004514FD"/>
    <w:rsid w:val="00453542"/>
    <w:rsid w:val="0045482B"/>
    <w:rsid w:val="004610E6"/>
    <w:rsid w:val="004674B5"/>
    <w:rsid w:val="00483EB5"/>
    <w:rsid w:val="004875DF"/>
    <w:rsid w:val="004A3D92"/>
    <w:rsid w:val="004C4C01"/>
    <w:rsid w:val="004C7522"/>
    <w:rsid w:val="004E024A"/>
    <w:rsid w:val="00501D18"/>
    <w:rsid w:val="005054C4"/>
    <w:rsid w:val="00506F63"/>
    <w:rsid w:val="00520D71"/>
    <w:rsid w:val="005331E3"/>
    <w:rsid w:val="005349AA"/>
    <w:rsid w:val="00542ABC"/>
    <w:rsid w:val="005739C0"/>
    <w:rsid w:val="00576AFA"/>
    <w:rsid w:val="00587BBF"/>
    <w:rsid w:val="005A3941"/>
    <w:rsid w:val="005A4EAC"/>
    <w:rsid w:val="005A5EDE"/>
    <w:rsid w:val="005A63E8"/>
    <w:rsid w:val="005B5A94"/>
    <w:rsid w:val="005D0198"/>
    <w:rsid w:val="005D63F2"/>
    <w:rsid w:val="005E36F0"/>
    <w:rsid w:val="005F0E85"/>
    <w:rsid w:val="005F5155"/>
    <w:rsid w:val="005F6831"/>
    <w:rsid w:val="00601C28"/>
    <w:rsid w:val="00602725"/>
    <w:rsid w:val="0060305B"/>
    <w:rsid w:val="006110B5"/>
    <w:rsid w:val="00622525"/>
    <w:rsid w:val="00633032"/>
    <w:rsid w:val="00637376"/>
    <w:rsid w:val="00650ADB"/>
    <w:rsid w:val="00654347"/>
    <w:rsid w:val="00656420"/>
    <w:rsid w:val="00656ECC"/>
    <w:rsid w:val="00662279"/>
    <w:rsid w:val="00666846"/>
    <w:rsid w:val="00667E8B"/>
    <w:rsid w:val="0067487F"/>
    <w:rsid w:val="00680665"/>
    <w:rsid w:val="00686DE2"/>
    <w:rsid w:val="006965E4"/>
    <w:rsid w:val="006A2991"/>
    <w:rsid w:val="006A5D3C"/>
    <w:rsid w:val="006B026C"/>
    <w:rsid w:val="006B1BCF"/>
    <w:rsid w:val="006B1D76"/>
    <w:rsid w:val="006B4C5A"/>
    <w:rsid w:val="006B65A5"/>
    <w:rsid w:val="006B7A08"/>
    <w:rsid w:val="006D3F07"/>
    <w:rsid w:val="006E0945"/>
    <w:rsid w:val="006E6B54"/>
    <w:rsid w:val="00711344"/>
    <w:rsid w:val="00712451"/>
    <w:rsid w:val="00721260"/>
    <w:rsid w:val="00740F7D"/>
    <w:rsid w:val="00766B40"/>
    <w:rsid w:val="0076736F"/>
    <w:rsid w:val="00775DBD"/>
    <w:rsid w:val="007765ED"/>
    <w:rsid w:val="00776CA2"/>
    <w:rsid w:val="007801D9"/>
    <w:rsid w:val="007838D8"/>
    <w:rsid w:val="00786FC6"/>
    <w:rsid w:val="007A1350"/>
    <w:rsid w:val="007A2471"/>
    <w:rsid w:val="007B32E2"/>
    <w:rsid w:val="007B38F0"/>
    <w:rsid w:val="007B66A7"/>
    <w:rsid w:val="007B6F35"/>
    <w:rsid w:val="007C0DFA"/>
    <w:rsid w:val="007C1E05"/>
    <w:rsid w:val="007C52B4"/>
    <w:rsid w:val="007D23C1"/>
    <w:rsid w:val="007D3639"/>
    <w:rsid w:val="007D47AC"/>
    <w:rsid w:val="007D76A1"/>
    <w:rsid w:val="007E5066"/>
    <w:rsid w:val="007E738E"/>
    <w:rsid w:val="007F73E1"/>
    <w:rsid w:val="0080253D"/>
    <w:rsid w:val="00822AF4"/>
    <w:rsid w:val="00823C8C"/>
    <w:rsid w:val="00825D78"/>
    <w:rsid w:val="00827DBD"/>
    <w:rsid w:val="00832BA8"/>
    <w:rsid w:val="0083501D"/>
    <w:rsid w:val="00841B9D"/>
    <w:rsid w:val="00872753"/>
    <w:rsid w:val="00876835"/>
    <w:rsid w:val="008840CE"/>
    <w:rsid w:val="00886BA6"/>
    <w:rsid w:val="008929D2"/>
    <w:rsid w:val="00895553"/>
    <w:rsid w:val="00896EBD"/>
    <w:rsid w:val="008B080B"/>
    <w:rsid w:val="008B1824"/>
    <w:rsid w:val="008B4A0D"/>
    <w:rsid w:val="008C35C4"/>
    <w:rsid w:val="008E2E78"/>
    <w:rsid w:val="008F6938"/>
    <w:rsid w:val="008F6C98"/>
    <w:rsid w:val="008F7983"/>
    <w:rsid w:val="009171C9"/>
    <w:rsid w:val="00923EFE"/>
    <w:rsid w:val="00925ABE"/>
    <w:rsid w:val="0094358D"/>
    <w:rsid w:val="00960E59"/>
    <w:rsid w:val="00985715"/>
    <w:rsid w:val="009A1313"/>
    <w:rsid w:val="009A164A"/>
    <w:rsid w:val="009A1CEC"/>
    <w:rsid w:val="009B52FA"/>
    <w:rsid w:val="009D5E29"/>
    <w:rsid w:val="009E1FCA"/>
    <w:rsid w:val="009E7A20"/>
    <w:rsid w:val="00A0106A"/>
    <w:rsid w:val="00A03D80"/>
    <w:rsid w:val="00A102DB"/>
    <w:rsid w:val="00A13D11"/>
    <w:rsid w:val="00A2367D"/>
    <w:rsid w:val="00A26086"/>
    <w:rsid w:val="00A35508"/>
    <w:rsid w:val="00A370F4"/>
    <w:rsid w:val="00A428EC"/>
    <w:rsid w:val="00A47DB2"/>
    <w:rsid w:val="00A65178"/>
    <w:rsid w:val="00A66B33"/>
    <w:rsid w:val="00A75335"/>
    <w:rsid w:val="00A7541D"/>
    <w:rsid w:val="00A84772"/>
    <w:rsid w:val="00A956F9"/>
    <w:rsid w:val="00AB2E46"/>
    <w:rsid w:val="00AB3B80"/>
    <w:rsid w:val="00AB5776"/>
    <w:rsid w:val="00AD44A0"/>
    <w:rsid w:val="00AF4D2B"/>
    <w:rsid w:val="00AF62C3"/>
    <w:rsid w:val="00B1265F"/>
    <w:rsid w:val="00B2693D"/>
    <w:rsid w:val="00B36F2A"/>
    <w:rsid w:val="00B40576"/>
    <w:rsid w:val="00B432F2"/>
    <w:rsid w:val="00B529AF"/>
    <w:rsid w:val="00B6136A"/>
    <w:rsid w:val="00B63606"/>
    <w:rsid w:val="00B73227"/>
    <w:rsid w:val="00B734EF"/>
    <w:rsid w:val="00BA05FF"/>
    <w:rsid w:val="00BA1F9C"/>
    <w:rsid w:val="00BA404C"/>
    <w:rsid w:val="00BB4FC6"/>
    <w:rsid w:val="00BB6E1B"/>
    <w:rsid w:val="00BB7028"/>
    <w:rsid w:val="00BD09A6"/>
    <w:rsid w:val="00BE0351"/>
    <w:rsid w:val="00BF1E92"/>
    <w:rsid w:val="00BF5F58"/>
    <w:rsid w:val="00C04265"/>
    <w:rsid w:val="00C1169B"/>
    <w:rsid w:val="00C145F4"/>
    <w:rsid w:val="00C150F8"/>
    <w:rsid w:val="00C21DC4"/>
    <w:rsid w:val="00C24CCF"/>
    <w:rsid w:val="00C318F6"/>
    <w:rsid w:val="00C367F8"/>
    <w:rsid w:val="00C422E7"/>
    <w:rsid w:val="00C616C4"/>
    <w:rsid w:val="00C62BD3"/>
    <w:rsid w:val="00C6692B"/>
    <w:rsid w:val="00C66AC4"/>
    <w:rsid w:val="00C76BCC"/>
    <w:rsid w:val="00C77DBB"/>
    <w:rsid w:val="00C82E31"/>
    <w:rsid w:val="00C866DE"/>
    <w:rsid w:val="00C87373"/>
    <w:rsid w:val="00C96CF1"/>
    <w:rsid w:val="00C97287"/>
    <w:rsid w:val="00CA2266"/>
    <w:rsid w:val="00CA5431"/>
    <w:rsid w:val="00CB29B6"/>
    <w:rsid w:val="00CC02B4"/>
    <w:rsid w:val="00CC15D0"/>
    <w:rsid w:val="00CD10D8"/>
    <w:rsid w:val="00CD4DBD"/>
    <w:rsid w:val="00CE524E"/>
    <w:rsid w:val="00CF376E"/>
    <w:rsid w:val="00CF6815"/>
    <w:rsid w:val="00CF7C43"/>
    <w:rsid w:val="00D14067"/>
    <w:rsid w:val="00D16550"/>
    <w:rsid w:val="00D21331"/>
    <w:rsid w:val="00D35718"/>
    <w:rsid w:val="00D4759F"/>
    <w:rsid w:val="00D61E2A"/>
    <w:rsid w:val="00D63878"/>
    <w:rsid w:val="00D65276"/>
    <w:rsid w:val="00D67D14"/>
    <w:rsid w:val="00D73858"/>
    <w:rsid w:val="00D80592"/>
    <w:rsid w:val="00D817DA"/>
    <w:rsid w:val="00D81F84"/>
    <w:rsid w:val="00D85D67"/>
    <w:rsid w:val="00DA2684"/>
    <w:rsid w:val="00DB43E0"/>
    <w:rsid w:val="00DB451F"/>
    <w:rsid w:val="00DE08F2"/>
    <w:rsid w:val="00DE3264"/>
    <w:rsid w:val="00DE45C0"/>
    <w:rsid w:val="00E03441"/>
    <w:rsid w:val="00E04650"/>
    <w:rsid w:val="00E12E8A"/>
    <w:rsid w:val="00E13501"/>
    <w:rsid w:val="00E13689"/>
    <w:rsid w:val="00E15C69"/>
    <w:rsid w:val="00E15FBD"/>
    <w:rsid w:val="00E1627A"/>
    <w:rsid w:val="00E23AB7"/>
    <w:rsid w:val="00E2514D"/>
    <w:rsid w:val="00E362AB"/>
    <w:rsid w:val="00E42144"/>
    <w:rsid w:val="00E45BEC"/>
    <w:rsid w:val="00E776AC"/>
    <w:rsid w:val="00E77ADF"/>
    <w:rsid w:val="00E810DC"/>
    <w:rsid w:val="00E81B4F"/>
    <w:rsid w:val="00E93918"/>
    <w:rsid w:val="00EB577E"/>
    <w:rsid w:val="00EC27A5"/>
    <w:rsid w:val="00EC418A"/>
    <w:rsid w:val="00EE4C8A"/>
    <w:rsid w:val="00EE73D8"/>
    <w:rsid w:val="00F12574"/>
    <w:rsid w:val="00F23954"/>
    <w:rsid w:val="00F33EF9"/>
    <w:rsid w:val="00F3624B"/>
    <w:rsid w:val="00F44908"/>
    <w:rsid w:val="00F46F0D"/>
    <w:rsid w:val="00F573AC"/>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8A179"/>
  <w15:chartTrackingRefBased/>
  <w15:docId w15:val="{02AE9EF6-DB41-48B2-9C47-E80F452AE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character" w:styleId="Hyperlnk">
    <w:name w:val="Hyperlink"/>
    <w:basedOn w:val="Standardstycketeckensnitt"/>
    <w:uiPriority w:val="99"/>
    <w:unhideWhenUsed/>
    <w:rsid w:val="00686D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845983">
      <w:bodyDiv w:val="1"/>
      <w:marLeft w:val="0"/>
      <w:marRight w:val="0"/>
      <w:marTop w:val="0"/>
      <w:marBottom w:val="0"/>
      <w:divBdr>
        <w:top w:val="none" w:sz="0" w:space="0" w:color="auto"/>
        <w:left w:val="none" w:sz="0" w:space="0" w:color="auto"/>
        <w:bottom w:val="none" w:sz="0" w:space="0" w:color="auto"/>
        <w:right w:val="none" w:sz="0" w:space="0" w:color="auto"/>
      </w:divBdr>
    </w:div>
    <w:div w:id="1263496591">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2806</Words>
  <Characters>19023</Characters>
  <Application>Microsoft Office Word</Application>
  <DocSecurity>0</DocSecurity>
  <Lines>1188</Lines>
  <Paragraphs>341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Charlotta Lann</cp:lastModifiedBy>
  <cp:revision>3</cp:revision>
  <cp:lastPrinted>2022-11-15T13:35:00Z</cp:lastPrinted>
  <dcterms:created xsi:type="dcterms:W3CDTF">2022-11-24T10:11:00Z</dcterms:created>
  <dcterms:modified xsi:type="dcterms:W3CDTF">2022-11-24T10:12:00Z</dcterms:modified>
</cp:coreProperties>
</file>