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165FF" w:rsidRDefault="00605BE9" w14:paraId="3F81660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A1FDC4C7DDC43B497007965DCD661D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390f9aa-f361-413c-833c-5a70108e2e27"/>
        <w:id w:val="839820876"/>
        <w:lock w:val="sdtLocked"/>
      </w:sdtPr>
      <w:sdtEndPr/>
      <w:sdtContent>
        <w:p w:rsidR="007144B4" w:rsidRDefault="00C94E81" w14:paraId="73DDA4C9" w14:textId="77777777">
          <w:pPr>
            <w:pStyle w:val="Frslagstext"/>
          </w:pPr>
          <w:r>
            <w:t>Riksdagen avslår regeringens förslag.</w:t>
          </w:r>
        </w:p>
      </w:sdtContent>
    </w:sdt>
    <w:sdt>
      <w:sdtPr>
        <w:alias w:val="Yrkande 2"/>
        <w:tag w:val="4cd5c245-adcd-4a5f-9ee0-802145dbdff1"/>
        <w:id w:val="-1739771026"/>
        <w:lock w:val="sdtLocked"/>
      </w:sdtPr>
      <w:sdtEndPr/>
      <w:sdtContent>
        <w:p w:rsidR="007144B4" w:rsidRDefault="00C94E81" w14:paraId="055FED82" w14:textId="77777777">
          <w:pPr>
            <w:pStyle w:val="Frslagstext"/>
          </w:pPr>
          <w:r>
            <w:t>Riksdagen ställer sig bakom det som anförs i motionen om att skyndsamt utreda och införa säkerhetsvård i fängelse och tillkännager detta för regeringen.</w:t>
          </w:r>
        </w:p>
      </w:sdtContent>
    </w:sdt>
    <w:p w:rsidRPr="00605BE9" w:rsidR="009577C8" w:rsidP="00605BE9" w:rsidRDefault="00C94E81" w14:paraId="5CF8772F" w14:textId="0C083998">
      <w:pPr>
        <w:pStyle w:val="Rubrik1"/>
      </w:pPr>
      <w:bookmarkStart w:name="MotionsStart" w:id="2"/>
      <w:bookmarkEnd w:id="2"/>
      <w:r w:rsidRPr="00605BE9">
        <w:t>Regeringens förslag</w:t>
      </w:r>
    </w:p>
    <w:p w:rsidR="00605BE9" w:rsidP="00605BE9" w:rsidRDefault="009577C8" w14:paraId="703BAD93" w14:textId="48343EDB">
      <w:pPr>
        <w:pStyle w:val="Normalutanindragellerluft"/>
      </w:pPr>
      <w:r>
        <w:t xml:space="preserve">Regeringens förslag </w:t>
      </w:r>
      <w:r w:rsidR="00E52D51">
        <w:t xml:space="preserve">om säkerhetsförvaring är en </w:t>
      </w:r>
      <w:r>
        <w:t>ny frihetsberövande påföljd</w:t>
      </w:r>
      <w:r w:rsidR="00E52D51">
        <w:t xml:space="preserve"> som </w:t>
      </w:r>
      <w:r>
        <w:t xml:space="preserve">ska kunna användas för </w:t>
      </w:r>
      <w:r w:rsidR="00E52D51">
        <w:t xml:space="preserve">individer </w:t>
      </w:r>
      <w:r>
        <w:t xml:space="preserve">som har begått </w:t>
      </w:r>
      <w:r w:rsidR="00352208">
        <w:t xml:space="preserve">upprepade </w:t>
      </w:r>
      <w:r>
        <w:t>allvarliga brott mot annans liv, hälsa, frihet eller frid</w:t>
      </w:r>
      <w:r w:rsidR="00E52D51">
        <w:t>,</w:t>
      </w:r>
      <w:r>
        <w:t xml:space="preserve"> och som också bedöms ha en hög återfallsrisk i </w:t>
      </w:r>
      <w:r w:rsidR="00E52D51">
        <w:t xml:space="preserve">sådan </w:t>
      </w:r>
      <w:r>
        <w:t xml:space="preserve">brottslighet. </w:t>
      </w:r>
      <w:r w:rsidRPr="00605BE9">
        <w:rPr>
          <w:spacing w:val="-1"/>
        </w:rPr>
        <w:t>Syftet är att skydda samhället från dessa individer, och till skillnad från vanliga fängelse</w:t>
      </w:r>
      <w:r w:rsidRPr="00605BE9" w:rsidR="00605BE9">
        <w:rPr>
          <w:spacing w:val="-1"/>
        </w:rPr>
        <w:softHyphen/>
      </w:r>
      <w:r w:rsidRPr="00605BE9">
        <w:rPr>
          <w:spacing w:val="-1"/>
        </w:rPr>
        <w:t>straff</w:t>
      </w:r>
      <w:r>
        <w:t xml:space="preserve"> ska förvaringsstraffet kunna </w:t>
      </w:r>
      <w:r w:rsidR="00352208">
        <w:t>bli</w:t>
      </w:r>
      <w:r>
        <w:t xml:space="preserve"> mer eller mindre tidsobestämt. Det innebär att en person kan hållas frihetsberövad så länge risken för återfall anses vara stor, även efter att den ursprungliga strafftiden avtjänats. Precis som </w:t>
      </w:r>
      <w:r w:rsidR="00352208">
        <w:t>vid</w:t>
      </w:r>
      <w:r>
        <w:t xml:space="preserve"> andra straffrättsliga påföljder är det domstolen som </w:t>
      </w:r>
      <w:r w:rsidR="00E2062C">
        <w:t xml:space="preserve">ska </w:t>
      </w:r>
      <w:r>
        <w:t xml:space="preserve">besluta om säkerhetsförvaring, och </w:t>
      </w:r>
      <w:r w:rsidR="00C94E81">
        <w:t xml:space="preserve">den </w:t>
      </w:r>
      <w:r w:rsidR="00E2062C">
        <w:t xml:space="preserve">ska </w:t>
      </w:r>
      <w:r w:rsidR="00E52D51">
        <w:t xml:space="preserve">då </w:t>
      </w:r>
      <w:r w:rsidR="00E2062C">
        <w:t xml:space="preserve">fastställa </w:t>
      </w:r>
      <w:r>
        <w:t>den kortaste tiden för frihetsberövande (</w:t>
      </w:r>
      <w:r w:rsidR="00E52D51">
        <w:t xml:space="preserve">den s.k. </w:t>
      </w:r>
      <w:r>
        <w:t>minimitiden</w:t>
      </w:r>
      <w:r w:rsidR="00352208">
        <w:t>,</w:t>
      </w:r>
      <w:r w:rsidR="00E52D51">
        <w:t xml:space="preserve"> som </w:t>
      </w:r>
      <w:r w:rsidR="00E52D51">
        <w:lastRenderedPageBreak/>
        <w:t>ska motsvara straffvärdet för gärningen</w:t>
      </w:r>
      <w:r>
        <w:t>) och den totala tiden för påföljdens verkställighet (</w:t>
      </w:r>
      <w:r w:rsidR="00E52D51">
        <w:t xml:space="preserve">den s.k. </w:t>
      </w:r>
      <w:r>
        <w:t>ramtiden</w:t>
      </w:r>
      <w:r w:rsidR="00E52D51">
        <w:t xml:space="preserve"> som ska vara som lägst fyra</w:t>
      </w:r>
      <w:r w:rsidR="00352208">
        <w:t xml:space="preserve"> år</w:t>
      </w:r>
      <w:r w:rsidR="00E52D51">
        <w:t xml:space="preserve"> och som mest sex år</w:t>
      </w:r>
      <w:r>
        <w:t>).</w:t>
      </w:r>
      <w:r w:rsidR="00E63D7E">
        <w:t xml:space="preserve"> </w:t>
      </w:r>
      <w:r>
        <w:t xml:space="preserve">Ramtiden får </w:t>
      </w:r>
      <w:r w:rsidR="00E52D51">
        <w:t xml:space="preserve">sedan </w:t>
      </w:r>
      <w:r>
        <w:t xml:space="preserve">förlängas med högst tre år </w:t>
      </w:r>
      <w:r w:rsidR="00E2062C">
        <w:t>åt gången.</w:t>
      </w:r>
      <w:r>
        <w:t xml:space="preserve"> Påföljden avtjänas i </w:t>
      </w:r>
      <w:r w:rsidR="00E52D51">
        <w:t>fängelse</w:t>
      </w:r>
      <w:r>
        <w:t>. Innan påföljden bestäms till säkerhetsförvaring ska domstolen</w:t>
      </w:r>
      <w:r w:rsidR="00E63D7E">
        <w:t xml:space="preserve"> som huvudregel </w:t>
      </w:r>
      <w:r>
        <w:t>hämta in en särskild utredning från Rättsmedicinalverket om återfallsrisken för den tilltalade.</w:t>
      </w:r>
    </w:p>
    <w:p w:rsidR="009577C8" w:rsidP="00605BE9" w:rsidRDefault="009577C8" w14:paraId="59B484C8" w14:textId="5458DDA4">
      <w:r>
        <w:t xml:space="preserve">Centerpartiet </w:t>
      </w:r>
      <w:r w:rsidR="00352208">
        <w:t>anser</w:t>
      </w:r>
      <w:r w:rsidR="00E63D7E">
        <w:t xml:space="preserve"> </w:t>
      </w:r>
      <w:r>
        <w:t xml:space="preserve">att det saknas ett tillräckligt samhällsskydd mot personer som har en </w:t>
      </w:r>
      <w:r w:rsidR="00E63D7E">
        <w:t xml:space="preserve">hög återfallsrisk </w:t>
      </w:r>
      <w:r>
        <w:t xml:space="preserve">– </w:t>
      </w:r>
      <w:r w:rsidR="00E63D7E">
        <w:t xml:space="preserve">bara </w:t>
      </w:r>
      <w:r>
        <w:t xml:space="preserve">under senare år </w:t>
      </w:r>
      <w:r w:rsidR="00E63D7E">
        <w:t xml:space="preserve">har vi </w:t>
      </w:r>
      <w:r>
        <w:t xml:space="preserve">sett </w:t>
      </w:r>
      <w:r w:rsidR="00C94E81">
        <w:t xml:space="preserve">ett </w:t>
      </w:r>
      <w:r>
        <w:t xml:space="preserve">flertal exempel på att dagens system </w:t>
      </w:r>
      <w:r w:rsidR="00C94E81">
        <w:t xml:space="preserve">ofta </w:t>
      </w:r>
      <w:r w:rsidR="00E63D7E">
        <w:t>var</w:t>
      </w:r>
      <w:r w:rsidR="00C94E81">
        <w:t>it</w:t>
      </w:r>
      <w:r w:rsidR="00E63D7E">
        <w:t xml:space="preserve"> </w:t>
      </w:r>
      <w:r>
        <w:t xml:space="preserve">otillräckligt för att hantera de förövare som upprepade gånger begår allvarliga brott, såsom grova vålds- eller sexualbrott. Det är därför angeläget att rättsväsendet utrustas med verktyg som </w:t>
      </w:r>
      <w:r w:rsidR="00EB2F1B">
        <w:t xml:space="preserve">kan </w:t>
      </w:r>
      <w:r>
        <w:t xml:space="preserve">skydda samhället från dessa individer – på den punkten är vi helt överens med regeringen. Det förslag man nu lägger fram är dock varken ändamålsenligt eller genomtänkt. </w:t>
      </w:r>
      <w:r w:rsidR="00E63D7E">
        <w:t xml:space="preserve">Det innebär dessutom att man bygger ett system där samhället inte kommer att kunna skyddas från vissa </w:t>
      </w:r>
      <w:r w:rsidR="00EB2F1B">
        <w:t xml:space="preserve">farliga </w:t>
      </w:r>
      <w:r w:rsidR="00E63D7E">
        <w:t>individer med konstaterat hög återfallsrisk.</w:t>
      </w:r>
      <w:r>
        <w:t xml:space="preserve"> </w:t>
      </w:r>
    </w:p>
    <w:p w:rsidRPr="00605BE9" w:rsidR="009577C8" w:rsidP="00605BE9" w:rsidRDefault="00C94E81" w14:paraId="7D56CD29" w14:textId="6EB2B206">
      <w:pPr>
        <w:pStyle w:val="Rubrik1"/>
      </w:pPr>
      <w:r w:rsidRPr="00605BE9">
        <w:t>Förslagets brister</w:t>
      </w:r>
    </w:p>
    <w:p w:rsidR="00605BE9" w:rsidP="00605BE9" w:rsidRDefault="009577C8" w14:paraId="66C3F6C9" w14:textId="77777777">
      <w:pPr>
        <w:pStyle w:val="Normalutanindragellerluft"/>
      </w:pPr>
      <w:r>
        <w:t>Regeringens förslag lider av samma åkomma som</w:t>
      </w:r>
      <w:r w:rsidR="00E2062C">
        <w:t xml:space="preserve"> så många</w:t>
      </w:r>
      <w:r>
        <w:t xml:space="preserve"> tidigare av Tidöregeringens förslag – man bestämmer sig först för en lösning</w:t>
      </w:r>
      <w:r w:rsidR="00E2062C">
        <w:t xml:space="preserve"> på känsla</w:t>
      </w:r>
      <w:r>
        <w:t>, ovetandes om huruvida den fungerar eller inte, se</w:t>
      </w:r>
      <w:r w:rsidR="00C94E81">
        <w:t>da</w:t>
      </w:r>
      <w:r>
        <w:t xml:space="preserve">n tillsätter man en utredning som </w:t>
      </w:r>
      <w:r w:rsidR="00E2062C">
        <w:t xml:space="preserve">ska </w:t>
      </w:r>
      <w:r>
        <w:t xml:space="preserve">lägga fram ett förslag i den riktningen oavsett om den </w:t>
      </w:r>
      <w:r w:rsidR="00E63D7E">
        <w:t xml:space="preserve">förutbestämda </w:t>
      </w:r>
      <w:r>
        <w:t xml:space="preserve">lösningen </w:t>
      </w:r>
      <w:r w:rsidR="00352208">
        <w:t xml:space="preserve">alls </w:t>
      </w:r>
      <w:r>
        <w:t xml:space="preserve">är effektiv och ändamålsenlig. </w:t>
      </w:r>
    </w:p>
    <w:p w:rsidR="00605BE9" w:rsidP="00605BE9" w:rsidRDefault="009577C8" w14:paraId="44360383" w14:textId="14E2BFE6">
      <w:r>
        <w:t>Inledningsvis kan</w:t>
      </w:r>
      <w:r w:rsidR="00C94E81">
        <w:t xml:space="preserve"> vi</w:t>
      </w:r>
      <w:r>
        <w:t xml:space="preserve"> konstatera, i likhet med en rad remissinstanser, att det är mycket svårt att göra träffsäkra återfallsprognoser som sträcker sig så långt fram i tiden som</w:t>
      </w:r>
      <w:r w:rsidR="00352208">
        <w:t xml:space="preserve"> här blir</w:t>
      </w:r>
      <w:r>
        <w:t xml:space="preserve"> </w:t>
      </w:r>
      <w:r w:rsidR="00271CD3">
        <w:t>aktuellt</w:t>
      </w:r>
      <w:r>
        <w:t>. Till detta kommer att regleringen av den riskutredning som domstolen ska begära in från Rättsmedicinalverket är högst bristfällig; Svea hovrätt lyfter att det inte framgår vad riskutredning</w:t>
      </w:r>
      <w:r w:rsidR="00271CD3">
        <w:t>en</w:t>
      </w:r>
      <w:r>
        <w:t xml:space="preserve"> ska grundas på, och framhåller risken </w:t>
      </w:r>
      <w:r w:rsidR="00271CD3">
        <w:t xml:space="preserve">för att </w:t>
      </w:r>
      <w:r>
        <w:t>individer</w:t>
      </w:r>
      <w:r w:rsidR="00352208">
        <w:t xml:space="preserve"> utan</w:t>
      </w:r>
      <w:r>
        <w:t xml:space="preserve"> </w:t>
      </w:r>
      <w:r w:rsidRPr="00271CD3" w:rsidR="00271CD3">
        <w:t xml:space="preserve">reell återfallsrisk </w:t>
      </w:r>
      <w:r w:rsidR="00271CD3">
        <w:t xml:space="preserve">kommer </w:t>
      </w:r>
      <w:r w:rsidR="00C94E81">
        <w:t xml:space="preserve">att </w:t>
      </w:r>
      <w:r w:rsidR="00271CD3">
        <w:t xml:space="preserve">sitta </w:t>
      </w:r>
      <w:r>
        <w:t>frihetsberövade i preventivt syfte</w:t>
      </w:r>
      <w:r w:rsidR="00271CD3">
        <w:t xml:space="preserve"> under lång tid</w:t>
      </w:r>
      <w:r>
        <w:t xml:space="preserve">. Liknande synpunkter förs fram av </w:t>
      </w:r>
      <w:r w:rsidR="00C94E81">
        <w:t>bl.a.</w:t>
      </w:r>
      <w:r>
        <w:t xml:space="preserve"> Göta hovrätt, Stockholms tingsrätt, Uppsala universitet, Göteborgs universitet, Stockholms universitet, Linnéuniversitetet, Advokat</w:t>
      </w:r>
      <w:r w:rsidR="00605BE9">
        <w:softHyphen/>
      </w:r>
      <w:r>
        <w:t xml:space="preserve">samfundet och Civil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Defenders</w:t>
      </w:r>
      <w:proofErr w:type="spellEnd"/>
      <w:r>
        <w:t>.</w:t>
      </w:r>
      <w:r w:rsidR="00E63D7E">
        <w:t xml:space="preserve"> </w:t>
      </w:r>
      <w:r>
        <w:t xml:space="preserve">Rättsmedicinalverket </w:t>
      </w:r>
      <w:r w:rsidR="00E63D7E">
        <w:t>påpekar</w:t>
      </w:r>
      <w:r>
        <w:t xml:space="preserve"> å sin sida att det är oklart vilka som kan bli aktuella för en sådan riskutredning och att formerna för hur utredningarna </w:t>
      </w:r>
      <w:r w:rsidR="00271CD3">
        <w:t xml:space="preserve">ska genomföras </w:t>
      </w:r>
      <w:r>
        <w:t xml:space="preserve">är oklara. Att </w:t>
      </w:r>
      <w:r w:rsidR="00E63D7E">
        <w:t xml:space="preserve">regeringens </w:t>
      </w:r>
      <w:r>
        <w:t xml:space="preserve">förslag är så </w:t>
      </w:r>
      <w:r>
        <w:lastRenderedPageBreak/>
        <w:t xml:space="preserve">undermåligt </w:t>
      </w:r>
      <w:r w:rsidR="00E63D7E">
        <w:t xml:space="preserve">att </w:t>
      </w:r>
      <w:r>
        <w:t>myndighet</w:t>
      </w:r>
      <w:r w:rsidR="00E63D7E">
        <w:t>en</w:t>
      </w:r>
      <w:r>
        <w:t xml:space="preserve"> som ska </w:t>
      </w:r>
      <w:r w:rsidR="00271CD3">
        <w:t xml:space="preserve">ta fram </w:t>
      </w:r>
      <w:r>
        <w:t xml:space="preserve">det avgörande underlaget inte kan bedöma vad </w:t>
      </w:r>
      <w:r w:rsidR="00E63D7E">
        <w:t>man för</w:t>
      </w:r>
      <w:r w:rsidR="00605BE9">
        <w:softHyphen/>
      </w:r>
      <w:r w:rsidR="00E63D7E">
        <w:t xml:space="preserve">väntas göra </w:t>
      </w:r>
      <w:r>
        <w:t>är högst anmärkningsvärt – i synnerhet när det gäller en frihetsberövande straffpåföljd. Svea hovrätt framhåller vidare att förslaget inte är förenligt med de grund</w:t>
      </w:r>
      <w:r w:rsidR="00605BE9">
        <w:softHyphen/>
      </w:r>
      <w:r>
        <w:t xml:space="preserve">läggande principerna om ekvivalens och proportionalitet i den svenska straffrätten. </w:t>
      </w:r>
    </w:p>
    <w:p w:rsidRPr="00605BE9" w:rsidR="009577C8" w:rsidP="00605BE9" w:rsidRDefault="00C94E81" w14:paraId="60A907F6" w14:textId="06DF6BC4">
      <w:pPr>
        <w:pStyle w:val="Rubrik1"/>
      </w:pPr>
      <w:r w:rsidRPr="00605BE9">
        <w:t>Ett träffsäkert skydd från de farligaste brottslingarna</w:t>
      </w:r>
    </w:p>
    <w:p w:rsidR="009577C8" w:rsidP="00605BE9" w:rsidRDefault="009577C8" w14:paraId="4FA34654" w14:textId="59E89B4B">
      <w:pPr>
        <w:pStyle w:val="Normalutanindragellerluft"/>
      </w:pPr>
      <w:r>
        <w:t xml:space="preserve">Centerpartiet </w:t>
      </w:r>
      <w:r w:rsidR="00E63D7E">
        <w:t xml:space="preserve">prioriterar </w:t>
      </w:r>
      <w:r>
        <w:t xml:space="preserve">ett </w:t>
      </w:r>
      <w:r w:rsidR="00292B15">
        <w:t xml:space="preserve">robust </w:t>
      </w:r>
      <w:r>
        <w:t>samhällsskydd med ett stark</w:t>
      </w:r>
      <w:r w:rsidR="00271CD3">
        <w:t>t</w:t>
      </w:r>
      <w:r>
        <w:t xml:space="preserve"> brottsofferperspektiv</w:t>
      </w:r>
      <w:r w:rsidR="00271CD3">
        <w:t xml:space="preserve">. Allmänheten måste skyddas </w:t>
      </w:r>
      <w:r w:rsidR="00292B15">
        <w:t xml:space="preserve">från </w:t>
      </w:r>
      <w:r>
        <w:t>farliga individer med hög risk för återfall i viss allvarlig brottslighet</w:t>
      </w:r>
      <w:r w:rsidR="00292B15">
        <w:t xml:space="preserve">, ett skydd som bäst sker genom frihetsberövande. </w:t>
      </w:r>
      <w:r>
        <w:t xml:space="preserve">Men syftet och ambitionen </w:t>
      </w:r>
      <w:r w:rsidR="00292B15">
        <w:t xml:space="preserve">med åtgärden </w:t>
      </w:r>
      <w:r>
        <w:t xml:space="preserve">måste samtidigt vara att ge den dömde den vård och rehabilitering som behövs – att hålla människor inlåsta får </w:t>
      </w:r>
      <w:r w:rsidR="00271CD3">
        <w:t xml:space="preserve">aldrig </w:t>
      </w:r>
      <w:r w:rsidR="00292B15">
        <w:t xml:space="preserve">stanna vid </w:t>
      </w:r>
      <w:r>
        <w:t>ett egen</w:t>
      </w:r>
      <w:r w:rsidR="00605BE9">
        <w:softHyphen/>
      </w:r>
      <w:r>
        <w:t>intresse. Det är också samhällsekonomiskt ohållbart att inte verka för att de som begår brott på sikt ska rehabiliteras.</w:t>
      </w:r>
      <w:r w:rsidR="00292B15">
        <w:t xml:space="preserve"> Att åtgärden ska vara rättssäker och proportionerlig är såklart också en självklarhet för alla som värnar rättsstaten.</w:t>
      </w:r>
      <w:r>
        <w:t xml:space="preserve"> </w:t>
      </w:r>
      <w:r w:rsidR="00292B15">
        <w:t>Regeringens förslag uppvisar dock stora brister i samtliga dessa aspekter.</w:t>
      </w:r>
    </w:p>
    <w:p w:rsidRPr="00605BE9" w:rsidR="0066032B" w:rsidP="00605BE9" w:rsidRDefault="00C94E81" w14:paraId="3E1C9F58" w14:textId="6761B718">
      <w:pPr>
        <w:pStyle w:val="Rubrik2"/>
      </w:pPr>
      <w:r w:rsidRPr="00605BE9">
        <w:t>Centerpartiet har en bättre lösning</w:t>
      </w:r>
    </w:p>
    <w:p w:rsidR="00605BE9" w:rsidP="00605BE9" w:rsidRDefault="009577C8" w14:paraId="73E53677" w14:textId="77777777">
      <w:pPr>
        <w:pStyle w:val="Normalutanindragellerluft"/>
      </w:pPr>
      <w:r>
        <w:t xml:space="preserve">Centerpartiet föreslår </w:t>
      </w:r>
      <w:r w:rsidR="0066032B">
        <w:t>i</w:t>
      </w:r>
      <w:r w:rsidR="00C94E81">
        <w:t xml:space="preserve"> </w:t>
      </w:r>
      <w:r w:rsidR="0066032B">
        <w:t xml:space="preserve">stället </w:t>
      </w:r>
      <w:r>
        <w:t xml:space="preserve">en lösning </w:t>
      </w:r>
      <w:r w:rsidR="0066032B">
        <w:t xml:space="preserve">som både är förenlig med de grundläggande principerna om ekvivalens och proportionalitet i den svenska straffrätten, är rättssäker och är </w:t>
      </w:r>
      <w:r w:rsidR="00271CD3">
        <w:t xml:space="preserve">avsevärt </w:t>
      </w:r>
      <w:r w:rsidR="0066032B">
        <w:t xml:space="preserve">mer träffsäker. </w:t>
      </w:r>
    </w:p>
    <w:p w:rsidR="007B5BD9" w:rsidP="00605BE9" w:rsidRDefault="00B250F1" w14:paraId="607D1C0B" w14:textId="4B9A63B0">
      <w:r>
        <w:t>Regeringens förslag</w:t>
      </w:r>
      <w:r w:rsidR="00271CD3">
        <w:t xml:space="preserve"> </w:t>
      </w:r>
      <w:r>
        <w:t xml:space="preserve">innebär att </w:t>
      </w:r>
      <w:r w:rsidR="0066032B">
        <w:t>bedömning</w:t>
      </w:r>
      <w:r>
        <w:t>en</w:t>
      </w:r>
      <w:r w:rsidR="0066032B">
        <w:t xml:space="preserve"> av återfallsrisken </w:t>
      </w:r>
      <w:r w:rsidR="00271CD3">
        <w:t>sker</w:t>
      </w:r>
      <w:r w:rsidR="0066032B">
        <w:t xml:space="preserve"> i samband med dom – dvs</w:t>
      </w:r>
      <w:r w:rsidR="00C94E81">
        <w:t>.</w:t>
      </w:r>
      <w:r w:rsidR="0066032B">
        <w:t xml:space="preserve"> många år innan </w:t>
      </w:r>
      <w:r>
        <w:t xml:space="preserve">en </w:t>
      </w:r>
      <w:r w:rsidR="0066032B">
        <w:t xml:space="preserve">frigivning från </w:t>
      </w:r>
      <w:r>
        <w:t xml:space="preserve">ett långt </w:t>
      </w:r>
      <w:r w:rsidR="0066032B">
        <w:t>fängelsestraff ens kan bli aktuell</w:t>
      </w:r>
      <w:r>
        <w:t xml:space="preserve">. Det </w:t>
      </w:r>
      <w:r w:rsidR="0066032B">
        <w:t xml:space="preserve">är </w:t>
      </w:r>
      <w:r>
        <w:t xml:space="preserve">som sagt notoriskt svårt att på ett tillförlitligt sätt bedöma återfallsrisk, och att </w:t>
      </w:r>
      <w:r w:rsidRPr="00605BE9">
        <w:rPr>
          <w:spacing w:val="-1"/>
        </w:rPr>
        <w:t>göra det upp till ett decennium (eller längre) i förväg är såklart inte seriöst. Detta innebär</w:t>
      </w:r>
      <w:r>
        <w:t xml:space="preserve"> också att de som vid denna bedömning felaktigt inte </w:t>
      </w:r>
      <w:r w:rsidR="00271CD3">
        <w:t>anses</w:t>
      </w:r>
      <w:r>
        <w:t xml:space="preserve"> ha en hög återfalls</w:t>
      </w:r>
      <w:r w:rsidR="00605BE9">
        <w:softHyphen/>
      </w:r>
      <w:r>
        <w:t>risk</w:t>
      </w:r>
      <w:r w:rsidR="00271CD3">
        <w:t xml:space="preserve"> </w:t>
      </w:r>
      <w:r>
        <w:t>släpps ut efter avtjänat straff – oavsett återfallsrisk. Intagna som radikaliserats i fängelse eller vars psykiska hälsa försämrats, och som därmed har en högre återfallsrisk vid slutet av fängelsestraffet än i början</w:t>
      </w:r>
      <w:r w:rsidR="00352208">
        <w:t>,</w:t>
      </w:r>
      <w:r>
        <w:t xml:space="preserve"> </w:t>
      </w:r>
      <w:r w:rsidR="007B5BD9">
        <w:t xml:space="preserve">faller också helt utanför regeringens förslag till åtgärd. </w:t>
      </w:r>
    </w:p>
    <w:p w:rsidR="00605BE9" w:rsidP="00605BE9" w:rsidRDefault="007B5BD9" w14:paraId="4E134599" w14:textId="77777777">
      <w:r>
        <w:lastRenderedPageBreak/>
        <w:t xml:space="preserve">Det är därför </w:t>
      </w:r>
      <w:r w:rsidR="0066032B">
        <w:t xml:space="preserve">såklart </w:t>
      </w:r>
      <w:r>
        <w:t>rimligast att risk</w:t>
      </w:r>
      <w:r w:rsidR="00B250F1">
        <w:t>bedömningen sker i slutet av fängelsestraffet när Kriminalvården haft möjlighet att under l</w:t>
      </w:r>
      <w:r>
        <w:t xml:space="preserve">ång tid utvärdera och bedöma den intagnes </w:t>
      </w:r>
      <w:r w:rsidRPr="00605BE9">
        <w:rPr>
          <w:spacing w:val="-1"/>
        </w:rPr>
        <w:t xml:space="preserve">återfallsrisk. Enligt Centerpartiets förslag </w:t>
      </w:r>
      <w:r w:rsidRPr="00605BE9" w:rsidR="00352208">
        <w:rPr>
          <w:spacing w:val="-1"/>
        </w:rPr>
        <w:t>ska</w:t>
      </w:r>
      <w:r w:rsidRPr="00605BE9">
        <w:rPr>
          <w:spacing w:val="-1"/>
        </w:rPr>
        <w:t xml:space="preserve"> därför gärningsmannen dömas till fängelse</w:t>
      </w:r>
      <w:r>
        <w:t xml:space="preserve"> i vanlig ordning. Därefter kan </w:t>
      </w:r>
      <w:r w:rsidR="009577C8">
        <w:t>Kriminalvården, tillsammans med Rättsmedicinalverket, inför frigivning utred</w:t>
      </w:r>
      <w:r>
        <w:t>a</w:t>
      </w:r>
      <w:r w:rsidR="009577C8">
        <w:t xml:space="preserve"> </w:t>
      </w:r>
      <w:r>
        <w:t xml:space="preserve">om </w:t>
      </w:r>
      <w:r w:rsidR="009577C8">
        <w:t>återfallsrisken</w:t>
      </w:r>
      <w:r>
        <w:t xml:space="preserve"> i allvarlig brottslighet mot liv och hälsa är så hög att individen i</w:t>
      </w:r>
      <w:r w:rsidR="00C94E81">
        <w:t xml:space="preserve"> </w:t>
      </w:r>
      <w:r>
        <w:t>fråga av säkerhetsskäl inte bör släppas ut</w:t>
      </w:r>
      <w:r w:rsidR="009577C8">
        <w:t xml:space="preserve">. </w:t>
      </w:r>
      <w:r>
        <w:t xml:space="preserve">På så sätt – till skillnad från regeringens förslag </w:t>
      </w:r>
      <w:r w:rsidR="00C94E81">
        <w:t>–</w:t>
      </w:r>
      <w:r>
        <w:t xml:space="preserve"> fångas alla farliga individer upp, och de som inte har en hög återfallsrisk riskerar inte att sitta fängslade på obestämd tid i preventivt syfte utan grund. </w:t>
      </w:r>
    </w:p>
    <w:p w:rsidR="00605BE9" w:rsidP="00605BE9" w:rsidRDefault="007B5BD9" w14:paraId="0AE3D9BA" w14:textId="5461D4F9">
      <w:r>
        <w:t xml:space="preserve">Centerpartiets förslag innebär att det för intagna som bedöms ha en så kvalificerat </w:t>
      </w:r>
      <w:r w:rsidR="009577C8">
        <w:t>hög återfallsrisk</w:t>
      </w:r>
      <w:r>
        <w:t xml:space="preserve"> </w:t>
      </w:r>
      <w:r w:rsidR="009577C8">
        <w:t>i viss allvarlig brottslighet</w:t>
      </w:r>
      <w:r>
        <w:t xml:space="preserve"> (</w:t>
      </w:r>
      <w:r w:rsidR="00352208">
        <w:t>i likhet med</w:t>
      </w:r>
      <w:r>
        <w:t xml:space="preserve"> regeringen</w:t>
      </w:r>
      <w:r w:rsidR="00352208">
        <w:t xml:space="preserve">s </w:t>
      </w:r>
      <w:r>
        <w:t>för</w:t>
      </w:r>
      <w:r w:rsidR="00352208">
        <w:t>slag</w:t>
      </w:r>
      <w:r>
        <w:t>)</w:t>
      </w:r>
      <w:r w:rsidR="009577C8">
        <w:t xml:space="preserve">, </w:t>
      </w:r>
      <w:r>
        <w:t>i</w:t>
      </w:r>
      <w:r w:rsidR="00C94E81">
        <w:t xml:space="preserve"> </w:t>
      </w:r>
      <w:r>
        <w:t xml:space="preserve">stället </w:t>
      </w:r>
      <w:r w:rsidR="009577C8">
        <w:t xml:space="preserve">bör införas en särskild </w:t>
      </w:r>
      <w:r>
        <w:t>tvångs</w:t>
      </w:r>
      <w:r w:rsidR="009577C8">
        <w:t>vård</w:t>
      </w:r>
      <w:r w:rsidR="00C94E81">
        <w:t>s</w:t>
      </w:r>
      <w:r w:rsidR="009577C8">
        <w:t xml:space="preserve">form – </w:t>
      </w:r>
      <w:r w:rsidRPr="00C94E81" w:rsidR="009577C8">
        <w:t xml:space="preserve">säkerhetsvård </w:t>
      </w:r>
      <w:r w:rsidR="00C94E81">
        <w:t>–</w:t>
      </w:r>
      <w:r w:rsidR="009577C8">
        <w:t xml:space="preserve"> som </w:t>
      </w:r>
      <w:r>
        <w:t xml:space="preserve">ett </w:t>
      </w:r>
      <w:r w:rsidR="009577C8">
        <w:t>komple</w:t>
      </w:r>
      <w:r>
        <w:t>ment till</w:t>
      </w:r>
      <w:r w:rsidR="009577C8">
        <w:t xml:space="preserve"> tvångsvård under </w:t>
      </w:r>
      <w:r>
        <w:t>LRV och LPT</w:t>
      </w:r>
      <w:r w:rsidR="009577C8">
        <w:t>. Detta skulle innebära att tvångsvård</w:t>
      </w:r>
      <w:r w:rsidR="002E3546">
        <w:t>en</w:t>
      </w:r>
      <w:r w:rsidR="009577C8">
        <w:t xml:space="preserve"> beslutas av domstol på ansökan av Kriminalvården, som kvarstå</w:t>
      </w:r>
      <w:r>
        <w:t>r</w:t>
      </w:r>
      <w:r w:rsidR="009577C8">
        <w:t xml:space="preserve"> som verkställande myndighet med ansvar för behandling och rehabilitering. </w:t>
      </w:r>
      <w:r>
        <w:t xml:space="preserve">De farligaste brottslingarna blir på så sätt kvar i fängelset. </w:t>
      </w:r>
      <w:r w:rsidR="009577C8">
        <w:t xml:space="preserve">På samma sätt som vid tvångsvård med särskild utskrivningsprövning skulle frågan om säkerhetsvårdens fortgång omprövas av domstol </w:t>
      </w:r>
      <w:r>
        <w:t>regelbundet</w:t>
      </w:r>
      <w:r w:rsidR="009577C8">
        <w:t xml:space="preserve">. </w:t>
      </w:r>
    </w:p>
    <w:p w:rsidR="007B5BD9" w:rsidP="00605BE9" w:rsidRDefault="007B5BD9" w14:paraId="2A182BCA" w14:textId="3B677442">
      <w:r>
        <w:t xml:space="preserve">Med </w:t>
      </w:r>
      <w:r w:rsidR="009577C8">
        <w:t>vårt förslag bibehålls integriteten och proportionaliteten i det straffrättsliga systemet, samtidigt som man uppnår ett fullgott samhällsskydd från särskilt farliga individer</w:t>
      </w:r>
      <w:r>
        <w:t>;</w:t>
      </w:r>
      <w:r w:rsidR="009577C8">
        <w:t xml:space="preserve"> när straffet är avtjänat träder säkerhetsvård</w:t>
      </w:r>
      <w:r w:rsidR="002E3546">
        <w:t xml:space="preserve"> i fängelse</w:t>
      </w:r>
      <w:r w:rsidR="009577C8">
        <w:t xml:space="preserve"> i</w:t>
      </w:r>
      <w:r w:rsidR="00C94E81">
        <w:t xml:space="preserve"> </w:t>
      </w:r>
      <w:r w:rsidR="009577C8">
        <w:t>stället</w:t>
      </w:r>
      <w:r>
        <w:t xml:space="preserve"> in vid behov</w:t>
      </w:r>
      <w:r w:rsidR="009577C8">
        <w:t xml:space="preserve">. </w:t>
      </w:r>
    </w:p>
    <w:p w:rsidR="00605BE9" w:rsidP="00605BE9" w:rsidRDefault="00EB2F1B" w14:paraId="2AB27AC8" w14:textId="77777777">
      <w:r>
        <w:t>R</w:t>
      </w:r>
      <w:r w:rsidR="009577C8">
        <w:t xml:space="preserve">egeringen </w:t>
      </w:r>
      <w:r>
        <w:t xml:space="preserve">måste därför </w:t>
      </w:r>
      <w:r w:rsidR="009577C8">
        <w:t xml:space="preserve">skyndsamt tillsätta en utredning om </w:t>
      </w:r>
      <w:r w:rsidR="002E3546">
        <w:t xml:space="preserve">hur tvångsvård i form av </w:t>
      </w:r>
      <w:r w:rsidR="009577C8">
        <w:t>säkerhetsvård</w:t>
      </w:r>
      <w:r>
        <w:t xml:space="preserve"> </w:t>
      </w:r>
      <w:r w:rsidR="002E3546">
        <w:t xml:space="preserve">i fängelse efter avtjänat straff kan införas </w:t>
      </w:r>
      <w:r>
        <w:t>för att säkerställa ett fullgott samhällsskydd som är proportionerligt, träffsäkert</w:t>
      </w:r>
      <w:r w:rsidR="002E3546">
        <w:t>,</w:t>
      </w:r>
      <w:r>
        <w:t xml:space="preserve"> rättssäkert och effektivt</w:t>
      </w:r>
      <w:r w:rsidR="009577C8">
        <w:t xml:space="preserve">. </w:t>
      </w:r>
      <w:r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D6F3ED81FFD47D6AF349285E2C58E74"/>
        </w:placeholder>
      </w:sdtPr>
      <w:sdtEndPr/>
      <w:sdtContent>
        <w:p w:rsidR="00C165FF" w:rsidP="00DA44A6" w:rsidRDefault="00C165FF" w14:paraId="3E2D2C76" w14:textId="62246E90"/>
        <w:p w:rsidR="00C165FF" w:rsidP="00DA44A6" w:rsidRDefault="00605BE9" w14:paraId="311DDE2F" w14:textId="5167178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144B4" w14:paraId="38ECC289" w14:textId="77777777">
        <w:trPr>
          <w:cantSplit/>
        </w:trPr>
        <w:tc>
          <w:tcPr>
            <w:tcW w:w="50" w:type="pct"/>
            <w:vAlign w:val="bottom"/>
          </w:tcPr>
          <w:p w:rsidR="007144B4" w:rsidRDefault="00C94E81" w14:paraId="29DAA39C" w14:textId="77777777">
            <w:pPr>
              <w:pStyle w:val="Underskrifter"/>
              <w:spacing w:after="0"/>
            </w:pPr>
            <w:r>
              <w:t>Ulrika Liljeberg (C)</w:t>
            </w:r>
          </w:p>
        </w:tc>
        <w:tc>
          <w:tcPr>
            <w:tcW w:w="50" w:type="pct"/>
            <w:vAlign w:val="bottom"/>
          </w:tcPr>
          <w:p w:rsidR="007144B4" w:rsidRDefault="007144B4" w14:paraId="43C35DA8" w14:textId="77777777">
            <w:pPr>
              <w:pStyle w:val="Underskrifter"/>
              <w:spacing w:after="0"/>
            </w:pPr>
          </w:p>
        </w:tc>
      </w:tr>
      <w:tr w:rsidR="007144B4" w14:paraId="72F0BEEF" w14:textId="77777777">
        <w:trPr>
          <w:cantSplit/>
        </w:trPr>
        <w:tc>
          <w:tcPr>
            <w:tcW w:w="50" w:type="pct"/>
            <w:vAlign w:val="bottom"/>
          </w:tcPr>
          <w:p w:rsidR="007144B4" w:rsidRDefault="00C94E81" w14:paraId="6DEFC6B3" w14:textId="77777777">
            <w:pPr>
              <w:pStyle w:val="Underskrifter"/>
              <w:spacing w:after="0"/>
            </w:pPr>
            <w:r>
              <w:t>Daniel Bäckström (C)</w:t>
            </w:r>
          </w:p>
        </w:tc>
        <w:tc>
          <w:tcPr>
            <w:tcW w:w="50" w:type="pct"/>
            <w:vAlign w:val="bottom"/>
          </w:tcPr>
          <w:p w:rsidR="007144B4" w:rsidRDefault="00C94E81" w14:paraId="22A6C56E" w14:textId="77777777">
            <w:pPr>
              <w:pStyle w:val="Underskrifter"/>
              <w:spacing w:after="0"/>
            </w:pPr>
            <w:r>
              <w:t>Muharrem Demirok (C)</w:t>
            </w:r>
          </w:p>
        </w:tc>
      </w:tr>
      <w:tr w:rsidR="007144B4" w14:paraId="4597F979" w14:textId="77777777">
        <w:trPr>
          <w:cantSplit/>
        </w:trPr>
        <w:tc>
          <w:tcPr>
            <w:tcW w:w="50" w:type="pct"/>
            <w:vAlign w:val="bottom"/>
          </w:tcPr>
          <w:p w:rsidR="007144B4" w:rsidRDefault="00C94E81" w14:paraId="18D9DCF3" w14:textId="77777777">
            <w:pPr>
              <w:pStyle w:val="Underskrifter"/>
              <w:spacing w:after="0"/>
            </w:pPr>
            <w:r>
              <w:lastRenderedPageBreak/>
              <w:t>Mikael Larsson (C)</w:t>
            </w:r>
          </w:p>
        </w:tc>
        <w:tc>
          <w:tcPr>
            <w:tcW w:w="50" w:type="pct"/>
            <w:vAlign w:val="bottom"/>
          </w:tcPr>
          <w:p w:rsidR="007144B4" w:rsidRDefault="00C94E81" w14:paraId="78FE0F25" w14:textId="77777777">
            <w:pPr>
              <w:pStyle w:val="Underskrifter"/>
              <w:spacing w:after="0"/>
            </w:pPr>
            <w:r>
              <w:t>Anna Lasses (C)</w:t>
            </w:r>
          </w:p>
        </w:tc>
      </w:tr>
      <w:tr w:rsidR="007144B4" w14:paraId="081052C4" w14:textId="77777777">
        <w:trPr>
          <w:cantSplit/>
        </w:trPr>
        <w:tc>
          <w:tcPr>
            <w:tcW w:w="50" w:type="pct"/>
            <w:vAlign w:val="bottom"/>
          </w:tcPr>
          <w:p w:rsidR="007144B4" w:rsidRDefault="00C94E81" w14:paraId="724A7AAF" w14:textId="77777777">
            <w:pPr>
              <w:pStyle w:val="Underskrifter"/>
              <w:spacing w:after="0"/>
            </w:pPr>
            <w:r>
              <w:t>Fredrik Lindstål (C)</w:t>
            </w:r>
          </w:p>
        </w:tc>
        <w:tc>
          <w:tcPr>
            <w:tcW w:w="50" w:type="pct"/>
            <w:vAlign w:val="bottom"/>
          </w:tcPr>
          <w:p w:rsidR="007144B4" w:rsidRDefault="00C94E81" w14:paraId="2E5182B6" w14:textId="77777777">
            <w:pPr>
              <w:pStyle w:val="Underskrifter"/>
              <w:spacing w:after="0"/>
            </w:pPr>
            <w:r>
              <w:t>Kerstin Lundgren (C)</w:t>
            </w:r>
          </w:p>
        </w:tc>
      </w:tr>
      <w:tr w:rsidR="007144B4" w14:paraId="291751FF" w14:textId="77777777">
        <w:trPr>
          <w:cantSplit/>
        </w:trPr>
        <w:tc>
          <w:tcPr>
            <w:tcW w:w="50" w:type="pct"/>
            <w:vAlign w:val="bottom"/>
          </w:tcPr>
          <w:p w:rsidR="007144B4" w:rsidRDefault="00C94E81" w14:paraId="7543EA17" w14:textId="77777777">
            <w:pPr>
              <w:pStyle w:val="Underskrifter"/>
              <w:spacing w:after="0"/>
            </w:pPr>
            <w:r>
              <w:t>Helena Vilhelmsson (C)</w:t>
            </w:r>
          </w:p>
        </w:tc>
        <w:tc>
          <w:tcPr>
            <w:tcW w:w="50" w:type="pct"/>
            <w:vAlign w:val="bottom"/>
          </w:tcPr>
          <w:p w:rsidR="007144B4" w:rsidRDefault="007144B4" w14:paraId="497859BC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F7301A" w14:paraId="040EB5E1" w14:textId="3113C78C">
      <w:r>
        <w:t xml:space="preserve"> </w:t>
      </w:r>
      <w:r w:rsidR="00626BA4">
        <w:t xml:space="preserve"> </w:t>
      </w:r>
    </w:p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D2C00" w14:textId="77777777" w:rsidR="009577C8" w:rsidRDefault="009577C8" w:rsidP="000C1CAD">
      <w:pPr>
        <w:spacing w:line="240" w:lineRule="auto"/>
      </w:pPr>
      <w:r>
        <w:separator/>
      </w:r>
    </w:p>
  </w:endnote>
  <w:endnote w:type="continuationSeparator" w:id="0">
    <w:p w14:paraId="25CE4471" w14:textId="77777777" w:rsidR="009577C8" w:rsidRDefault="009577C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9269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F0EA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D22A0" w14:textId="7191FA0A" w:rsidR="00262EA3" w:rsidRPr="00DA44A6" w:rsidRDefault="00262EA3" w:rsidP="00DA44A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B4BE8" w14:textId="77777777" w:rsidR="009577C8" w:rsidRDefault="009577C8" w:rsidP="000C1CAD">
      <w:pPr>
        <w:spacing w:line="240" w:lineRule="auto"/>
      </w:pPr>
      <w:r>
        <w:separator/>
      </w:r>
    </w:p>
  </w:footnote>
  <w:footnote w:type="continuationSeparator" w:id="0">
    <w:p w14:paraId="68697057" w14:textId="77777777" w:rsidR="009577C8" w:rsidRDefault="009577C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59A9C" w14:textId="3F617841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292C47F" wp14:editId="5388E74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E42F6" w14:textId="354D9769" w:rsidR="00262EA3" w:rsidRDefault="00605BE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DBE08D1B48444EFBB81A219BAC2EB0C"/>
                              </w:placeholder>
                              <w:text/>
                            </w:sdtPr>
                            <w:sdtEndPr/>
                            <w:sdtContent>
                              <w:r w:rsidR="009577C8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7C167EBBD644ACC93BA940D58D8F41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92C47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43E42F6" w14:textId="354D9769" w:rsidR="00262EA3" w:rsidRDefault="00605BE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DBE08D1B48444EFBB81A219BAC2EB0C"/>
                        </w:placeholder>
                        <w:text/>
                      </w:sdtPr>
                      <w:sdtEndPr/>
                      <w:sdtContent>
                        <w:r w:rsidR="009577C8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7C167EBBD644ACC93BA940D58D8F41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349075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50CF6" w14:textId="70992D08" w:rsidR="00262EA3" w:rsidRDefault="00262EA3" w:rsidP="008563AC">
    <w:pPr>
      <w:jc w:val="right"/>
    </w:pPr>
  </w:p>
  <w:p w14:paraId="517F0DA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06CFF" w14:textId="6A80F739" w:rsidR="00262EA3" w:rsidRDefault="00605BE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CFC40FD" wp14:editId="4455F3B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5421F72" w14:textId="093953E7" w:rsidR="00262EA3" w:rsidRDefault="00605BE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A44A6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577C8">
          <w:t>C</w:t>
        </w:r>
      </w:sdtContent>
    </w:sdt>
    <w:sdt>
      <w:sdtPr>
        <w:alias w:val="CC_Noformat_Partinummer"/>
        <w:tag w:val="CC_Noformat_Partinummer"/>
        <w:id w:val="-2014525982"/>
        <w:lock w:val="contentLocked"/>
        <w:placeholder>
          <w:docPart w:val="41EF218A5343402B9D9C9A63C2AC8EE7"/>
        </w:placeholder>
        <w:showingPlcHdr/>
        <w:text/>
      </w:sdtPr>
      <w:sdtEndPr/>
      <w:sdtContent>
        <w:r w:rsidR="00821B36">
          <w:t xml:space="preserve"> </w:t>
        </w:r>
      </w:sdtContent>
    </w:sdt>
  </w:p>
  <w:p w14:paraId="74BD23B7" w14:textId="77777777" w:rsidR="00262EA3" w:rsidRPr="008227B3" w:rsidRDefault="00605BE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7101261" w14:textId="190AF680" w:rsidR="00262EA3" w:rsidRPr="008227B3" w:rsidRDefault="00605BE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8A84A10673F94923812C551CF719BEDB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A44A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D2F16F49F68B4D108D982927C1D79671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A44A6">
          <w:t>:3901</w:t>
        </w:r>
      </w:sdtContent>
    </w:sdt>
  </w:p>
  <w:p w14:paraId="5E9DC01E" w14:textId="2C86E447" w:rsidR="00262EA3" w:rsidRDefault="00605BE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DBE08D1B48444EFBB81A219BAC2EB0C"/>
        </w:placeholder>
        <w15:appearance w15:val="hidden"/>
        <w:text/>
      </w:sdtPr>
      <w:sdtEndPr/>
      <w:sdtContent>
        <w:r w:rsidR="00DA44A6">
          <w:t>av Ulrika Liljeberg m.fl.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7C167EBBD644ACC93BA940D58D8F413"/>
      </w:placeholder>
      <w:text/>
    </w:sdtPr>
    <w:sdtEndPr/>
    <w:sdtContent>
      <w:p w14:paraId="64E03788" w14:textId="0A865CA3" w:rsidR="00262EA3" w:rsidRDefault="009B3E62" w:rsidP="00283E0F">
        <w:pPr>
          <w:pStyle w:val="FSHRub2"/>
        </w:pPr>
        <w:r>
          <w:t>med anledning av prop. 2025/26:95 Säkerhetsförvaring – en ny tidsobestämd frihetsberövande påföljd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8BF472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9577C8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A3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1CD3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2B15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3546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93F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20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5BE9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BA4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40E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032B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4B4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5BD9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577C8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3E62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748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0F1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4CB9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5FF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4BB5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81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B767D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2BD8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4A6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062C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2D51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3D7E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2F1B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357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301A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D2434"/>
  <w15:chartTrackingRefBased/>
  <w15:docId w15:val="{DF4DF014-2CA6-4B76-9EE8-8060DA6A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9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32393F"/>
    <w:pPr>
      <w:spacing w:after="0"/>
      <w:ind w:firstLine="0"/>
    </w:pPr>
    <w:rPr>
      <w:kern w:val="28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1FDC4C7DDC43B497007965DCD661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DFBBA5-DC71-45AD-AA57-4534E1C05D77}"/>
      </w:docPartPr>
      <w:docPartBody>
        <w:p w:rsidR="000B4C7B" w:rsidRDefault="000B4C7B">
          <w:pPr>
            <w:pStyle w:val="5A1FDC4C7DDC43B497007965DCD661D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DBE08D1B48444EFBB81A219BAC2EB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C87698-DC10-444E-A9DB-4574D16815D2}"/>
      </w:docPartPr>
      <w:docPartBody>
        <w:p w:rsidR="000B4C7B" w:rsidRDefault="000B4C7B">
          <w:pPr>
            <w:pStyle w:val="3DBE08D1B48444EFBB81A219BAC2EB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C167EBBD644ACC93BA940D58D8F4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20F71A-250F-4DFC-9393-12AB0601E540}"/>
      </w:docPartPr>
      <w:docPartBody>
        <w:p w:rsidR="000B4C7B" w:rsidRDefault="004906BB">
          <w:pPr>
            <w:pStyle w:val="C7C167EBBD644ACC93BA940D58D8F413"/>
          </w:pPr>
          <w:r>
            <w:t xml:space="preserve"> </w:t>
          </w:r>
        </w:p>
      </w:docPartBody>
    </w:docPart>
    <w:docPart>
      <w:docPartPr>
        <w:name w:val="8A84A10673F94923812C551CF719BE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61A11B-A209-494C-A2B7-AAC7ACB2357E}"/>
      </w:docPartPr>
      <w:docPartBody>
        <w:p w:rsidR="000B4C7B" w:rsidRDefault="000B4C7B">
          <w:r w:rsidRPr="003A2334">
            <w:rPr>
              <w:rStyle w:val="Platshllartext"/>
            </w:rPr>
            <w:t>[ange din text här]</w:t>
          </w:r>
        </w:p>
      </w:docPartBody>
    </w:docPart>
    <w:docPart>
      <w:docPartPr>
        <w:name w:val="0D6F3ED81FFD47D6AF349285E2C58E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55B8F0-CE85-4371-8F91-E600079649E3}"/>
      </w:docPartPr>
      <w:docPartBody>
        <w:p w:rsidR="004C1400" w:rsidRDefault="004906BB"/>
      </w:docPartBody>
    </w:docPart>
    <w:docPart>
      <w:docPartPr>
        <w:name w:val="41EF218A5343402B9D9C9A63C2AC8E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C3808E-932E-4EBE-A682-278A56204B13}"/>
      </w:docPartPr>
      <w:docPartBody>
        <w:p w:rsidR="00000000" w:rsidRDefault="004906BB">
          <w:r>
            <w:t xml:space="preserve"> </w:t>
          </w:r>
        </w:p>
      </w:docPartBody>
    </w:docPart>
    <w:docPart>
      <w:docPartPr>
        <w:name w:val="D2F16F49F68B4D108D982927C1D796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6BF4DD-3735-424E-9692-A851DE6F4AC2}"/>
      </w:docPartPr>
      <w:docPartBody>
        <w:p w:rsidR="00000000" w:rsidRDefault="004906BB">
          <w:r>
            <w:t>:3901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C7B"/>
    <w:rsid w:val="000B4C7B"/>
    <w:rsid w:val="004906BB"/>
    <w:rsid w:val="00A02748"/>
    <w:rsid w:val="00CB767D"/>
    <w:rsid w:val="00D3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906BB"/>
    <w:rPr>
      <w:color w:val="F4B083" w:themeColor="accent2" w:themeTint="99"/>
    </w:rPr>
  </w:style>
  <w:style w:type="paragraph" w:customStyle="1" w:styleId="5A1FDC4C7DDC43B497007965DCD661DC">
    <w:name w:val="5A1FDC4C7DDC43B497007965DCD661DC"/>
  </w:style>
  <w:style w:type="paragraph" w:customStyle="1" w:styleId="C717BCCDFC59421C88E276F826E88261">
    <w:name w:val="C717BCCDFC59421C88E276F826E88261"/>
  </w:style>
  <w:style w:type="paragraph" w:customStyle="1" w:styleId="3DBE08D1B48444EFBB81A219BAC2EB0C">
    <w:name w:val="3DBE08D1B48444EFBB81A219BAC2EB0C"/>
  </w:style>
  <w:style w:type="paragraph" w:customStyle="1" w:styleId="C7C167EBBD644ACC93BA940D58D8F413">
    <w:name w:val="C7C167EBBD644ACC93BA940D58D8F4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9FFA7A-0C3C-494C-B8F5-3D9D3E7461EC}"/>
</file>

<file path=customXml/itemProps2.xml><?xml version="1.0" encoding="utf-8"?>
<ds:datastoreItem xmlns:ds="http://schemas.openxmlformats.org/officeDocument/2006/customXml" ds:itemID="{B4F031D2-F81B-428A-95BA-6D3B0441E3E3}"/>
</file>

<file path=customXml/itemProps3.xml><?xml version="1.0" encoding="utf-8"?>
<ds:datastoreItem xmlns:ds="http://schemas.openxmlformats.org/officeDocument/2006/customXml" ds:itemID="{8745E424-9C53-45F2-BB8E-E62008D86023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1104</Words>
  <Characters>6582</Characters>
  <Application>Microsoft Office Word</Application>
  <DocSecurity>0</DocSecurity>
  <Lines>119</Lines>
  <Paragraphs>30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Regeringens proposition  2025 26 95 Säkerhetsförvaring   en ny tidsobestämd  frihetsberövande påföljd</vt:lpstr>
      <vt:lpstr>
      </vt:lpstr>
    </vt:vector>
  </TitlesOfParts>
  <Company>Sveriges riksdag</Company>
  <LinksUpToDate>false</LinksUpToDate>
  <CharactersWithSpaces>7656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