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B27" w:rsidRPr="00564B27" w:rsidRDefault="00564B27">
      <w:pPr>
        <w:pStyle w:val="Hemstlrubrik"/>
      </w:pPr>
      <w:r w:rsidRPr="00564B27">
        <w:t>Förslag till riksdagsbeslut</w:t>
      </w:r>
    </w:p>
    <w:p w:rsidR="00564B27" w:rsidRPr="00564B27" w:rsidRDefault="00564B27">
      <w:pPr>
        <w:pStyle w:val="Hemstlatt"/>
        <w:numPr>
          <w:ilvl w:val="0"/>
          <w:numId w:val="1"/>
        </w:numPr>
      </w:pPr>
      <w:r w:rsidRPr="00564B27">
        <w:t>Riksdagen tillkännager för regeringen som sin mening vad som anförs i motionen om att Sverige ska verka för att EU inte ingår några handelsa</w:t>
      </w:r>
      <w:r w:rsidRPr="00564B27">
        <w:t>v</w:t>
      </w:r>
      <w:r w:rsidRPr="00564B27">
        <w:t>tal utan att först ha genomfört oberoende hål</w:t>
      </w:r>
      <w:r w:rsidRPr="00564B27">
        <w:t>l</w:t>
      </w:r>
      <w:r w:rsidRPr="00564B27">
        <w:t>barhets- och utveckling</w:t>
      </w:r>
      <w:r w:rsidRPr="00564B27">
        <w:t>s</w:t>
      </w:r>
      <w:r w:rsidRPr="00564B27">
        <w:t>analyser (sustainability impact assessments) som tydliggör effekterna för fattiga människor.</w:t>
      </w:r>
    </w:p>
    <w:p w:rsidR="00564B27" w:rsidRPr="00564B27" w:rsidRDefault="00564B27">
      <w:pPr>
        <w:pStyle w:val="Hemstlatt"/>
        <w:numPr>
          <w:ilvl w:val="0"/>
          <w:numId w:val="1"/>
        </w:numPr>
      </w:pPr>
      <w:r w:rsidRPr="00564B27">
        <w:t>Riksdagen tillkännager för regeringen som sin mening vad som anförs i motionen om att Sverige i offentliga underlag ska redogöra för hur rä</w:t>
      </w:r>
      <w:r w:rsidRPr="00564B27">
        <w:t>t</w:t>
      </w:r>
      <w:r w:rsidRPr="00564B27">
        <w:t>tighets- och fattigdomsperspektiven från PGU (politiken för global utveckling) genomsyrar Sveriges ha</w:t>
      </w:r>
      <w:r w:rsidRPr="00564B27">
        <w:t>n</w:t>
      </w:r>
      <w:r w:rsidRPr="00564B27">
        <w:t>delspolitiska analys och o</w:t>
      </w:r>
      <w:r w:rsidRPr="00564B27">
        <w:t>f</w:t>
      </w:r>
      <w:r w:rsidRPr="00564B27">
        <w:t>fentliga handelspolitiska stäl</w:t>
      </w:r>
      <w:r w:rsidRPr="00564B27">
        <w:t>l</w:t>
      </w:r>
      <w:r w:rsidRPr="00564B27">
        <w:t>ningstaganden.</w:t>
      </w:r>
    </w:p>
    <w:p w:rsidR="00564B27" w:rsidRPr="00564B27" w:rsidRDefault="00564B27">
      <w:pPr>
        <w:pStyle w:val="Hemstlatt"/>
        <w:numPr>
          <w:ilvl w:val="0"/>
          <w:numId w:val="1"/>
        </w:numPr>
      </w:pPr>
      <w:r w:rsidRPr="00564B27">
        <w:t>Riksdagen tillkännager för regeringen som sin mening vad som anförs i motionen om att Sverige ska verka för att EU inte använder bistånd som påtryckningsmedel i handelsförhandlingar.</w:t>
      </w:r>
    </w:p>
    <w:p w:rsidR="00564B27" w:rsidRPr="00564B27" w:rsidRDefault="00564B27">
      <w:pPr>
        <w:pStyle w:val="Hemstlatt"/>
        <w:numPr>
          <w:ilvl w:val="0"/>
          <w:numId w:val="1"/>
        </w:numPr>
      </w:pPr>
      <w:r w:rsidRPr="00564B27">
        <w:t>Riksdagen tillkännager för regeringen som sin mening vad som anförs i motionen om att Sverige ska verka för att de handelsavtal som EU ingår ska innehålla tydliga bestämmelser om mekanismer för gemensam up</w:t>
      </w:r>
      <w:r w:rsidRPr="00564B27">
        <w:t>p</w:t>
      </w:r>
      <w:r w:rsidRPr="00564B27">
        <w:t>följning och utvärdering av avtalen utifrån objektiva u</w:t>
      </w:r>
      <w:r w:rsidRPr="00564B27">
        <w:t>t</w:t>
      </w:r>
      <w:r w:rsidRPr="00564B27">
        <w:t>vecklingskriterier.</w:t>
      </w:r>
    </w:p>
    <w:p w:rsidR="00564B27" w:rsidRPr="00564B27" w:rsidRDefault="00564B27">
      <w:pPr>
        <w:pStyle w:val="Rubrik1"/>
      </w:pPr>
      <w:r w:rsidRPr="00564B27">
        <w:t>Motivering</w:t>
      </w:r>
    </w:p>
    <w:p w:rsidR="00564B27" w:rsidRPr="00564B27" w:rsidRDefault="00564B27">
      <w:r w:rsidRPr="00564B27">
        <w:t>Handel är avgörande för att bekämpa fattigdomen i världen. De internatione</w:t>
      </w:r>
      <w:r w:rsidRPr="00564B27">
        <w:t>l</w:t>
      </w:r>
      <w:r w:rsidRPr="00564B27">
        <w:t>la och bilaterala handelsavtal som EU ingår har därför oerhört stor betydelse för världens fattiga. Tyvärr har ojämlika styrkeförhållanden och de rika lä</w:t>
      </w:r>
      <w:r w:rsidRPr="00564B27">
        <w:t>n</w:t>
      </w:r>
      <w:r w:rsidRPr="00564B27">
        <w:t>dernas kortsiktiga egenintressen ofta präglat förhandlingarna, vilket lett till avtal som i delar inte alls gynnar de fattigas intressen.</w:t>
      </w:r>
    </w:p>
    <w:p w:rsidR="00564B27" w:rsidRPr="00564B27" w:rsidRDefault="00564B27">
      <w:pPr>
        <w:pStyle w:val="Normaltindrag"/>
      </w:pPr>
      <w:r w:rsidRPr="00564B27">
        <w:t>Dessa ojämlika styrkeförhållanden påverkar fattiga länders möjligheter att utveckla sitt eget jordbruk, förädla sina produkter och utveckla sina markn</w:t>
      </w:r>
      <w:r w:rsidRPr="00564B27">
        <w:t>a</w:t>
      </w:r>
      <w:r w:rsidRPr="00564B27">
        <w:t xml:space="preserve">der. Afrika är i genomsnitt mer beroende av export jämfört med OECD, </w:t>
      </w:r>
      <w:r w:rsidRPr="00564B27">
        <w:lastRenderedPageBreak/>
        <w:t>men exporten består emellertid till en betydligt högre grad av oprocessade råvaror. Förädling motverkas av EU:s s.k. tulleskalering, dvs. ökade tullar i förhålla</w:t>
      </w:r>
      <w:r w:rsidRPr="00564B27">
        <w:t>n</w:t>
      </w:r>
      <w:r w:rsidRPr="00564B27">
        <w:t>de till förädlingsgrad.</w:t>
      </w:r>
    </w:p>
    <w:p w:rsidR="00564B27" w:rsidRPr="00564B27" w:rsidRDefault="00564B27">
      <w:pPr>
        <w:pStyle w:val="Normaltindrag"/>
      </w:pPr>
      <w:r w:rsidRPr="00564B27">
        <w:t>För att fatta kloka beslut som kan gynna en rättvis och hållbar utveckling krävs bra underlag. Tyvärr saknas det i många av dagens handelsförhandlin</w:t>
      </w:r>
      <w:r w:rsidRPr="00564B27">
        <w:t>g</w:t>
      </w:r>
      <w:r w:rsidRPr="00564B27">
        <w:t>ar oberoende hållbarhets- och utvecklingsanalyser (s.k. sustainabil</w:t>
      </w:r>
      <w:r w:rsidRPr="00564B27">
        <w:t>i</w:t>
      </w:r>
      <w:r w:rsidRPr="00564B27">
        <w:t>ty/development impact assessments). I de fall de görs, sker det ofta parallellt med förhandlingarna istället för i förväg, vilket försvårar för förhandlingspa</w:t>
      </w:r>
      <w:r w:rsidRPr="00564B27">
        <w:t>r</w:t>
      </w:r>
      <w:r w:rsidRPr="00564B27">
        <w:t>terna att fatta välinformerade beslut.</w:t>
      </w:r>
    </w:p>
    <w:p w:rsidR="00564B27" w:rsidRPr="00564B27" w:rsidRDefault="00564B27">
      <w:pPr>
        <w:pStyle w:val="Normaltindrag"/>
      </w:pPr>
      <w:r w:rsidRPr="00564B27">
        <w:t>Det är av oerhörd vikt att regeringen blir ännu bättre på att redogöra för hur rättighets- och fattigdomsperspektiven från PGU (politiken för global utveckling) genomsyrar Sveriges handelspolitiska analys och offentliga ha</w:t>
      </w:r>
      <w:r w:rsidRPr="00564B27">
        <w:t>n</w:t>
      </w:r>
      <w:r w:rsidRPr="00564B27">
        <w:t>delspolitiska ställningstaganden. Detta skulle förslagsvis kunna göras genom offentliga underlag kring Sveriges handelspolitiska analys och handelspoliti</w:t>
      </w:r>
      <w:r w:rsidRPr="00564B27">
        <w:t>s</w:t>
      </w:r>
      <w:r w:rsidRPr="00564B27">
        <w:t>ka ställningstaganden.</w:t>
      </w:r>
    </w:p>
    <w:p w:rsidR="00564B27" w:rsidRPr="00564B27" w:rsidRDefault="00564B27">
      <w:pPr>
        <w:pStyle w:val="Normaltindrag"/>
      </w:pPr>
      <w:r w:rsidRPr="00564B27">
        <w:t>I både internationella och bilaterala handelsförhandlingar har det för</w:t>
      </w:r>
      <w:r w:rsidRPr="00564B27">
        <w:t>e</w:t>
      </w:r>
      <w:r w:rsidRPr="00564B27">
        <w:t>kommit anklagelser om att rika länder använder bistånd som påtryckning</w:t>
      </w:r>
      <w:r w:rsidRPr="00564B27">
        <w:t>s</w:t>
      </w:r>
      <w:r w:rsidRPr="00564B27">
        <w:t>medel för att få fattiga länder att gå med på avtal som kanske inte alltid gy</w:t>
      </w:r>
      <w:r w:rsidRPr="00564B27">
        <w:t>n</w:t>
      </w:r>
      <w:r w:rsidRPr="00564B27">
        <w:t>nar deras utveckling. I rapporten ”Partnership Under Pressure” av brittiska Christian Aid finns fler exempel på hur EU-kommissionen på ett otillbörligt sätt kopplat löften om bistånd till utfallet i EPA-förhandlingarna. Det är inte acceptabelt att Sverige indirekt på detta sätt bidrar till att använda bistånd som påtryckningsmedel. Det är positivt att kommissi</w:t>
      </w:r>
      <w:r w:rsidRPr="00564B27">
        <w:t>onär Michael, ansvarig för utvecklingsfrågor och humanitärt bistånd, i februari i år framhöll hur viktigt det är att EU lever upp till sina åtaganden inom ”Aid for Trade” som är ett initiativ som syftar till att ta ett helhetsgrepp på handelsrelaterat bistånd.</w:t>
      </w:r>
    </w:p>
    <w:p w:rsidR="00564B27" w:rsidRPr="00564B27" w:rsidRDefault="00564B27">
      <w:pPr>
        <w:pStyle w:val="Normaltindrag"/>
      </w:pPr>
      <w:r w:rsidRPr="00564B27">
        <w:t>Moderna handelsförhandlingar handlar om mycket mer än tullar och kv</w:t>
      </w:r>
      <w:r w:rsidRPr="00564B27">
        <w:t>o</w:t>
      </w:r>
      <w:r w:rsidRPr="00564B27">
        <w:t>ter. Genom frågor som rör t.ex. patenträttigheter, investeringar och offentlig upphandling kommer handelsförhandlingarna även att påverka miljö- och utvecklingspolitik som tidigare betraktats mer som nationella angelägenheter. Det är viktigt att fattiga länder ges tillräckligt stort politiskt handlingsutry</w:t>
      </w:r>
      <w:r w:rsidRPr="00564B27">
        <w:t>m</w:t>
      </w:r>
      <w:r w:rsidRPr="00564B27">
        <w:t>me för att de ska få möjlighet att omvandla den ekonomiska tillväxt som handeln ger till en rättvis och hållbar utveckling.</w:t>
      </w:r>
    </w:p>
    <w:p w:rsidR="00564B27" w:rsidRPr="00564B27" w:rsidRDefault="00564B27">
      <w:pPr>
        <w:pStyle w:val="Normaltindrag"/>
      </w:pPr>
      <w:r w:rsidRPr="00564B27">
        <w:t>När handelsavtal väl är på plats är det av yttersta vikt att de följs upp och k</w:t>
      </w:r>
      <w:r w:rsidRPr="00564B27">
        <w:t>ontinuerligt utvärderas för att försäkra att de effektivt bidrar till en rättvis och hållbar utveckling. För att göra detta bör mekanismer för gemensam up</w:t>
      </w:r>
      <w:r w:rsidRPr="00564B27">
        <w:t>p</w:t>
      </w:r>
      <w:r w:rsidRPr="00564B27">
        <w:t>följning och utvärdering av avtalen, utifrån objektiva utvecklingskriterier, skrivas in i de avtal som EU tecknar.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4B27">
        <w:trPr>
          <w:cantSplit/>
        </w:trPr>
        <w:tc>
          <w:tcPr>
            <w:tcW w:w="3046" w:type="dxa"/>
          </w:tcPr>
          <w:p w:rsidR="00564B27" w:rsidRPr="00564B27" w:rsidRDefault="00564B27">
            <w:pPr>
              <w:pStyle w:val="UnderskriftDatum"/>
              <w:spacing w:before="240"/>
            </w:pPr>
            <w:r w:rsidRPr="00564B27">
              <w:t>Stockholm den 5 oktober 2008</w:t>
            </w:r>
          </w:p>
        </w:tc>
        <w:tc>
          <w:tcPr>
            <w:tcW w:w="3047" w:type="dxa"/>
          </w:tcPr>
          <w:p w:rsidR="00564B27" w:rsidRPr="00564B27" w:rsidRDefault="00564B27">
            <w:pPr>
              <w:pStyle w:val="Underskrifter"/>
              <w:spacing w:before="240"/>
            </w:pPr>
          </w:p>
        </w:tc>
      </w:tr>
      <w:tr w:rsidR="00000000" w:rsidRPr="00564B27">
        <w:trPr>
          <w:cantSplit/>
        </w:trPr>
        <w:tc>
          <w:tcPr>
            <w:tcW w:w="3046" w:type="dxa"/>
          </w:tcPr>
          <w:p w:rsidR="00564B27" w:rsidRPr="00564B27" w:rsidRDefault="00564B27">
            <w:pPr>
              <w:pStyle w:val="Underskrifter"/>
            </w:pPr>
            <w:r w:rsidRPr="00564B27">
              <w:t>Rosita Runegrund (kd)</w:t>
            </w:r>
          </w:p>
        </w:tc>
        <w:tc>
          <w:tcPr>
            <w:tcW w:w="3046" w:type="dxa"/>
          </w:tcPr>
          <w:p w:rsidR="00564B27" w:rsidRPr="00564B27" w:rsidRDefault="00564B27">
            <w:pPr>
              <w:pStyle w:val="Underskrifter"/>
            </w:pPr>
          </w:p>
        </w:tc>
      </w:tr>
    </w:tbl>
    <w:p w:rsidR="00564B27" w:rsidRPr="00564B27" w:rsidRDefault="00564B27">
      <w:pPr>
        <w:pStyle w:val="Normaltindrag"/>
      </w:pPr>
    </w:p>
    <w:sectPr w:rsidR="00000000" w:rsidRPr="00564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B27" w:rsidRPr="00564B27" w:rsidRDefault="00564B27">
      <w:r w:rsidRPr="00564B27">
        <w:separator/>
      </w:r>
    </w:p>
  </w:endnote>
  <w:endnote w:type="continuationSeparator" w:id="0">
    <w:p w:rsidR="00564B27" w:rsidRPr="00564B27" w:rsidRDefault="00564B27">
      <w:r w:rsidRPr="00564B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27" w:rsidRPr="00564B27" w:rsidRDefault="00564B27">
    <w:pPr>
      <w:pStyle w:val="Sidfot"/>
    </w:pPr>
    <w:r w:rsidRPr="00564B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26222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27" w:rsidRDefault="00564B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4B27" w:rsidRDefault="00564B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27" w:rsidRPr="00564B27" w:rsidRDefault="00564B27">
    <w:pPr>
      <w:pStyle w:val="Sidfot"/>
    </w:pPr>
    <w:r w:rsidRPr="00564B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02747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27" w:rsidRDefault="00564B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B27" w:rsidRDefault="00564B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27" w:rsidRPr="00564B27" w:rsidRDefault="00564B27">
    <w:pPr>
      <w:pStyle w:val="Sidfot"/>
    </w:pPr>
    <w:r w:rsidRPr="00564B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30219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27" w:rsidRDefault="00564B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B27" w:rsidRDefault="00564B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B27" w:rsidRPr="00564B27" w:rsidRDefault="00564B27">
      <w:r w:rsidRPr="00564B27">
        <w:separator/>
      </w:r>
    </w:p>
  </w:footnote>
  <w:footnote w:type="continuationSeparator" w:id="0">
    <w:p w:rsidR="00564B27" w:rsidRPr="00564B27" w:rsidRDefault="00564B27">
      <w:r w:rsidRPr="00564B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27" w:rsidRPr="00564B27" w:rsidRDefault="00564B27">
    <w:pPr>
      <w:pStyle w:val="Sidhuvud"/>
    </w:pPr>
    <w:r w:rsidRPr="00564B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29530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27" w:rsidRDefault="00564B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4B27" w:rsidRDefault="00564B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27" w:rsidRPr="00564B27" w:rsidRDefault="00564B27">
    <w:pPr>
      <w:pStyle w:val="Sidhuvud"/>
    </w:pPr>
    <w:r w:rsidRPr="00564B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38815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B27" w:rsidRDefault="00564B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4B27" w:rsidRDefault="00564B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B27" w:rsidRPr="00564B27" w:rsidRDefault="00564B27">
    <w:pPr>
      <w:pStyle w:val="FSHNormal"/>
      <w:tabs>
        <w:tab w:val="right" w:pos="5840"/>
      </w:tabs>
    </w:pPr>
    <w:r w:rsidRPr="00564B27">
      <w:br/>
    </w:r>
    <w:r w:rsidRPr="00564B27">
      <w:fldChar w:fldCharType="begin" w:fldLock="1"/>
    </w:r>
    <w:r w:rsidRPr="00564B27">
      <w:instrText xml:space="preserve"> DOCPROPERTY</w:instrText>
    </w:r>
    <w:r w:rsidRPr="00564B27">
      <w:rPr>
        <w:sz w:val="18"/>
      </w:rPr>
      <w:instrText xml:space="preserve"> "YearUser" *\charformat </w:instrText>
    </w:r>
    <w:r w:rsidRPr="00564B27">
      <w:fldChar w:fldCharType="separate"/>
    </w:r>
    <w:r w:rsidRPr="00564B27">
      <w:t>2008/09</w:t>
    </w:r>
    <w:r w:rsidRPr="00564B27">
      <w:fldChar w:fldCharType="end"/>
    </w:r>
    <w:r w:rsidRPr="00564B27">
      <w:t xml:space="preserve"> </w:t>
    </w:r>
    <w:r w:rsidRPr="00564B27">
      <w:tab/>
      <w:t xml:space="preserve">mnr: </w:t>
    </w:r>
    <w:r w:rsidRPr="00564B27">
      <w:fldChar w:fldCharType="begin" w:fldLock="1"/>
    </w:r>
    <w:r w:rsidRPr="00564B27">
      <w:instrText xml:space="preserve"> DOCPROPERTY</w:instrText>
    </w:r>
    <w:r w:rsidRPr="00564B27">
      <w:rPr>
        <w:sz w:val="18"/>
      </w:rPr>
      <w:instrText xml:space="preserve"> "Motionsnummer" *\charformat </w:instrText>
    </w:r>
    <w:r w:rsidRPr="00564B27">
      <w:fldChar w:fldCharType="separate"/>
    </w:r>
    <w:r w:rsidRPr="00564B27">
      <w:t>U288</w:t>
    </w:r>
    <w:r w:rsidRPr="00564B27">
      <w:fldChar w:fldCharType="end"/>
    </w:r>
    <w:r w:rsidRPr="00564B27">
      <w:br/>
    </w:r>
    <w:r w:rsidRPr="00564B27">
      <w:fldChar w:fldCharType="begin" w:fldLock="1"/>
    </w:r>
    <w:r w:rsidRPr="00564B27">
      <w:instrText xml:space="preserve"> DOCPROPERTY</w:instrText>
    </w:r>
    <w:r w:rsidRPr="00564B27">
      <w:rPr>
        <w:sz w:val="18"/>
      </w:rPr>
      <w:instrText xml:space="preserve"> "Samling" *\charformat </w:instrText>
    </w:r>
    <w:r w:rsidRPr="00564B27">
      <w:fldChar w:fldCharType="end"/>
    </w:r>
    <w:r w:rsidRPr="00564B27">
      <w:tab/>
      <w:t xml:space="preserve">pnr: </w:t>
    </w:r>
    <w:r w:rsidRPr="00564B27">
      <w:fldChar w:fldCharType="begin" w:fldLock="1"/>
    </w:r>
    <w:r w:rsidRPr="00564B27">
      <w:instrText xml:space="preserve"> DOCPROPERTY</w:instrText>
    </w:r>
    <w:r w:rsidRPr="00564B27">
      <w:rPr>
        <w:sz w:val="18"/>
      </w:rPr>
      <w:instrText xml:space="preserve"> "Partinummer" *\charformat </w:instrText>
    </w:r>
    <w:r w:rsidRPr="00564B27">
      <w:fldChar w:fldCharType="separate"/>
    </w:r>
    <w:r w:rsidRPr="00564B27">
      <w:t>kd544</w:t>
    </w:r>
    <w:r w:rsidRPr="00564B27">
      <w:fldChar w:fldCharType="end"/>
    </w:r>
  </w:p>
  <w:p w:rsidR="00564B27" w:rsidRPr="00564B27" w:rsidRDefault="00564B27">
    <w:pPr>
      <w:pStyle w:val="FSHRub1"/>
    </w:pPr>
    <w:r w:rsidRPr="00564B27">
      <w:t>Motion till riksdagen</w:t>
    </w:r>
    <w:r w:rsidRPr="00564B27">
      <w:br/>
    </w:r>
    <w:r w:rsidRPr="00564B27">
      <w:fldChar w:fldCharType="begin" w:fldLock="1"/>
    </w:r>
    <w:r w:rsidRPr="00564B27">
      <w:instrText xml:space="preserve"> DOCPROPERTY "YearUser" *\charformat </w:instrText>
    </w:r>
    <w:r w:rsidRPr="00564B27">
      <w:fldChar w:fldCharType="separate"/>
    </w:r>
    <w:r w:rsidRPr="00564B27">
      <w:t>2008/09</w:t>
    </w:r>
    <w:r w:rsidRPr="00564B27">
      <w:fldChar w:fldCharType="end"/>
    </w:r>
    <w:r w:rsidRPr="00564B27">
      <w:t>:</w:t>
    </w:r>
    <w:r w:rsidRPr="00564B27">
      <w:fldChar w:fldCharType="begin" w:fldLock="1"/>
    </w:r>
    <w:r w:rsidRPr="00564B27">
      <w:instrText xml:space="preserve"> DOCPROPERTY "Motionsnummer" *\charformat </w:instrText>
    </w:r>
    <w:r w:rsidRPr="00564B27">
      <w:fldChar w:fldCharType="separate"/>
    </w:r>
    <w:r w:rsidRPr="00564B27">
      <w:t>U288</w:t>
    </w:r>
    <w:r w:rsidRPr="00564B27">
      <w:fldChar w:fldCharType="end"/>
    </w:r>
  </w:p>
  <w:p w:rsidR="00564B27" w:rsidRPr="00564B27" w:rsidRDefault="00564B27">
    <w:pPr>
      <w:pStyle w:val="FSHNormalS5"/>
    </w:pPr>
    <w:r w:rsidRPr="00564B27">
      <w:fldChar w:fldCharType="begin" w:fldLock="1"/>
    </w:r>
    <w:r w:rsidRPr="00564B27">
      <w:instrText xml:space="preserve"> DOCPROPERTY "MotionarText" *\charformat </w:instrText>
    </w:r>
    <w:r w:rsidRPr="00564B27">
      <w:fldChar w:fldCharType="separate"/>
    </w:r>
    <w:r w:rsidRPr="00564B27">
      <w:t>av Rosita Runegrund (kd)</w:t>
    </w:r>
    <w:r w:rsidRPr="00564B27">
      <w:fldChar w:fldCharType="end"/>
    </w:r>
    <w:r w:rsidRPr="00564B27">
      <w:br/>
    </w:r>
    <w:r w:rsidRPr="00564B27">
      <w:fldChar w:fldCharType="begin" w:fldLock="1"/>
    </w:r>
    <w:r w:rsidRPr="00564B27">
      <w:instrText xml:space="preserve"> DOCPROPERTY "SvarFrasKort" *\charformat </w:instrText>
    </w:r>
    <w:r w:rsidRPr="00564B27">
      <w:fldChar w:fldCharType="end"/>
    </w:r>
  </w:p>
  <w:p w:rsidR="00564B27" w:rsidRPr="00564B27" w:rsidRDefault="00564B27">
    <w:pPr>
      <w:pStyle w:val="FSHTitel"/>
    </w:pPr>
    <w:r w:rsidRPr="00564B27">
      <w:fldChar w:fldCharType="begin" w:fldLock="1"/>
    </w:r>
    <w:r w:rsidRPr="00564B27">
      <w:instrText xml:space="preserve"> DOCPROPERTY</w:instrText>
    </w:r>
    <w:r w:rsidRPr="00564B27">
      <w:rPr>
        <w:sz w:val="18"/>
      </w:rPr>
      <w:instrText xml:space="preserve"> "RubrikSvar" *\charformat </w:instrText>
    </w:r>
    <w:r w:rsidRPr="00564B27">
      <w:fldChar w:fldCharType="separate"/>
    </w:r>
    <w:r w:rsidRPr="00564B27">
      <w:t>Rättvisa handelsavtal</w:t>
    </w:r>
    <w:r w:rsidRPr="00564B27">
      <w:fldChar w:fldCharType="end"/>
    </w:r>
  </w:p>
  <w:p w:rsidR="00564B27" w:rsidRPr="00564B27" w:rsidRDefault="00564B27">
    <w:pPr>
      <w:pStyle w:val="Normal00"/>
    </w:pPr>
  </w:p>
  <w:p w:rsidR="00564B27" w:rsidRPr="00564B27" w:rsidRDefault="00564B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63A29C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EAD2F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D0E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80F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FAF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1A6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4EC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98F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5B42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0504385">
    <w:abstractNumId w:val="8"/>
  </w:num>
  <w:num w:numId="2" w16cid:durableId="1862235918">
    <w:abstractNumId w:val="9"/>
  </w:num>
  <w:num w:numId="3" w16cid:durableId="437793944">
    <w:abstractNumId w:val="8"/>
  </w:num>
  <w:num w:numId="4" w16cid:durableId="1935504787">
    <w:abstractNumId w:val="9"/>
  </w:num>
  <w:num w:numId="5" w16cid:durableId="1392734774">
    <w:abstractNumId w:val="13"/>
  </w:num>
  <w:num w:numId="6" w16cid:durableId="1525091239">
    <w:abstractNumId w:val="10"/>
  </w:num>
  <w:num w:numId="7" w16cid:durableId="844973260">
    <w:abstractNumId w:val="11"/>
  </w:num>
  <w:num w:numId="8" w16cid:durableId="254098210">
    <w:abstractNumId w:val="12"/>
  </w:num>
  <w:num w:numId="9" w16cid:durableId="1257636199">
    <w:abstractNumId w:val="8"/>
  </w:num>
  <w:num w:numId="10" w16cid:durableId="215554193">
    <w:abstractNumId w:val="3"/>
  </w:num>
  <w:num w:numId="11" w16cid:durableId="969165267">
    <w:abstractNumId w:val="2"/>
  </w:num>
  <w:num w:numId="12" w16cid:durableId="2006742482">
    <w:abstractNumId w:val="1"/>
  </w:num>
  <w:num w:numId="13" w16cid:durableId="1048577972">
    <w:abstractNumId w:val="0"/>
  </w:num>
  <w:num w:numId="14" w16cid:durableId="958222312">
    <w:abstractNumId w:val="9"/>
  </w:num>
  <w:num w:numId="15" w16cid:durableId="936669294">
    <w:abstractNumId w:val="7"/>
  </w:num>
  <w:num w:numId="16" w16cid:durableId="1801150615">
    <w:abstractNumId w:val="6"/>
  </w:num>
  <w:num w:numId="17" w16cid:durableId="977490280">
    <w:abstractNumId w:val="5"/>
  </w:num>
  <w:num w:numId="18" w16cid:durableId="1293755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95870FB7-9D5C-46CE-A3E5-BCEA4DFA7F30}"/>
  </w:docVars>
  <w:rsids>
    <w:rsidRoot w:val="00363C61"/>
    <w:rsid w:val="00363C61"/>
    <w:rsid w:val="0056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C4BF248-D6B3-4435-B2E6-2EA7B6F9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grad2">
    <w:name w:val="grad2"/>
    <w:basedOn w:val="Standardstycketeckensnitt"/>
    <w:rPr>
      <w:rFonts w:ascii="Verdana" w:hAnsi="Verdan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3842</Characters>
  <Application>Microsoft Office Word</Application>
  <DocSecurity>4</DocSecurity>
  <Lines>69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kd544</vt:lpstr>
    </vt:vector>
  </TitlesOfParts>
  <Company>Riksdagen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kd544</dc:title>
  <dc:subject>kd544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2009-01-24T09:26:00Z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Rättvisa handelsavtal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Rättvisa handelsavtal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Rosita Runegrund (kd)</vt:lpwstr>
  </property>
  <property fmtid="{D5CDD505-2E9C-101B-9397-08002B2CF9AE}" pid="26" name="MotionarLista">
    <vt:lpwstr>Runegrund, Rosita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2008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20082009000001070100000005440069</vt:lpwstr>
  </property>
  <property fmtid="{D5CDD505-2E9C-101B-9397-08002B2CF9AE}" pid="47" name="datum">
    <vt:lpwstr>081005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20082009000001070100000005440069</vt:lpwstr>
  </property>
  <property fmtid="{D5CDD505-2E9C-101B-9397-08002B2CF9AE}" pid="50" name="nummer">
    <vt:lpwstr>288</vt:lpwstr>
  </property>
  <property fmtid="{D5CDD505-2E9C-101B-9397-08002B2CF9AE}" pid="51" name="utskottsbeteckning">
    <vt:lpwstr>U</vt:lpwstr>
  </property>
  <property fmtid="{D5CDD505-2E9C-101B-9397-08002B2CF9AE}" pid="52" name="GlobalUID">
    <vt:lpwstr>{1941131C-022B-4B68-A45B-ADB21F5FC519}</vt:lpwstr>
  </property>
  <property fmtid="{D5CDD505-2E9C-101B-9397-08002B2CF9AE}" pid="53" name="Överföringar">
    <vt:i4>0</vt:i4>
  </property>
  <property fmtid="{D5CDD505-2E9C-101B-9397-08002B2CF9AE}" pid="54" name="Checksum">
    <vt:lpwstr>*0008408507732*</vt:lpwstr>
  </property>
  <property fmtid="{D5CDD505-2E9C-101B-9397-08002B2CF9AE}" pid="55" name="skuggnummer">
    <vt:lpwstr>2230</vt:lpwstr>
  </property>
  <property fmtid="{D5CDD505-2E9C-101B-9397-08002B2CF9AE}" pid="56" name="urixVersion">
    <vt:lpwstr>3.2.0.8</vt:lpwstr>
  </property>
  <property fmtid="{D5CDD505-2E9C-101B-9397-08002B2CF9AE}" pid="57" name="urixOrigin">
    <vt:lpwstr>090402 10:17:40.094</vt:lpwstr>
  </property>
  <property fmtid="{D5CDD505-2E9C-101B-9397-08002B2CF9AE}" pid="58" name="urixGuid">
    <vt:lpwstr>{2269F8B7-B146-4063-822F-1EAE9CDEC5D7}</vt:lpwstr>
  </property>
</Properties>
</file>