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412F7" w14:textId="77777777" w:rsidR="00FB32B9" w:rsidRDefault="004C32F1" w:rsidP="00FB32B9">
      <w:pPr>
        <w:pStyle w:val="UDrubrik"/>
        <w:tabs>
          <w:tab w:val="left" w:pos="1701"/>
          <w:tab w:val="left" w:pos="1985"/>
        </w:tabs>
        <w:rPr>
          <w:rFonts w:cs="Arial"/>
          <w:sz w:val="28"/>
        </w:rPr>
      </w:pPr>
      <w:bookmarkStart w:id="0" w:name="_GoBack"/>
      <w:bookmarkEnd w:id="0"/>
    </w:p>
    <w:p w14:paraId="598412F8" w14:textId="77777777" w:rsidR="00FB32B9" w:rsidRDefault="004C32F1" w:rsidP="00FB32B9">
      <w:pPr>
        <w:pStyle w:val="UDrubrik"/>
        <w:tabs>
          <w:tab w:val="left" w:pos="1701"/>
          <w:tab w:val="left" w:pos="1985"/>
        </w:tabs>
        <w:rPr>
          <w:rFonts w:cs="Arial"/>
          <w:sz w:val="28"/>
        </w:rPr>
      </w:pPr>
    </w:p>
    <w:p w14:paraId="598412F9" w14:textId="77777777" w:rsidR="00FB32B9" w:rsidRDefault="004C32F1" w:rsidP="00FB32B9">
      <w:pPr>
        <w:pStyle w:val="UDrubrik"/>
        <w:tabs>
          <w:tab w:val="left" w:pos="1701"/>
          <w:tab w:val="left" w:pos="1985"/>
        </w:tabs>
        <w:rPr>
          <w:rFonts w:cs="Arial"/>
          <w:sz w:val="28"/>
        </w:rPr>
      </w:pPr>
    </w:p>
    <w:p w14:paraId="598412FA" w14:textId="77777777" w:rsidR="00FB32B9" w:rsidRDefault="004C32F1" w:rsidP="00FB32B9">
      <w:pPr>
        <w:pStyle w:val="UDrubrik"/>
        <w:tabs>
          <w:tab w:val="left" w:pos="1701"/>
          <w:tab w:val="left" w:pos="1985"/>
        </w:tabs>
        <w:rPr>
          <w:rFonts w:cs="Arial"/>
          <w:sz w:val="28"/>
        </w:rPr>
      </w:pPr>
    </w:p>
    <w:p w14:paraId="598412FB" w14:textId="46611BA9" w:rsidR="00FB32B9" w:rsidRDefault="007855D8" w:rsidP="00FB32B9">
      <w:pPr>
        <w:pStyle w:val="UDrubrik"/>
        <w:tabs>
          <w:tab w:val="left" w:pos="1701"/>
          <w:tab w:val="left" w:pos="1985"/>
        </w:tabs>
        <w:rPr>
          <w:rFonts w:cs="Arial"/>
          <w:sz w:val="28"/>
        </w:rPr>
      </w:pPr>
      <w:r>
        <w:rPr>
          <w:rFonts w:cs="Arial"/>
          <w:sz w:val="28"/>
        </w:rPr>
        <w:t>Troliga A-punkter inför kommande rådsmöten som förväntas godkännas vid Coreper I den 26 november 201</w:t>
      </w:r>
      <w:r w:rsidR="00EE4164">
        <w:rPr>
          <w:rFonts w:cs="Arial"/>
          <w:sz w:val="28"/>
        </w:rPr>
        <w:t>4</w:t>
      </w:r>
      <w:r>
        <w:rPr>
          <w:rFonts w:cs="Arial"/>
          <w:sz w:val="28"/>
        </w:rPr>
        <w:t>, vecka 48.</w:t>
      </w:r>
    </w:p>
    <w:p w14:paraId="598412FC" w14:textId="77777777" w:rsidR="00FB32B9" w:rsidRDefault="004C32F1" w:rsidP="00FB32B9">
      <w:pPr>
        <w:pStyle w:val="Brdtext"/>
      </w:pPr>
    </w:p>
    <w:p w14:paraId="598412FD" w14:textId="73C8213C" w:rsidR="00FB32B9" w:rsidRDefault="007855D8" w:rsidP="00FB32B9">
      <w:pPr>
        <w:pStyle w:val="Brdtext"/>
      </w:pPr>
      <w:r>
        <w:t>Överlämnas för skriftligt samråd till torsdagen den 27 november 2014, kl. 08.30.</w:t>
      </w:r>
    </w:p>
    <w:p w14:paraId="598412FE" w14:textId="77777777" w:rsidR="00FB32B9" w:rsidRDefault="007855D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98412FF" w14:textId="77777777" w:rsidR="00D957FB" w:rsidRPr="00FB32B9" w:rsidRDefault="007855D8">
          <w:pPr>
            <w:pStyle w:val="Innehllsfrteckningsrubrik"/>
            <w:rPr>
              <w:color w:val="auto"/>
            </w:rPr>
          </w:pPr>
          <w:r w:rsidRPr="00FB32B9">
            <w:rPr>
              <w:color w:val="auto"/>
            </w:rPr>
            <w:t>Innehållsförteckning</w:t>
          </w:r>
        </w:p>
        <w:p w14:paraId="59841300" w14:textId="77777777" w:rsidR="00DA7250" w:rsidRPr="00DA7250" w:rsidRDefault="004C32F1" w:rsidP="00DA7250">
          <w:pPr>
            <w:rPr>
              <w:lang w:val="en-US" w:eastAsia="ja-JP"/>
            </w:rPr>
          </w:pPr>
        </w:p>
        <w:p w14:paraId="61511808" w14:textId="77777777" w:rsidR="007855D8" w:rsidRDefault="007855D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4690971" w:history="1">
            <w:r w:rsidRPr="007D57D9">
              <w:rPr>
                <w:rStyle w:val="Hyperlnk"/>
                <w:noProof/>
              </w:rPr>
              <w:t>1.</w:t>
            </w:r>
            <w:r>
              <w:rPr>
                <w:rFonts w:asciiTheme="minorHAnsi" w:eastAsiaTheme="minorEastAsia" w:hAnsiTheme="minorHAnsi" w:cstheme="minorBidi"/>
                <w:noProof/>
                <w:lang w:eastAsia="sv-SE"/>
              </w:rPr>
              <w:tab/>
            </w:r>
            <w:r w:rsidRPr="007D57D9">
              <w:rPr>
                <w:rStyle w:val="Hyperlnk"/>
                <w:noProof/>
              </w:rPr>
              <w:t>Replies to written questions put to the Council by Members of the European Parliament (+)</w:t>
            </w:r>
            <w:r>
              <w:rPr>
                <w:noProof/>
                <w:webHidden/>
              </w:rPr>
              <w:tab/>
            </w:r>
            <w:r>
              <w:rPr>
                <w:noProof/>
                <w:webHidden/>
              </w:rPr>
              <w:fldChar w:fldCharType="begin"/>
            </w:r>
            <w:r>
              <w:rPr>
                <w:noProof/>
                <w:webHidden/>
              </w:rPr>
              <w:instrText xml:space="preserve"> PAGEREF _Toc404690971 \h </w:instrText>
            </w:r>
            <w:r>
              <w:rPr>
                <w:noProof/>
                <w:webHidden/>
              </w:rPr>
            </w:r>
            <w:r>
              <w:rPr>
                <w:noProof/>
                <w:webHidden/>
              </w:rPr>
              <w:fldChar w:fldCharType="separate"/>
            </w:r>
            <w:r>
              <w:rPr>
                <w:noProof/>
                <w:webHidden/>
              </w:rPr>
              <w:t>4</w:t>
            </w:r>
            <w:r>
              <w:rPr>
                <w:noProof/>
                <w:webHidden/>
              </w:rPr>
              <w:fldChar w:fldCharType="end"/>
            </w:r>
          </w:hyperlink>
        </w:p>
        <w:p w14:paraId="7F13C2CB"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2" w:history="1">
            <w:r w:rsidR="007855D8" w:rsidRPr="007D57D9">
              <w:rPr>
                <w:rStyle w:val="Hyperlnk"/>
                <w:noProof/>
              </w:rPr>
              <w:t>2.</w:t>
            </w:r>
            <w:r w:rsidR="007855D8">
              <w:rPr>
                <w:rFonts w:asciiTheme="minorHAnsi" w:eastAsiaTheme="minorEastAsia" w:hAnsiTheme="minorHAnsi" w:cstheme="minorBidi"/>
                <w:noProof/>
                <w:lang w:eastAsia="sv-SE"/>
              </w:rPr>
              <w:tab/>
            </w:r>
            <w:r w:rsidR="007855D8" w:rsidRPr="007D57D9">
              <w:rPr>
                <w:rStyle w:val="Hyperlnk"/>
                <w:noProof/>
              </w:rPr>
              <w:t>Proposal for a Council Directive on laying down calculation methods and reporting requirements pursuant to Directive 98/70/EC of the European Parliament and of the Council relating to the quality of petrol and diesel fuels</w:t>
            </w:r>
            <w:r w:rsidR="007855D8">
              <w:rPr>
                <w:noProof/>
                <w:webHidden/>
              </w:rPr>
              <w:tab/>
            </w:r>
            <w:r w:rsidR="007855D8">
              <w:rPr>
                <w:noProof/>
                <w:webHidden/>
              </w:rPr>
              <w:fldChar w:fldCharType="begin"/>
            </w:r>
            <w:r w:rsidR="007855D8">
              <w:rPr>
                <w:noProof/>
                <w:webHidden/>
              </w:rPr>
              <w:instrText xml:space="preserve"> PAGEREF _Toc404690972 \h </w:instrText>
            </w:r>
            <w:r w:rsidR="007855D8">
              <w:rPr>
                <w:noProof/>
                <w:webHidden/>
              </w:rPr>
            </w:r>
            <w:r w:rsidR="007855D8">
              <w:rPr>
                <w:noProof/>
                <w:webHidden/>
              </w:rPr>
              <w:fldChar w:fldCharType="separate"/>
            </w:r>
            <w:r w:rsidR="007855D8">
              <w:rPr>
                <w:noProof/>
                <w:webHidden/>
              </w:rPr>
              <w:t>4</w:t>
            </w:r>
            <w:r w:rsidR="007855D8">
              <w:rPr>
                <w:noProof/>
                <w:webHidden/>
              </w:rPr>
              <w:fldChar w:fldCharType="end"/>
            </w:r>
          </w:hyperlink>
        </w:p>
        <w:p w14:paraId="3424E86C"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3" w:history="1">
            <w:r w:rsidR="007855D8" w:rsidRPr="007D57D9">
              <w:rPr>
                <w:rStyle w:val="Hyperlnk"/>
                <w:noProof/>
              </w:rPr>
              <w:t>3.</w:t>
            </w:r>
            <w:r w:rsidR="007855D8">
              <w:rPr>
                <w:rFonts w:asciiTheme="minorHAnsi" w:eastAsiaTheme="minorEastAsia" w:hAnsiTheme="minorHAnsi" w:cstheme="minorBidi"/>
                <w:noProof/>
                <w:lang w:eastAsia="sv-SE"/>
              </w:rPr>
              <w:tab/>
            </w:r>
            <w:r w:rsidR="007855D8" w:rsidRPr="007D57D9">
              <w:rPr>
                <w:rStyle w:val="Hyperlnk"/>
                <w:noProof/>
              </w:rPr>
              <w:t>Commission Decision of XXX amending Decision 2010/670/EU as regards the extension of certain time-limits laid down in Article 9 and Article 11(1) of that Decision</w:t>
            </w:r>
            <w:r w:rsidR="007855D8">
              <w:rPr>
                <w:noProof/>
                <w:webHidden/>
              </w:rPr>
              <w:tab/>
            </w:r>
            <w:r w:rsidR="007855D8">
              <w:rPr>
                <w:noProof/>
                <w:webHidden/>
              </w:rPr>
              <w:fldChar w:fldCharType="begin"/>
            </w:r>
            <w:r w:rsidR="007855D8">
              <w:rPr>
                <w:noProof/>
                <w:webHidden/>
              </w:rPr>
              <w:instrText xml:space="preserve"> PAGEREF _Toc404690973 \h </w:instrText>
            </w:r>
            <w:r w:rsidR="007855D8">
              <w:rPr>
                <w:noProof/>
                <w:webHidden/>
              </w:rPr>
            </w:r>
            <w:r w:rsidR="007855D8">
              <w:rPr>
                <w:noProof/>
                <w:webHidden/>
              </w:rPr>
              <w:fldChar w:fldCharType="separate"/>
            </w:r>
            <w:r w:rsidR="007855D8">
              <w:rPr>
                <w:noProof/>
                <w:webHidden/>
              </w:rPr>
              <w:t>5</w:t>
            </w:r>
            <w:r w:rsidR="007855D8">
              <w:rPr>
                <w:noProof/>
                <w:webHidden/>
              </w:rPr>
              <w:fldChar w:fldCharType="end"/>
            </w:r>
          </w:hyperlink>
        </w:p>
        <w:p w14:paraId="06F548AF"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4" w:history="1">
            <w:r w:rsidR="007855D8" w:rsidRPr="007D57D9">
              <w:rPr>
                <w:rStyle w:val="Hyperlnk"/>
                <w:noProof/>
              </w:rPr>
              <w:t>4.</w:t>
            </w:r>
            <w:r w:rsidR="007855D8">
              <w:rPr>
                <w:rFonts w:asciiTheme="minorHAnsi" w:eastAsiaTheme="minorEastAsia" w:hAnsiTheme="minorHAnsi" w:cstheme="minorBidi"/>
                <w:noProof/>
                <w:lang w:eastAsia="sv-SE"/>
              </w:rPr>
              <w:tab/>
            </w:r>
            <w:r w:rsidR="007855D8" w:rsidRPr="007D57D9">
              <w:rPr>
                <w:rStyle w:val="Hyperlnk"/>
                <w:noProof/>
              </w:rPr>
              <w:t>Commission Decision of XXX amending Decisions 2009/563/EC, 2009/564/EC, 2009/578/EC, 2010/18/EC, 2011/263/EU, 2011/264/EU, 2011/382/EU and 2011/383/EU in order to prolong the validity of the ecological criteria for the award of the EU Ecolabel to certain products</w:t>
            </w:r>
            <w:r w:rsidR="007855D8">
              <w:rPr>
                <w:noProof/>
                <w:webHidden/>
              </w:rPr>
              <w:tab/>
            </w:r>
            <w:r w:rsidR="007855D8">
              <w:rPr>
                <w:noProof/>
                <w:webHidden/>
              </w:rPr>
              <w:fldChar w:fldCharType="begin"/>
            </w:r>
            <w:r w:rsidR="007855D8">
              <w:rPr>
                <w:noProof/>
                <w:webHidden/>
              </w:rPr>
              <w:instrText xml:space="preserve"> PAGEREF _Toc404690974 \h </w:instrText>
            </w:r>
            <w:r w:rsidR="007855D8">
              <w:rPr>
                <w:noProof/>
                <w:webHidden/>
              </w:rPr>
            </w:r>
            <w:r w:rsidR="007855D8">
              <w:rPr>
                <w:noProof/>
                <w:webHidden/>
              </w:rPr>
              <w:fldChar w:fldCharType="separate"/>
            </w:r>
            <w:r w:rsidR="007855D8">
              <w:rPr>
                <w:noProof/>
                <w:webHidden/>
              </w:rPr>
              <w:t>5</w:t>
            </w:r>
            <w:r w:rsidR="007855D8">
              <w:rPr>
                <w:noProof/>
                <w:webHidden/>
              </w:rPr>
              <w:fldChar w:fldCharType="end"/>
            </w:r>
          </w:hyperlink>
        </w:p>
        <w:p w14:paraId="0AF22610"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5" w:history="1">
            <w:r w:rsidR="007855D8" w:rsidRPr="007D57D9">
              <w:rPr>
                <w:rStyle w:val="Hyperlnk"/>
                <w:noProof/>
              </w:rPr>
              <w:t>5.</w:t>
            </w:r>
            <w:r w:rsidR="007855D8">
              <w:rPr>
                <w:rFonts w:asciiTheme="minorHAnsi" w:eastAsiaTheme="minorEastAsia" w:hAnsiTheme="minorHAnsi" w:cstheme="minorBidi"/>
                <w:noProof/>
                <w:lang w:eastAsia="sv-SE"/>
              </w:rPr>
              <w:tab/>
            </w:r>
            <w:r w:rsidR="007855D8" w:rsidRPr="007D57D9">
              <w:rPr>
                <w:rStyle w:val="Hyperlnk"/>
                <w:noProof/>
              </w:rPr>
              <w:t>Commission Delegated Regulation (EU) No …/.. of 31.10.2014 amending Annex I to Regulation (EC) No 443/2009 of the European Parliament and of the Council in order to take into account the evolution of the mass of new passenger cars registered in 2011, 2012 and 2013</w:t>
            </w:r>
            <w:r w:rsidR="007855D8">
              <w:rPr>
                <w:noProof/>
                <w:webHidden/>
              </w:rPr>
              <w:tab/>
            </w:r>
            <w:r w:rsidR="007855D8">
              <w:rPr>
                <w:noProof/>
                <w:webHidden/>
              </w:rPr>
              <w:fldChar w:fldCharType="begin"/>
            </w:r>
            <w:r w:rsidR="007855D8">
              <w:rPr>
                <w:noProof/>
                <w:webHidden/>
              </w:rPr>
              <w:instrText xml:space="preserve"> PAGEREF _Toc404690975 \h </w:instrText>
            </w:r>
            <w:r w:rsidR="007855D8">
              <w:rPr>
                <w:noProof/>
                <w:webHidden/>
              </w:rPr>
            </w:r>
            <w:r w:rsidR="007855D8">
              <w:rPr>
                <w:noProof/>
                <w:webHidden/>
              </w:rPr>
              <w:fldChar w:fldCharType="separate"/>
            </w:r>
            <w:r w:rsidR="007855D8">
              <w:rPr>
                <w:noProof/>
                <w:webHidden/>
              </w:rPr>
              <w:t>6</w:t>
            </w:r>
            <w:r w:rsidR="007855D8">
              <w:rPr>
                <w:noProof/>
                <w:webHidden/>
              </w:rPr>
              <w:fldChar w:fldCharType="end"/>
            </w:r>
          </w:hyperlink>
        </w:p>
        <w:p w14:paraId="06AAE80B"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6" w:history="1">
            <w:r w:rsidR="007855D8" w:rsidRPr="007D57D9">
              <w:rPr>
                <w:rStyle w:val="Hyperlnk"/>
                <w:noProof/>
              </w:rPr>
              <w:t>6.</w:t>
            </w:r>
            <w:r w:rsidR="007855D8">
              <w:rPr>
                <w:rFonts w:asciiTheme="minorHAnsi" w:eastAsiaTheme="minorEastAsia" w:hAnsiTheme="minorHAnsi" w:cstheme="minorBidi"/>
                <w:noProof/>
                <w:lang w:eastAsia="sv-SE"/>
              </w:rPr>
              <w:tab/>
            </w:r>
            <w:r w:rsidR="007855D8" w:rsidRPr="007D57D9">
              <w:rPr>
                <w:rStyle w:val="Hyperlnk"/>
                <w:noProof/>
              </w:rPr>
              <w:t>Commission Delegated Regulation (EU) No …/.. of 1.10.2014 supplementing Regulation (EU) No 167/2013 of the European Parliament and of the Council as regards environmental and propulsion unit performance requirements of agricultural and forestry vehicles</w:t>
            </w:r>
            <w:r w:rsidR="007855D8">
              <w:rPr>
                <w:noProof/>
                <w:webHidden/>
              </w:rPr>
              <w:tab/>
            </w:r>
            <w:r w:rsidR="007855D8">
              <w:rPr>
                <w:noProof/>
                <w:webHidden/>
              </w:rPr>
              <w:fldChar w:fldCharType="begin"/>
            </w:r>
            <w:r w:rsidR="007855D8">
              <w:rPr>
                <w:noProof/>
                <w:webHidden/>
              </w:rPr>
              <w:instrText xml:space="preserve"> PAGEREF _Toc404690976 \h </w:instrText>
            </w:r>
            <w:r w:rsidR="007855D8">
              <w:rPr>
                <w:noProof/>
                <w:webHidden/>
              </w:rPr>
            </w:r>
            <w:r w:rsidR="007855D8">
              <w:rPr>
                <w:noProof/>
                <w:webHidden/>
              </w:rPr>
              <w:fldChar w:fldCharType="separate"/>
            </w:r>
            <w:r w:rsidR="007855D8">
              <w:rPr>
                <w:noProof/>
                <w:webHidden/>
              </w:rPr>
              <w:t>6</w:t>
            </w:r>
            <w:r w:rsidR="007855D8">
              <w:rPr>
                <w:noProof/>
                <w:webHidden/>
              </w:rPr>
              <w:fldChar w:fldCharType="end"/>
            </w:r>
          </w:hyperlink>
        </w:p>
        <w:p w14:paraId="65949242"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7" w:history="1">
            <w:r w:rsidR="007855D8" w:rsidRPr="007D57D9">
              <w:rPr>
                <w:rStyle w:val="Hyperlnk"/>
                <w:noProof/>
              </w:rPr>
              <w:t>7.</w:t>
            </w:r>
            <w:r w:rsidR="007855D8">
              <w:rPr>
                <w:rFonts w:asciiTheme="minorHAnsi" w:eastAsiaTheme="minorEastAsia" w:hAnsiTheme="minorHAnsi" w:cstheme="minorBidi"/>
                <w:noProof/>
                <w:lang w:eastAsia="sv-SE"/>
              </w:rPr>
              <w:tab/>
            </w:r>
            <w:r w:rsidR="007855D8" w:rsidRPr="007D57D9">
              <w:rPr>
                <w:rStyle w:val="Hyperlnk"/>
                <w:noProof/>
              </w:rPr>
              <w:t>Commission Delegated Regulation (EU) No …/.. of 15.10.2014 supplementing Regulation (EU) No 167/2013 of the European Parliament and of the Council with regard to vehicle braking requirements for the approval of agricultural and forestry vehicles</w:t>
            </w:r>
            <w:r w:rsidR="007855D8">
              <w:rPr>
                <w:noProof/>
                <w:webHidden/>
              </w:rPr>
              <w:tab/>
            </w:r>
            <w:r w:rsidR="007855D8">
              <w:rPr>
                <w:noProof/>
                <w:webHidden/>
              </w:rPr>
              <w:fldChar w:fldCharType="begin"/>
            </w:r>
            <w:r w:rsidR="007855D8">
              <w:rPr>
                <w:noProof/>
                <w:webHidden/>
              </w:rPr>
              <w:instrText xml:space="preserve"> PAGEREF _Toc404690977 \h </w:instrText>
            </w:r>
            <w:r w:rsidR="007855D8">
              <w:rPr>
                <w:noProof/>
                <w:webHidden/>
              </w:rPr>
            </w:r>
            <w:r w:rsidR="007855D8">
              <w:rPr>
                <w:noProof/>
                <w:webHidden/>
              </w:rPr>
              <w:fldChar w:fldCharType="separate"/>
            </w:r>
            <w:r w:rsidR="007855D8">
              <w:rPr>
                <w:noProof/>
                <w:webHidden/>
              </w:rPr>
              <w:t>7</w:t>
            </w:r>
            <w:r w:rsidR="007855D8">
              <w:rPr>
                <w:noProof/>
                <w:webHidden/>
              </w:rPr>
              <w:fldChar w:fldCharType="end"/>
            </w:r>
          </w:hyperlink>
        </w:p>
        <w:p w14:paraId="0FBBEAE3"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8" w:history="1">
            <w:r w:rsidR="007855D8" w:rsidRPr="007D57D9">
              <w:rPr>
                <w:rStyle w:val="Hyperlnk"/>
                <w:noProof/>
              </w:rPr>
              <w:t>8.</w:t>
            </w:r>
            <w:r w:rsidR="007855D8">
              <w:rPr>
                <w:rFonts w:asciiTheme="minorHAnsi" w:eastAsiaTheme="minorEastAsia" w:hAnsiTheme="minorHAnsi" w:cstheme="minorBidi"/>
                <w:noProof/>
                <w:lang w:eastAsia="sv-SE"/>
              </w:rPr>
              <w:tab/>
            </w:r>
            <w:r w:rsidR="007855D8" w:rsidRPr="007D57D9">
              <w:rPr>
                <w:rStyle w:val="Hyperlnk"/>
                <w:noProof/>
              </w:rPr>
              <w:t>Draft Council conclusions on the Special Report No 10/2014 from the European Court of Auditors on "Effectiveness of European Fisheries Fund support for aquaculture"</w:t>
            </w:r>
            <w:r w:rsidR="007855D8">
              <w:rPr>
                <w:noProof/>
                <w:webHidden/>
              </w:rPr>
              <w:tab/>
            </w:r>
            <w:r w:rsidR="007855D8">
              <w:rPr>
                <w:noProof/>
                <w:webHidden/>
              </w:rPr>
              <w:fldChar w:fldCharType="begin"/>
            </w:r>
            <w:r w:rsidR="007855D8">
              <w:rPr>
                <w:noProof/>
                <w:webHidden/>
              </w:rPr>
              <w:instrText xml:space="preserve"> PAGEREF _Toc404690978 \h </w:instrText>
            </w:r>
            <w:r w:rsidR="007855D8">
              <w:rPr>
                <w:noProof/>
                <w:webHidden/>
              </w:rPr>
            </w:r>
            <w:r w:rsidR="007855D8">
              <w:rPr>
                <w:noProof/>
                <w:webHidden/>
              </w:rPr>
              <w:fldChar w:fldCharType="separate"/>
            </w:r>
            <w:r w:rsidR="007855D8">
              <w:rPr>
                <w:noProof/>
                <w:webHidden/>
              </w:rPr>
              <w:t>7</w:t>
            </w:r>
            <w:r w:rsidR="007855D8">
              <w:rPr>
                <w:noProof/>
                <w:webHidden/>
              </w:rPr>
              <w:fldChar w:fldCharType="end"/>
            </w:r>
          </w:hyperlink>
        </w:p>
        <w:p w14:paraId="372EB213" w14:textId="77777777" w:rsidR="007855D8" w:rsidRDefault="004C32F1">
          <w:pPr>
            <w:pStyle w:val="Innehll1"/>
            <w:tabs>
              <w:tab w:val="left" w:pos="440"/>
              <w:tab w:val="right" w:leader="dot" w:pos="9062"/>
            </w:tabs>
            <w:rPr>
              <w:rFonts w:asciiTheme="minorHAnsi" w:eastAsiaTheme="minorEastAsia" w:hAnsiTheme="minorHAnsi" w:cstheme="minorBidi"/>
              <w:noProof/>
              <w:lang w:eastAsia="sv-SE"/>
            </w:rPr>
          </w:pPr>
          <w:hyperlink w:anchor="_Toc404690979" w:history="1">
            <w:r w:rsidR="007855D8" w:rsidRPr="007D57D9">
              <w:rPr>
                <w:rStyle w:val="Hyperlnk"/>
                <w:noProof/>
              </w:rPr>
              <w:t>9.</w:t>
            </w:r>
            <w:r w:rsidR="007855D8">
              <w:rPr>
                <w:rFonts w:asciiTheme="minorHAnsi" w:eastAsiaTheme="minorEastAsia" w:hAnsiTheme="minorHAnsi" w:cstheme="minorBidi"/>
                <w:noProof/>
                <w:lang w:eastAsia="sv-SE"/>
              </w:rPr>
              <w:tab/>
            </w:r>
            <w:r w:rsidR="007855D8" w:rsidRPr="007D57D9">
              <w:rPr>
                <w:rStyle w:val="Hyperlnk"/>
                <w:noProof/>
              </w:rPr>
              <w:t>Draft Decision of the Council authorising the Commission to open negotiations for an agreement enlarging the scope of the agreement on the international occasional carriage of passengers by coach and bus, the "Interbus Agreement", and to cover the international regular carriage of passengers by coach and bus</w:t>
            </w:r>
            <w:r w:rsidR="007855D8">
              <w:rPr>
                <w:noProof/>
                <w:webHidden/>
              </w:rPr>
              <w:tab/>
            </w:r>
            <w:r w:rsidR="007855D8">
              <w:rPr>
                <w:noProof/>
                <w:webHidden/>
              </w:rPr>
              <w:fldChar w:fldCharType="begin"/>
            </w:r>
            <w:r w:rsidR="007855D8">
              <w:rPr>
                <w:noProof/>
                <w:webHidden/>
              </w:rPr>
              <w:instrText xml:space="preserve"> PAGEREF _Toc404690979 \h </w:instrText>
            </w:r>
            <w:r w:rsidR="007855D8">
              <w:rPr>
                <w:noProof/>
                <w:webHidden/>
              </w:rPr>
            </w:r>
            <w:r w:rsidR="007855D8">
              <w:rPr>
                <w:noProof/>
                <w:webHidden/>
              </w:rPr>
              <w:fldChar w:fldCharType="separate"/>
            </w:r>
            <w:r w:rsidR="007855D8">
              <w:rPr>
                <w:noProof/>
                <w:webHidden/>
              </w:rPr>
              <w:t>8</w:t>
            </w:r>
            <w:r w:rsidR="007855D8">
              <w:rPr>
                <w:noProof/>
                <w:webHidden/>
              </w:rPr>
              <w:fldChar w:fldCharType="end"/>
            </w:r>
          </w:hyperlink>
        </w:p>
        <w:p w14:paraId="157251CE" w14:textId="77777777" w:rsidR="007855D8" w:rsidRDefault="004C32F1">
          <w:pPr>
            <w:pStyle w:val="Innehll1"/>
            <w:tabs>
              <w:tab w:val="left" w:pos="660"/>
              <w:tab w:val="right" w:leader="dot" w:pos="9062"/>
            </w:tabs>
            <w:rPr>
              <w:rFonts w:asciiTheme="minorHAnsi" w:eastAsiaTheme="minorEastAsia" w:hAnsiTheme="minorHAnsi" w:cstheme="minorBidi"/>
              <w:noProof/>
              <w:lang w:eastAsia="sv-SE"/>
            </w:rPr>
          </w:pPr>
          <w:hyperlink w:anchor="_Toc404690980" w:history="1">
            <w:r w:rsidR="007855D8" w:rsidRPr="007D57D9">
              <w:rPr>
                <w:rStyle w:val="Hyperlnk"/>
                <w:noProof/>
              </w:rPr>
              <w:t>10.</w:t>
            </w:r>
            <w:r w:rsidR="007855D8">
              <w:rPr>
                <w:rFonts w:asciiTheme="minorHAnsi" w:eastAsiaTheme="minorEastAsia" w:hAnsiTheme="minorHAnsi" w:cstheme="minorBidi"/>
                <w:noProof/>
                <w:lang w:eastAsia="sv-SE"/>
              </w:rPr>
              <w:tab/>
            </w:r>
            <w:r w:rsidR="007855D8" w:rsidRPr="007D57D9">
              <w:rPr>
                <w:rStyle w:val="Hyperlnk"/>
                <w:noProof/>
              </w:rPr>
              <w:t>Draft Council Decision approving the conclusion, by the European Commission, on behalf of the European Atomic Energy Community, of the Agreement for scientific and technological cooperation between the European Union and European Atomic Energy Community and the Swiss Confederation associating the Swiss Confederation to Horizon 2020 - the Framework Programme for Research and Innovation and the Research and Training Programme of the European Atomic Energy Community complementing Horizon 2020, and regulating Switzerland's participation in the ITER activities carried out by Fusion for Energy</w:t>
            </w:r>
            <w:r w:rsidR="007855D8">
              <w:rPr>
                <w:noProof/>
                <w:webHidden/>
              </w:rPr>
              <w:tab/>
            </w:r>
            <w:r w:rsidR="007855D8">
              <w:rPr>
                <w:noProof/>
                <w:webHidden/>
              </w:rPr>
              <w:fldChar w:fldCharType="begin"/>
            </w:r>
            <w:r w:rsidR="007855D8">
              <w:rPr>
                <w:noProof/>
                <w:webHidden/>
              </w:rPr>
              <w:instrText xml:space="preserve"> PAGEREF _Toc404690980 \h </w:instrText>
            </w:r>
            <w:r w:rsidR="007855D8">
              <w:rPr>
                <w:noProof/>
                <w:webHidden/>
              </w:rPr>
            </w:r>
            <w:r w:rsidR="007855D8">
              <w:rPr>
                <w:noProof/>
                <w:webHidden/>
              </w:rPr>
              <w:fldChar w:fldCharType="separate"/>
            </w:r>
            <w:r w:rsidR="007855D8">
              <w:rPr>
                <w:noProof/>
                <w:webHidden/>
              </w:rPr>
              <w:t>8</w:t>
            </w:r>
            <w:r w:rsidR="007855D8">
              <w:rPr>
                <w:noProof/>
                <w:webHidden/>
              </w:rPr>
              <w:fldChar w:fldCharType="end"/>
            </w:r>
          </w:hyperlink>
        </w:p>
        <w:p w14:paraId="5DB90993" w14:textId="77777777" w:rsidR="007855D8" w:rsidRDefault="004C32F1">
          <w:pPr>
            <w:pStyle w:val="Innehll1"/>
            <w:tabs>
              <w:tab w:val="left" w:pos="660"/>
              <w:tab w:val="right" w:leader="dot" w:pos="9062"/>
            </w:tabs>
            <w:rPr>
              <w:rFonts w:asciiTheme="minorHAnsi" w:eastAsiaTheme="minorEastAsia" w:hAnsiTheme="minorHAnsi" w:cstheme="minorBidi"/>
              <w:noProof/>
              <w:lang w:eastAsia="sv-SE"/>
            </w:rPr>
          </w:pPr>
          <w:hyperlink w:anchor="_Toc404690981" w:history="1">
            <w:r w:rsidR="007855D8" w:rsidRPr="007D57D9">
              <w:rPr>
                <w:rStyle w:val="Hyperlnk"/>
                <w:noProof/>
              </w:rPr>
              <w:t>11.</w:t>
            </w:r>
            <w:r w:rsidR="007855D8">
              <w:rPr>
                <w:rFonts w:asciiTheme="minorHAnsi" w:eastAsiaTheme="minorEastAsia" w:hAnsiTheme="minorHAnsi" w:cstheme="minorBidi"/>
                <w:noProof/>
                <w:lang w:eastAsia="sv-SE"/>
              </w:rPr>
              <w:tab/>
            </w:r>
            <w:r w:rsidR="007855D8" w:rsidRPr="007D57D9">
              <w:rPr>
                <w:rStyle w:val="Hyperlnk"/>
                <w:noProof/>
              </w:rPr>
              <w:t>Draft Council Decision on the signing, on behalf of the European Union, and provisional application of the Agreement for scientific and technological cooperation between the European Union and European Atomic Energy Community and the Swiss Confederation associating the Swiss Confederation to Horizon 2020 - the Framework Programme for Research and Innovation and the Research and Training Programme of the European Atomic Energy Community complementing Horizon 2020, and regulating Switzerland's participation in the ITER activities carried out by Fusion for Energy</w:t>
            </w:r>
            <w:r w:rsidR="007855D8">
              <w:rPr>
                <w:noProof/>
                <w:webHidden/>
              </w:rPr>
              <w:tab/>
            </w:r>
            <w:r w:rsidR="007855D8">
              <w:rPr>
                <w:noProof/>
                <w:webHidden/>
              </w:rPr>
              <w:fldChar w:fldCharType="begin"/>
            </w:r>
            <w:r w:rsidR="007855D8">
              <w:rPr>
                <w:noProof/>
                <w:webHidden/>
              </w:rPr>
              <w:instrText xml:space="preserve"> PAGEREF _Toc404690981 \h </w:instrText>
            </w:r>
            <w:r w:rsidR="007855D8">
              <w:rPr>
                <w:noProof/>
                <w:webHidden/>
              </w:rPr>
            </w:r>
            <w:r w:rsidR="007855D8">
              <w:rPr>
                <w:noProof/>
                <w:webHidden/>
              </w:rPr>
              <w:fldChar w:fldCharType="separate"/>
            </w:r>
            <w:r w:rsidR="007855D8">
              <w:rPr>
                <w:noProof/>
                <w:webHidden/>
              </w:rPr>
              <w:t>9</w:t>
            </w:r>
            <w:r w:rsidR="007855D8">
              <w:rPr>
                <w:noProof/>
                <w:webHidden/>
              </w:rPr>
              <w:fldChar w:fldCharType="end"/>
            </w:r>
          </w:hyperlink>
        </w:p>
        <w:p w14:paraId="1EB14005" w14:textId="77777777" w:rsidR="007855D8" w:rsidRDefault="004C32F1">
          <w:pPr>
            <w:pStyle w:val="Innehll1"/>
            <w:tabs>
              <w:tab w:val="left" w:pos="660"/>
              <w:tab w:val="right" w:leader="dot" w:pos="9062"/>
            </w:tabs>
            <w:rPr>
              <w:rFonts w:asciiTheme="minorHAnsi" w:eastAsiaTheme="minorEastAsia" w:hAnsiTheme="minorHAnsi" w:cstheme="minorBidi"/>
              <w:noProof/>
              <w:lang w:eastAsia="sv-SE"/>
            </w:rPr>
          </w:pPr>
          <w:hyperlink w:anchor="_Toc404690982" w:history="1">
            <w:r w:rsidR="007855D8" w:rsidRPr="007D57D9">
              <w:rPr>
                <w:rStyle w:val="Hyperlnk"/>
                <w:noProof/>
              </w:rPr>
              <w:t>12.</w:t>
            </w:r>
            <w:r w:rsidR="007855D8">
              <w:rPr>
                <w:rFonts w:asciiTheme="minorHAnsi" w:eastAsiaTheme="minorEastAsia" w:hAnsiTheme="minorHAnsi" w:cstheme="minorBidi"/>
                <w:noProof/>
                <w:lang w:eastAsia="sv-SE"/>
              </w:rPr>
              <w:tab/>
            </w:r>
            <w:r w:rsidR="007855D8" w:rsidRPr="007D57D9">
              <w:rPr>
                <w:rStyle w:val="Hyperlnk"/>
                <w:noProof/>
              </w:rPr>
              <w:t xml:space="preserve">Convention on the Transboundary Effects of Industrial Accidents a)Proposal for a Council Decision on the position to be adopted, on behalf of the European Union, at the Eighth Conference of </w:t>
            </w:r>
            <w:r w:rsidR="007855D8" w:rsidRPr="007D57D9">
              <w:rPr>
                <w:rStyle w:val="Hyperlnk"/>
                <w:noProof/>
              </w:rPr>
              <w:lastRenderedPageBreak/>
              <w:t>the Parties to the Helsinki Convention on Transboundary Effects of Industrial Accidents with regard to the proposal for an amendment of Annex I</w:t>
            </w:r>
            <w:r w:rsidR="007855D8">
              <w:rPr>
                <w:noProof/>
                <w:webHidden/>
              </w:rPr>
              <w:tab/>
            </w:r>
            <w:r w:rsidR="007855D8">
              <w:rPr>
                <w:noProof/>
                <w:webHidden/>
              </w:rPr>
              <w:fldChar w:fldCharType="begin"/>
            </w:r>
            <w:r w:rsidR="007855D8">
              <w:rPr>
                <w:noProof/>
                <w:webHidden/>
              </w:rPr>
              <w:instrText xml:space="preserve"> PAGEREF _Toc404690982 \h </w:instrText>
            </w:r>
            <w:r w:rsidR="007855D8">
              <w:rPr>
                <w:noProof/>
                <w:webHidden/>
              </w:rPr>
            </w:r>
            <w:r w:rsidR="007855D8">
              <w:rPr>
                <w:noProof/>
                <w:webHidden/>
              </w:rPr>
              <w:fldChar w:fldCharType="separate"/>
            </w:r>
            <w:r w:rsidR="007855D8">
              <w:rPr>
                <w:noProof/>
                <w:webHidden/>
              </w:rPr>
              <w:t>10</w:t>
            </w:r>
            <w:r w:rsidR="007855D8">
              <w:rPr>
                <w:noProof/>
                <w:webHidden/>
              </w:rPr>
              <w:fldChar w:fldCharType="end"/>
            </w:r>
          </w:hyperlink>
        </w:p>
        <w:p w14:paraId="10F1BDB6" w14:textId="77777777" w:rsidR="007855D8" w:rsidRDefault="004C32F1">
          <w:pPr>
            <w:pStyle w:val="Innehll1"/>
            <w:tabs>
              <w:tab w:val="left" w:pos="660"/>
              <w:tab w:val="right" w:leader="dot" w:pos="9062"/>
            </w:tabs>
            <w:rPr>
              <w:rFonts w:asciiTheme="minorHAnsi" w:eastAsiaTheme="minorEastAsia" w:hAnsiTheme="minorHAnsi" w:cstheme="minorBidi"/>
              <w:noProof/>
              <w:lang w:eastAsia="sv-SE"/>
            </w:rPr>
          </w:pPr>
          <w:hyperlink w:anchor="_Toc404690983" w:history="1">
            <w:r w:rsidR="007855D8" w:rsidRPr="007D57D9">
              <w:rPr>
                <w:rStyle w:val="Hyperlnk"/>
                <w:noProof/>
              </w:rPr>
              <w:t>12.</w:t>
            </w:r>
            <w:r w:rsidR="007855D8">
              <w:rPr>
                <w:rFonts w:asciiTheme="minorHAnsi" w:eastAsiaTheme="minorEastAsia" w:hAnsiTheme="minorHAnsi" w:cstheme="minorBidi"/>
                <w:noProof/>
                <w:lang w:eastAsia="sv-SE"/>
              </w:rPr>
              <w:tab/>
            </w:r>
            <w:r w:rsidR="007855D8" w:rsidRPr="007D57D9">
              <w:rPr>
                <w:rStyle w:val="Hyperlnk"/>
                <w:noProof/>
              </w:rPr>
              <w:t>Convention on the Transboundary Effects of Industrial Accidents  b)Recommendation for a Council Decision on authorising the opening of negotiations on the amendment of the Convention on the Transboundary Effects of Industrial Accidents</w:t>
            </w:r>
            <w:r w:rsidR="007855D8">
              <w:rPr>
                <w:noProof/>
                <w:webHidden/>
              </w:rPr>
              <w:tab/>
            </w:r>
            <w:r w:rsidR="007855D8">
              <w:rPr>
                <w:noProof/>
                <w:webHidden/>
              </w:rPr>
              <w:fldChar w:fldCharType="begin"/>
            </w:r>
            <w:r w:rsidR="007855D8">
              <w:rPr>
                <w:noProof/>
                <w:webHidden/>
              </w:rPr>
              <w:instrText xml:space="preserve"> PAGEREF _Toc404690983 \h </w:instrText>
            </w:r>
            <w:r w:rsidR="007855D8">
              <w:rPr>
                <w:noProof/>
                <w:webHidden/>
              </w:rPr>
            </w:r>
            <w:r w:rsidR="007855D8">
              <w:rPr>
                <w:noProof/>
                <w:webHidden/>
              </w:rPr>
              <w:fldChar w:fldCharType="separate"/>
            </w:r>
            <w:r w:rsidR="007855D8">
              <w:rPr>
                <w:noProof/>
                <w:webHidden/>
              </w:rPr>
              <w:t>10</w:t>
            </w:r>
            <w:r w:rsidR="007855D8">
              <w:rPr>
                <w:noProof/>
                <w:webHidden/>
              </w:rPr>
              <w:fldChar w:fldCharType="end"/>
            </w:r>
          </w:hyperlink>
        </w:p>
        <w:p w14:paraId="5984130E" w14:textId="77777777" w:rsidR="00D957FB" w:rsidRDefault="007855D8">
          <w:r>
            <w:rPr>
              <w:b/>
              <w:bCs/>
              <w:noProof/>
            </w:rPr>
            <w:fldChar w:fldCharType="end"/>
          </w:r>
        </w:p>
      </w:sdtContent>
    </w:sdt>
    <w:p w14:paraId="5984130F" w14:textId="77777777" w:rsidR="00D957FB" w:rsidRDefault="007855D8">
      <w:pPr>
        <w:ind w:left="0"/>
      </w:pPr>
      <w:r>
        <w:br w:type="page"/>
      </w:r>
    </w:p>
    <w:p w14:paraId="59841310" w14:textId="77777777" w:rsidR="00643D86" w:rsidRDefault="004C32F1" w:rsidP="00643D86">
      <w:pPr>
        <w:pStyle w:val="Rubrik1"/>
        <w:numPr>
          <w:ilvl w:val="0"/>
          <w:numId w:val="0"/>
        </w:numPr>
      </w:pPr>
      <w:bookmarkStart w:id="1" w:name="_Toc364854645"/>
    </w:p>
    <w:p w14:paraId="59841311" w14:textId="77777777" w:rsidR="00643D86" w:rsidRPr="00EE4164" w:rsidRDefault="007855D8" w:rsidP="00643D86">
      <w:pPr>
        <w:pStyle w:val="Rubrik1"/>
        <w:rPr>
          <w:lang w:val="en-US"/>
        </w:rPr>
      </w:pPr>
      <w:bookmarkStart w:id="2" w:name="_Toc404690971"/>
      <w:r w:rsidRPr="00EE4164">
        <w:rPr>
          <w:noProof/>
          <w:lang w:val="en-US"/>
        </w:rPr>
        <w:t>Replies</w:t>
      </w:r>
      <w:r w:rsidRPr="00EE4164">
        <w:rPr>
          <w:lang w:val="en-US"/>
        </w:rPr>
        <w:t xml:space="preserve"> to written questions put to the Council by Members of the European Parliament (+)</w:t>
      </w:r>
      <w:bookmarkEnd w:id="2"/>
    </w:p>
    <w:p w14:paraId="59841312" w14:textId="77777777" w:rsidR="00643D86" w:rsidRDefault="007855D8" w:rsidP="00643D86">
      <w:pPr>
        <w:rPr>
          <w:lang w:val="en-US"/>
        </w:rPr>
      </w:pPr>
      <w:r>
        <w:rPr>
          <w:noProof/>
          <w:lang w:val="en-US"/>
        </w:rPr>
        <w:t>14990</w:t>
      </w:r>
      <w:r>
        <w:rPr>
          <w:lang w:val="en-US"/>
        </w:rPr>
        <w:t>/14 PE-QE 307 14876/14 PE-QE 300 15049/14 PE-QE 309 14991/14 PE-QE 308 14985/14 PE-QE 305</w:t>
      </w:r>
    </w:p>
    <w:p w14:paraId="03355D80" w14:textId="77777777" w:rsidR="007855D8" w:rsidRDefault="007855D8" w:rsidP="007855D8">
      <w:r>
        <w:rPr>
          <w:b/>
        </w:rPr>
        <w:t xml:space="preserve">Ansvarigt statsråd: </w:t>
      </w:r>
      <w:r w:rsidRPr="007855D8">
        <w:t>Margot Wallström</w:t>
      </w:r>
    </w:p>
    <w:p w14:paraId="59841318" w14:textId="5B2BE8EE" w:rsidR="00FB32B9" w:rsidRDefault="007855D8" w:rsidP="007855D8">
      <w:pPr>
        <w:rPr>
          <w:noProof/>
        </w:rPr>
      </w:pPr>
      <w:r>
        <w:t>Föranleder ingen annotering.</w:t>
      </w:r>
    </w:p>
    <w:p w14:paraId="59841319" w14:textId="77777777" w:rsidR="00643D86" w:rsidRPr="00EE4164" w:rsidRDefault="007855D8" w:rsidP="00643D86">
      <w:pPr>
        <w:pStyle w:val="Rubrik1"/>
        <w:rPr>
          <w:lang w:val="en-US"/>
        </w:rPr>
      </w:pPr>
      <w:bookmarkStart w:id="3" w:name="_Toc404690972"/>
      <w:r w:rsidRPr="00EE4164">
        <w:rPr>
          <w:noProof/>
          <w:lang w:val="en-US"/>
        </w:rPr>
        <w:t>Proposal</w:t>
      </w:r>
      <w:r w:rsidRPr="00EE4164">
        <w:rPr>
          <w:lang w:val="en-US"/>
        </w:rPr>
        <w:t xml:space="preserve"> for a Council Directive on laying down calculation methods and reporting requirements pursuant to Directive 98/70/EC of the European Parliament and of the Council relating to the quality of petrol and diesel fuels</w:t>
      </w:r>
      <w:bookmarkEnd w:id="3"/>
    </w:p>
    <w:p w14:paraId="5984131A" w14:textId="77777777" w:rsidR="00643D86" w:rsidRDefault="007855D8" w:rsidP="00643D86">
      <w:pPr>
        <w:rPr>
          <w:lang w:val="en-US"/>
        </w:rPr>
      </w:pPr>
      <w:r>
        <w:rPr>
          <w:noProof/>
          <w:lang w:val="en-US"/>
        </w:rPr>
        <w:t>14009</w:t>
      </w:r>
      <w:r>
        <w:rPr>
          <w:lang w:val="en-US"/>
        </w:rPr>
        <w:t>/14 CLIMA 90 ENV 814 ENER 424 TRANS 465 ENT 281 IA 7+ ADD 1+ ADD 1 REV 1 (en, bg, de, es, it, sv)15759/14 CLIMA 104 ENV 918 ENER 469 TRANS 543 ENT 26715798/14 CLIMA 107 ENV 923 ENER 471 TRANS 546 ENT 270</w:t>
      </w:r>
    </w:p>
    <w:p w14:paraId="5984131B" w14:textId="37AB08FC" w:rsidR="00643D86" w:rsidRDefault="007855D8" w:rsidP="00643D86">
      <w:r>
        <w:rPr>
          <w:b/>
        </w:rPr>
        <w:t xml:space="preserve">Ansvarigt statsråd: </w:t>
      </w:r>
      <w:r>
        <w:rPr>
          <w:noProof/>
        </w:rPr>
        <w:t>Åsa</w:t>
      </w:r>
      <w:r>
        <w:t xml:space="preserve"> Romson</w:t>
      </w:r>
    </w:p>
    <w:p w14:paraId="59841320" w14:textId="5899DFA1" w:rsidR="005C7A86" w:rsidRDefault="007855D8">
      <w:pPr>
        <w:spacing w:after="280" w:afterAutospacing="1"/>
      </w:pPr>
      <w:r>
        <w:rPr>
          <w:b/>
          <w:bCs/>
        </w:rPr>
        <w:t>Avsikt med behandlingen i rådet:</w:t>
      </w:r>
      <w:r>
        <w:t xml:space="preserve"> Antagande av gemensam ståndpunkt och rådets motivering</w:t>
      </w:r>
    </w:p>
    <w:p w14:paraId="59841322" w14:textId="45EE9048" w:rsidR="005C7A86" w:rsidRDefault="007855D8">
      <w:pPr>
        <w:spacing w:after="280" w:afterAutospacing="1"/>
      </w:pPr>
      <w:r>
        <w:rPr>
          <w:b/>
          <w:bCs/>
        </w:rPr>
        <w:t>Hur regeringen ställer sig till den blivande A-punkten:</w:t>
      </w:r>
      <w:r>
        <w:t xml:space="preserve"> SE avser rösta nej till ORDF:s kompromisstext. Med föreslagen utformning av beräkningarna blir miljöregleringen svag och risken finns att en beslutad räknemetod skapar en praxis för framtida regleringar efter 2020. För miljön vore det bättre om förslaget föll även denna gång. </w:t>
      </w:r>
    </w:p>
    <w:p w14:paraId="59841323" w14:textId="77777777" w:rsidR="005C7A86" w:rsidRDefault="007855D8">
      <w:pPr>
        <w:spacing w:after="280" w:afterAutospacing="1"/>
      </w:pPr>
      <w:r>
        <w:t xml:space="preserve">SE kan informera om att vi avser att tillsammans med DK lämna en gemensam deklaration med våra viktigaste synpunkter. </w:t>
      </w:r>
    </w:p>
    <w:p w14:paraId="59841325" w14:textId="4AAD5113" w:rsidR="005C7A86" w:rsidRDefault="007855D8">
      <w:pPr>
        <w:spacing w:after="280" w:afterAutospacing="1"/>
      </w:pPr>
      <w:r>
        <w:rPr>
          <w:b/>
          <w:bCs/>
        </w:rPr>
        <w:t xml:space="preserve">Bakgrund: </w:t>
      </w:r>
      <w:r>
        <w:t xml:space="preserve">Sedan 2009 finns en ny artikel i bränslekvalitetsdirektivet, artikel 7a, som innebär krav på varje leverantör av fossila drivmedel och energi (bensin, diesel, naturgas och elektricitet) att minska sina livscykelutsläpp av växt-husgaser så att de 2020 uppgår till maximalt 94 % av det genomsnittliga utsläppet 2010 från fossila drivmedel inom EU. </w:t>
      </w:r>
    </w:p>
    <w:p w14:paraId="59841326" w14:textId="77777777" w:rsidR="005C7A86" w:rsidRDefault="007855D8">
      <w:pPr>
        <w:spacing w:after="280" w:afterAutospacing="1"/>
      </w:pPr>
      <w:r>
        <w:t>Direktivet ger kommissionen i uppgift att genom kommittéarbete fast-ställa följande:</w:t>
      </w:r>
      <w:r>
        <w:br/>
        <w:t>• Metod för beräkning av växthusgasutsläpp under hela livscykeln från fossila drivmedel och från energi,</w:t>
      </w:r>
      <w:r>
        <w:br/>
        <w:t>• Referensvärde för 2010</w:t>
      </w:r>
      <w:r>
        <w:br/>
        <w:t>• Eventuella bestämmelser som krävs för att möjliggöra för flera aktörer att gemensamt uppfylla minskningskraven, och</w:t>
      </w:r>
      <w:r>
        <w:br/>
        <w:t>• Metod för att beräkna bidraget från elfordon.</w:t>
      </w:r>
    </w:p>
    <w:p w14:paraId="59841327" w14:textId="77777777" w:rsidR="005C7A86" w:rsidRDefault="007855D8">
      <w:pPr>
        <w:spacing w:after="280" w:afterAutospacing="1"/>
      </w:pPr>
      <w:r>
        <w:t>Förhandlingen har emellertid dragit ut på tiden. Det främsta skälet är oenigheter både inom KOM och mellan MS främst vad gäller hur olika fossila råvaror ska beräknas. Dessutom har det förekommit en intensiv lobbying från oljeindustrin och tunga politiska påtryckningar från Ka-nada emot införandet av artikel 7a.</w:t>
      </w:r>
    </w:p>
    <w:p w14:paraId="59841328" w14:textId="77777777" w:rsidR="005C7A86" w:rsidRDefault="007855D8">
      <w:pPr>
        <w:spacing w:after="280" w:afterAutospacing="1"/>
      </w:pPr>
      <w:r>
        <w:t>Detta är första gången som RAG (miljö) röstar i denna fråga. KOM har tidigare presenterat ett förslag till bränslekvalitetskommittén. Resultatet från omröstningen i kommittén den 23 februari 2012 blev 89 för (där-ibland Sverige), 128 mot och 128 avstod.</w:t>
      </w:r>
    </w:p>
    <w:p w14:paraId="59841329" w14:textId="77777777" w:rsidR="005C7A86" w:rsidRDefault="007855D8">
      <w:pPr>
        <w:spacing w:after="280" w:afterAutospacing="1"/>
      </w:pPr>
      <w:r>
        <w:t>Kompromissförslaget innebär att metoden för beräkning av växthusgasutsläpp ska baseras på vägda medelvärden för växthusgasintensitet som är typiska för olika bränsletyper, t.ex. bensin, diesel, naturgas, vätgas. Det vill säga att bränslen inom en viss kategori enligt ovan behandlas lika, oavsett råvara och ursprung.</w:t>
      </w:r>
    </w:p>
    <w:p w14:paraId="5984132B" w14:textId="54E1DFDC" w:rsidR="00FB32B9" w:rsidRDefault="007855D8">
      <w:pPr>
        <w:spacing w:after="280" w:afterAutospacing="1"/>
        <w:rPr>
          <w:noProof/>
        </w:rPr>
      </w:pPr>
      <w:r>
        <w:t>En sådan metod innebär att verksamheter med ovanligt höga utsläpp inte behöver redovisa dessa samtidigt som företag med ovanligt låga utsläpp inte heller får redovisa dessa. Ett företag som gör investeringar som leder till minskade utsläpp inom transport, raffinering eller distribution får ingen nytta av detta utan ska redovisa utsläppen genom att använda samma medelvärden som konkurrenterna.</w:t>
      </w:r>
    </w:p>
    <w:p w14:paraId="5984132C" w14:textId="77777777" w:rsidR="00643D86" w:rsidRPr="00EE4164" w:rsidRDefault="007855D8" w:rsidP="00643D86">
      <w:pPr>
        <w:pStyle w:val="Rubrik1"/>
        <w:rPr>
          <w:lang w:val="en-US"/>
        </w:rPr>
      </w:pPr>
      <w:bookmarkStart w:id="4" w:name="_Toc404690973"/>
      <w:r w:rsidRPr="00EE4164">
        <w:rPr>
          <w:noProof/>
          <w:lang w:val="en-US"/>
        </w:rPr>
        <w:t>Commission</w:t>
      </w:r>
      <w:r w:rsidRPr="00EE4164">
        <w:rPr>
          <w:lang w:val="en-US"/>
        </w:rPr>
        <w:t xml:space="preserve"> Decision of XXX amending Decision 2010/670/EU as regards the extension of certain time-limits laid down in Article 9 and Article 11(1) of that Decision</w:t>
      </w:r>
      <w:bookmarkEnd w:id="4"/>
    </w:p>
    <w:p w14:paraId="5984132D" w14:textId="77777777" w:rsidR="00643D86" w:rsidRPr="00EE4164" w:rsidRDefault="007855D8" w:rsidP="00643D86">
      <w:pPr>
        <w:rPr>
          <w:lang w:val="es-ES"/>
        </w:rPr>
      </w:pPr>
      <w:r w:rsidRPr="00EE4164">
        <w:rPr>
          <w:noProof/>
          <w:lang w:val="es-ES"/>
        </w:rPr>
        <w:t>15014</w:t>
      </w:r>
      <w:r w:rsidRPr="00EE4164">
        <w:rPr>
          <w:lang w:val="es-ES"/>
        </w:rPr>
        <w:t>/14 CLIMA 97 ENV 870 MI 841 IND 314 ENER 44415761/14 CLIMA 105 ENV 919 MI 914 IND 350 ENER 470</w:t>
      </w:r>
    </w:p>
    <w:p w14:paraId="5984132E" w14:textId="53E250F1" w:rsidR="00643D86" w:rsidRDefault="007855D8" w:rsidP="00643D86">
      <w:r>
        <w:rPr>
          <w:b/>
        </w:rPr>
        <w:t xml:space="preserve">Ansvarigt statsråd: </w:t>
      </w:r>
      <w:r>
        <w:rPr>
          <w:noProof/>
        </w:rPr>
        <w:t>Åsa</w:t>
      </w:r>
      <w:r>
        <w:t xml:space="preserve"> Romson</w:t>
      </w:r>
    </w:p>
    <w:p w14:paraId="59841332" w14:textId="32A44B91" w:rsidR="005C7A86" w:rsidRDefault="007855D8">
      <w:pPr>
        <w:spacing w:after="280" w:afterAutospacing="1"/>
      </w:pPr>
      <w:r>
        <w:rPr>
          <w:b/>
          <w:bCs/>
        </w:rPr>
        <w:t xml:space="preserve">Avsikt med behandlingen i rådet: </w:t>
      </w:r>
      <w:r>
        <w:t>Ändring av NER 300-beslutet avseende tidsfrister.</w:t>
      </w:r>
    </w:p>
    <w:p w14:paraId="1E7590F1" w14:textId="77777777" w:rsidR="007855D8" w:rsidRDefault="007855D8">
      <w:pPr>
        <w:spacing w:after="280" w:afterAutospacing="1"/>
      </w:pPr>
      <w:r>
        <w:rPr>
          <w:b/>
          <w:bCs/>
        </w:rPr>
        <w:t xml:space="preserve">Hur regeringen ställer sig till den blivande A-punkten: </w:t>
      </w:r>
      <w:r>
        <w:t>Regeringen kan stödja förslaget.</w:t>
      </w:r>
    </w:p>
    <w:p w14:paraId="59841334" w14:textId="6227682B" w:rsidR="00FB32B9" w:rsidRDefault="007855D8">
      <w:pPr>
        <w:spacing w:after="280" w:afterAutospacing="1"/>
        <w:rPr>
          <w:noProof/>
        </w:rPr>
      </w:pPr>
      <w:r>
        <w:rPr>
          <w:b/>
          <w:bCs/>
        </w:rPr>
        <w:t xml:space="preserve">Bakgrund: </w:t>
      </w:r>
      <w:r>
        <w:t xml:space="preserve">I energi- och klimatpaketet fram till 2020 avsätts intäkterna för 300 miljoner utsläppsrätter till innovativa projekt inom förnybar energi eller CCS. I första omgångens utlysningar har det framkommit att tidsfristerna i regelverket är för korta för att flera av projekten ska komma till stånd. 6 medlemsstater inklusive Sverige skickade i somras ett brev till KOM med begäran om ändring av det så kallade NER300-beslutet avseende tidsfrister för projekten. Ändringarna antogs i klimatförändringskommitten i oktober 2014.  </w:t>
      </w:r>
    </w:p>
    <w:p w14:paraId="59841335" w14:textId="77777777" w:rsidR="00643D86" w:rsidRPr="00EE4164" w:rsidRDefault="007855D8" w:rsidP="00643D86">
      <w:pPr>
        <w:pStyle w:val="Rubrik1"/>
        <w:rPr>
          <w:lang w:val="en-US"/>
        </w:rPr>
      </w:pPr>
      <w:bookmarkStart w:id="5" w:name="_Toc404690974"/>
      <w:r w:rsidRPr="00EE4164">
        <w:rPr>
          <w:noProof/>
          <w:lang w:val="en-US"/>
        </w:rPr>
        <w:t>Commission</w:t>
      </w:r>
      <w:r w:rsidRPr="00EE4164">
        <w:rPr>
          <w:lang w:val="en-US"/>
        </w:rPr>
        <w:t xml:space="preserve"> Decision of XXX amending Decisions 2009/563/EC, 2009/564/EC, 2009/578/EC, 2010/18/EC, 2011/263/EU, 2011/264/EU, 2011/382/EU and 2011/383/EU in order to prolong the validity of the ecological criteria for the award of the EU Ecolabel to certain products</w:t>
      </w:r>
      <w:bookmarkEnd w:id="5"/>
    </w:p>
    <w:p w14:paraId="59841336" w14:textId="77777777" w:rsidR="00643D86" w:rsidRPr="00EE4164" w:rsidRDefault="007855D8" w:rsidP="00643D86">
      <w:r w:rsidRPr="00EE4164">
        <w:rPr>
          <w:noProof/>
        </w:rPr>
        <w:t>15099</w:t>
      </w:r>
      <w:r w:rsidRPr="00EE4164">
        <w:t>/14 ENV 87615762/14 ENV 920</w:t>
      </w:r>
    </w:p>
    <w:p w14:paraId="59841337" w14:textId="133111B5" w:rsidR="00643D86" w:rsidRDefault="007855D8" w:rsidP="00643D86">
      <w:r>
        <w:rPr>
          <w:b/>
        </w:rPr>
        <w:t xml:space="preserve">Ansvarigt statsråd: </w:t>
      </w:r>
      <w:r>
        <w:rPr>
          <w:noProof/>
        </w:rPr>
        <w:t>Per</w:t>
      </w:r>
      <w:r>
        <w:t xml:space="preserve"> Bolund </w:t>
      </w:r>
    </w:p>
    <w:p w14:paraId="5984133A" w14:textId="16D9CE70" w:rsidR="00643D86" w:rsidRDefault="007855D8" w:rsidP="00643D86">
      <w:r>
        <w:rPr>
          <w:b/>
          <w:bCs/>
        </w:rPr>
        <w:t>Avsikt med behandlingen i rådet:</w:t>
      </w:r>
      <w:r>
        <w:t xml:space="preserve"> Rådet föreslås inte ha några invändningar mot att anta beslut om förlängning av kriterier för miljömärkning av vissa produkter (skodon, campingplatstjänster, logitjänster, golvbeläggningar av trä, diskmedel, tvättmedel, handdiskmedel och allrengöringsmedel). </w:t>
      </w:r>
    </w:p>
    <w:p w14:paraId="5984133B" w14:textId="77777777" w:rsidR="005C7A86" w:rsidRDefault="007855D8">
      <w:pPr>
        <w:spacing w:after="280" w:afterAutospacing="1"/>
      </w:pPr>
      <w:r>
        <w:rPr>
          <w:b/>
          <w:bCs/>
        </w:rPr>
        <w:t>Hur regeringen ställer sig till den blivande A-punkten:</w:t>
      </w:r>
      <w:r>
        <w:t xml:space="preserve"> Regeringen avser att rösta ja till rådets bekräftelse av att det inte har några invändningar mot att anta beslutet. </w:t>
      </w:r>
    </w:p>
    <w:p w14:paraId="5984133D" w14:textId="58D8FBCA" w:rsidR="00FB32B9" w:rsidRDefault="007855D8">
      <w:pPr>
        <w:spacing w:after="280" w:afterAutospacing="1"/>
        <w:rPr>
          <w:noProof/>
        </w:rPr>
      </w:pPr>
      <w:r>
        <w:rPr>
          <w:b/>
          <w:bCs/>
        </w:rPr>
        <w:t xml:space="preserve">Bakgrund: </w:t>
      </w:r>
      <w:r>
        <w:t xml:space="preserve">Kriterierna för de aktuella produkterna upphör alla enligt nuvarande kriterier att gälla under 2015. Kommissionen föreslår att kriterierna förlängs i avvaktan på att reviderade kriterier tas fram och beslutas. Sverige har inom ramen för föreskrivande kommitténs arbete skriftligen meddelat att vi inte har några invändningar mot beslutet. </w:t>
      </w:r>
    </w:p>
    <w:p w14:paraId="5984133E" w14:textId="77777777" w:rsidR="00643D86" w:rsidRPr="00EE4164" w:rsidRDefault="007855D8" w:rsidP="00643D86">
      <w:pPr>
        <w:pStyle w:val="Rubrik1"/>
        <w:rPr>
          <w:lang w:val="en-US"/>
        </w:rPr>
      </w:pPr>
      <w:bookmarkStart w:id="6" w:name="_Toc404690975"/>
      <w:r w:rsidRPr="00EE4164">
        <w:rPr>
          <w:noProof/>
          <w:lang w:val="en-US"/>
        </w:rPr>
        <w:t>Commission</w:t>
      </w:r>
      <w:r w:rsidRPr="00EE4164">
        <w:rPr>
          <w:lang w:val="en-US"/>
        </w:rPr>
        <w:t xml:space="preserve"> Delegated Regulation (EU) No …/.. of 31.10.2014 amending Annex I to Regulation (EC) No 443/2009 of the European Parliament and of the Council in order to take into account the evolution of the mass of new passenger cars registered in 2011, 2012 and 2013</w:t>
      </w:r>
      <w:bookmarkEnd w:id="6"/>
    </w:p>
    <w:p w14:paraId="5984133F" w14:textId="77777777" w:rsidR="00643D86" w:rsidRPr="00EE4164" w:rsidRDefault="007855D8" w:rsidP="00643D86">
      <w:r w:rsidRPr="00EE4164">
        <w:rPr>
          <w:noProof/>
        </w:rPr>
        <w:t>15079</w:t>
      </w:r>
      <w:r w:rsidRPr="00EE4164">
        <w:t>/14 ENV 873 ENT 253 DELACT 21415763/14 ENV 921 ENT 268 DELACT 225</w:t>
      </w:r>
    </w:p>
    <w:p w14:paraId="59841340" w14:textId="3B3F37F3" w:rsidR="00643D86" w:rsidRDefault="007855D8" w:rsidP="00643D86">
      <w:r>
        <w:rPr>
          <w:b/>
        </w:rPr>
        <w:t xml:space="preserve">Ansvarigt statsråd: </w:t>
      </w:r>
      <w:r>
        <w:rPr>
          <w:noProof/>
        </w:rPr>
        <w:t>Åsa</w:t>
      </w:r>
      <w:r>
        <w:t xml:space="preserve"> Romson</w:t>
      </w:r>
    </w:p>
    <w:p w14:paraId="59841344" w14:textId="0CF81964" w:rsidR="005C7A86" w:rsidRDefault="007855D8" w:rsidP="007855D8">
      <w:r>
        <w:rPr>
          <w:b/>
          <w:bCs/>
        </w:rPr>
        <w:t>Avsikt med behandlingen i rådet:</w:t>
      </w:r>
      <w:r>
        <w:t xml:space="preserve"> Rådet föreslås inte invända mot kommissionens delegerade förordning. </w:t>
      </w:r>
    </w:p>
    <w:p w14:paraId="59841346" w14:textId="7E3A399C" w:rsidR="005C7A86" w:rsidRDefault="007855D8">
      <w:pPr>
        <w:spacing w:after="280" w:afterAutospacing="1"/>
      </w:pPr>
      <w:r>
        <w:rPr>
          <w:b/>
          <w:bCs/>
        </w:rPr>
        <w:t>Hur regeringen ställer sig till den blivande A-punkten:</w:t>
      </w:r>
      <w:r>
        <w:t xml:space="preserve"> Regeringen avser rösta ja till att rådet antar kommissionens delegerade förordning. </w:t>
      </w:r>
    </w:p>
    <w:p w14:paraId="59841348" w14:textId="060782FD" w:rsidR="005C7A86" w:rsidRDefault="007855D8">
      <w:pPr>
        <w:spacing w:after="280" w:afterAutospacing="1"/>
      </w:pPr>
      <w:r>
        <w:rPr>
          <w:b/>
          <w:bCs/>
        </w:rPr>
        <w:t xml:space="preserve">Bakgrund: </w:t>
      </w:r>
      <w:r>
        <w:t>I EU finns utsläppsmål för alla personbilar. Utsläppsmålen baseras på den genomsnittliga vikten för alla personbilar som sålts inom EU och beräknas med en formel som anges i bilaga I till förordning (EG) nr 443/2009. Enligt denna förordning ska KOM vart tredje år justera formeln utifrån förändringar i den genomsnittliga vikten för personbilarna.</w:t>
      </w:r>
    </w:p>
    <w:p w14:paraId="5984134A" w14:textId="6237859E" w:rsidR="00FB32B9" w:rsidRDefault="007855D8">
      <w:pPr>
        <w:spacing w:after="280" w:afterAutospacing="1"/>
        <w:rPr>
          <w:noProof/>
        </w:rPr>
      </w:pPr>
      <w:r>
        <w:t>Mellan 2012 - 2015 har den genomsnittliga vikten ökat med 20,4 kg. Från den 1 janurari 2016 ska således den genomsnittliga vikten i formeln öka från 1 372,0 till 1 392,4 kg.</w:t>
      </w:r>
    </w:p>
    <w:p w14:paraId="5984134B" w14:textId="77777777" w:rsidR="00643D86" w:rsidRPr="00EE4164" w:rsidRDefault="007855D8" w:rsidP="00643D86">
      <w:pPr>
        <w:pStyle w:val="Rubrik1"/>
        <w:rPr>
          <w:lang w:val="en-US"/>
        </w:rPr>
      </w:pPr>
      <w:bookmarkStart w:id="7" w:name="_Toc404690976"/>
      <w:r w:rsidRPr="00EE4164">
        <w:rPr>
          <w:noProof/>
          <w:lang w:val="en-US"/>
        </w:rPr>
        <w:t>Commission</w:t>
      </w:r>
      <w:r w:rsidRPr="00EE4164">
        <w:rPr>
          <w:lang w:val="en-US"/>
        </w:rPr>
        <w:t xml:space="preserve"> Delegated Regulation (EU) No …/.. of 1.10.2014 supplementing Regulation (EU) No 167/2013 of the European Parliament and of the Council as regards environmental and propulsion unit performance requirements of agricultural and forestry vehicles</w:t>
      </w:r>
      <w:bookmarkEnd w:id="7"/>
    </w:p>
    <w:p w14:paraId="5984134C" w14:textId="77777777" w:rsidR="00643D86" w:rsidRPr="00EE4164" w:rsidRDefault="007855D8" w:rsidP="00643D86">
      <w:r w:rsidRPr="00EE4164">
        <w:rPr>
          <w:noProof/>
        </w:rPr>
        <w:t>14538</w:t>
      </w:r>
      <w:r w:rsidRPr="00EE4164">
        <w:t>/14 AGRI 641 ENT 240 MI 793 DELACT 202+ ADD 115847/14 AGRI 725 ENT 272 MI 923 DELACT 226</w:t>
      </w:r>
    </w:p>
    <w:p w14:paraId="5984134D" w14:textId="46350895" w:rsidR="00643D86" w:rsidRDefault="007855D8" w:rsidP="00643D86">
      <w:r>
        <w:rPr>
          <w:b/>
        </w:rPr>
        <w:t xml:space="preserve">Ansvarigt statsråd: </w:t>
      </w:r>
      <w:r>
        <w:rPr>
          <w:noProof/>
        </w:rPr>
        <w:t>Anna</w:t>
      </w:r>
      <w:r>
        <w:t xml:space="preserve"> Johansson</w:t>
      </w:r>
    </w:p>
    <w:p w14:paraId="59841351" w14:textId="69683DB9" w:rsidR="005C7A86" w:rsidRDefault="007855D8">
      <w:pPr>
        <w:spacing w:after="280" w:afterAutospacing="1"/>
      </w:pPr>
      <w:r>
        <w:rPr>
          <w:b/>
          <w:bCs/>
        </w:rPr>
        <w:t>Avsikt med behandlingen i rådet:</w:t>
      </w:r>
      <w:r>
        <w:t xml:space="preserve"> Rådet föreslås inte motsätta sig den delegerade akten. </w:t>
      </w:r>
    </w:p>
    <w:p w14:paraId="59841352" w14:textId="04197940" w:rsidR="005C7A86" w:rsidRDefault="007855D8">
      <w:pPr>
        <w:spacing w:after="280" w:afterAutospacing="1"/>
      </w:pPr>
      <w:r>
        <w:rPr>
          <w:b/>
          <w:bCs/>
        </w:rPr>
        <w:t xml:space="preserve">Hur regeringen ställer sig till den blivande A-punkten: </w:t>
      </w:r>
      <w:r>
        <w:t xml:space="preserve">Regeringen avser inte motsätta sig den delegerade akten. </w:t>
      </w:r>
    </w:p>
    <w:p w14:paraId="59841353" w14:textId="1DD917F3" w:rsidR="005C7A86" w:rsidRDefault="007855D8">
      <w:pPr>
        <w:spacing w:after="280" w:afterAutospacing="1"/>
      </w:pPr>
      <w:r>
        <w:rPr>
          <w:b/>
          <w:bCs/>
        </w:rPr>
        <w:t xml:space="preserve">Bakgrund: </w:t>
      </w:r>
      <w:r>
        <w:t xml:space="preserve">Behandlingen i rådet avser kommissionens delegerade förordning om komplettering av Europaparlamentets och rådets förordning 167/2013 om typgodkännande och marknadstillsyn av jordbruks- och skogsbruksfordon. Ramförordningen (EU) 167/2013 avser grundförutsättningar för att typgodkänna jordbruks- och skogsbruksfordon för den inre gemensamma marknaden i EU. Ramförordningen beslutades 2013 och ska tillämpas obligatoriskt senast den 1 januari 2016. </w:t>
      </w:r>
    </w:p>
    <w:p w14:paraId="59841355" w14:textId="6EAD3B1A" w:rsidR="00FB32B9" w:rsidRDefault="007855D8">
      <w:pPr>
        <w:spacing w:after="280" w:afterAutospacing="1"/>
        <w:rPr>
          <w:noProof/>
        </w:rPr>
      </w:pPr>
      <w:r>
        <w:t xml:space="preserve">Den aktuella delegerade förordningen innehåller tekniska specifikationer för miljöprestanda och framdrivningsenheternas prestanda. I den delegerade förordningen föreskrivs närmare tekniska bestämmelser och provningsförfaranden inom dessa områden med enhetliga regler för fordonstillverkare och andra berörda parter. Kommissionen har enligt ramförordningen (EU) 167/2013 befogenhet att fastställa tekniska specifikationer i delegerade akter. </w:t>
      </w:r>
    </w:p>
    <w:p w14:paraId="59841356" w14:textId="77777777" w:rsidR="00643D86" w:rsidRPr="00EE4164" w:rsidRDefault="007855D8" w:rsidP="00643D86">
      <w:pPr>
        <w:pStyle w:val="Rubrik1"/>
        <w:rPr>
          <w:lang w:val="en-US"/>
        </w:rPr>
      </w:pPr>
      <w:bookmarkStart w:id="8" w:name="_Toc404690977"/>
      <w:r w:rsidRPr="00EE4164">
        <w:rPr>
          <w:noProof/>
          <w:lang w:val="en-US"/>
        </w:rPr>
        <w:t>Commission</w:t>
      </w:r>
      <w:r w:rsidRPr="00EE4164">
        <w:rPr>
          <w:lang w:val="en-US"/>
        </w:rPr>
        <w:t xml:space="preserve"> Delegated Regulation (EU) No …/.. of 15.10.2014 supplementing Regulation (EU) No 167/2013 of the European Parliament and of the Council with regard to vehicle braking requirements for the approval of agricultural and forestry vehicles</w:t>
      </w:r>
      <w:bookmarkEnd w:id="8"/>
    </w:p>
    <w:p w14:paraId="59841357" w14:textId="77777777" w:rsidR="00643D86" w:rsidRPr="00EE4164" w:rsidRDefault="007855D8" w:rsidP="00643D86">
      <w:r w:rsidRPr="00EE4164">
        <w:rPr>
          <w:noProof/>
        </w:rPr>
        <w:t>14419</w:t>
      </w:r>
      <w:r w:rsidRPr="00EE4164">
        <w:t>/14 AGRI 638 ENT 239 MI 786 DELACT 198+ ADD 1 + ADD 215850/14 AGRI 726 ENT 273 MI 924 DELACT 227</w:t>
      </w:r>
    </w:p>
    <w:p w14:paraId="59841358" w14:textId="39D5EAE7" w:rsidR="00643D86" w:rsidRDefault="007855D8" w:rsidP="00643D86">
      <w:r>
        <w:rPr>
          <w:b/>
        </w:rPr>
        <w:t xml:space="preserve">Ansvarigt statsråd: </w:t>
      </w:r>
      <w:r>
        <w:rPr>
          <w:noProof/>
        </w:rPr>
        <w:t>Anna</w:t>
      </w:r>
      <w:r>
        <w:t xml:space="preserve"> Johansson</w:t>
      </w:r>
    </w:p>
    <w:p w14:paraId="5984135C" w14:textId="6132410F" w:rsidR="005C7A86" w:rsidRDefault="007855D8">
      <w:pPr>
        <w:spacing w:after="280" w:afterAutospacing="1"/>
      </w:pPr>
      <w:r>
        <w:rPr>
          <w:b/>
          <w:bCs/>
        </w:rPr>
        <w:t xml:space="preserve">Avsikt med behandlingen i rådet: </w:t>
      </w:r>
      <w:r>
        <w:t xml:space="preserve">Rådet föreslås inte motsätta sig den delegerade akten. </w:t>
      </w:r>
    </w:p>
    <w:p w14:paraId="5984135D" w14:textId="5FF6D801" w:rsidR="005C7A86" w:rsidRDefault="007855D8">
      <w:pPr>
        <w:spacing w:after="280" w:afterAutospacing="1"/>
      </w:pPr>
      <w:r>
        <w:rPr>
          <w:b/>
          <w:bCs/>
        </w:rPr>
        <w:t xml:space="preserve">Hur regeringen ställer sig till den blivande A-punkten: </w:t>
      </w:r>
      <w:r>
        <w:t xml:space="preserve">Regeringen avser att inte motsätta sig den delegerade akten. </w:t>
      </w:r>
    </w:p>
    <w:p w14:paraId="5984135E" w14:textId="05F59ADA" w:rsidR="005C7A86" w:rsidRDefault="007855D8">
      <w:pPr>
        <w:spacing w:after="280" w:afterAutospacing="1"/>
      </w:pPr>
      <w:r>
        <w:rPr>
          <w:b/>
          <w:bCs/>
        </w:rPr>
        <w:t xml:space="preserve">Bakgrund: </w:t>
      </w:r>
      <w:r>
        <w:t xml:space="preserve">Behandlingen i rådet avser kommissionens delegerade förordning om komplettering av Europaparlamentets och rådets förordning 167/2013 om typgodkännande och marknadstillsyn av jordbruks- och skogsbruksfordon. Ramförordningen (EU) 167/2013 avser grundförutsättningar för att typgodkänna jordbruks- och skogsbruksfordon för den inre gemensamma marknaden i EU. Ramförordningen beslutades 2013 och ska tillämpas obligatoriskt senast den 1 januari 2016. </w:t>
      </w:r>
    </w:p>
    <w:p w14:paraId="59841360" w14:textId="0C0B2E23" w:rsidR="00FB32B9" w:rsidRDefault="007855D8">
      <w:pPr>
        <w:spacing w:after="280" w:afterAutospacing="1"/>
        <w:rPr>
          <w:noProof/>
        </w:rPr>
      </w:pPr>
      <w:r>
        <w:t xml:space="preserve">Den delegerade förordning innehåller kompletteringar och tekniska specifikationer till ramförordningen (167/2013) rörande krav på fordonsbromsar. Innehåller innebär en uppdatering och komplettering till den tekniska utvecklingen av skogs- och jordbruksfordon (b.la. hänvisar kraven till redan gällande EU- och internationella standarder). Kommissionen har enligt ramförordningen (EU) 167/2013 befogenhet att fastställa tekniska specifikationer i delegerade akter. </w:t>
      </w:r>
    </w:p>
    <w:p w14:paraId="59841361" w14:textId="77777777" w:rsidR="00643D86" w:rsidRPr="00EE4164" w:rsidRDefault="007855D8" w:rsidP="00643D86">
      <w:pPr>
        <w:pStyle w:val="Rubrik1"/>
        <w:rPr>
          <w:lang w:val="en-US"/>
        </w:rPr>
      </w:pPr>
      <w:bookmarkStart w:id="9" w:name="_Toc404690978"/>
      <w:r w:rsidRPr="00EE4164">
        <w:rPr>
          <w:noProof/>
          <w:lang w:val="en-US"/>
        </w:rPr>
        <w:t>Draft</w:t>
      </w:r>
      <w:r w:rsidRPr="00EE4164">
        <w:rPr>
          <w:lang w:val="en-US"/>
        </w:rPr>
        <w:t xml:space="preserve"> Council conclusions on the Special Report No 10/2014 from the European Court of Auditors on "Effectiveness of European Fisheries Fund support for aquaculture"</w:t>
      </w:r>
      <w:bookmarkEnd w:id="9"/>
    </w:p>
    <w:p w14:paraId="59841362" w14:textId="77777777" w:rsidR="00643D86" w:rsidRPr="00EE4164" w:rsidRDefault="007855D8" w:rsidP="00643D86">
      <w:r w:rsidRPr="00EE4164">
        <w:rPr>
          <w:noProof/>
        </w:rPr>
        <w:t>15537</w:t>
      </w:r>
      <w:r w:rsidRPr="00EE4164">
        <w:t xml:space="preserve">/14 FIN 860 PECHE 536 AGRIFIN 143 CADREFIN 128 </w:t>
      </w:r>
    </w:p>
    <w:p w14:paraId="59841363" w14:textId="1833320D" w:rsidR="00643D86" w:rsidRDefault="007855D8" w:rsidP="00643D86">
      <w:r>
        <w:rPr>
          <w:b/>
        </w:rPr>
        <w:t xml:space="preserve">Ansvarigt statsråd: </w:t>
      </w:r>
      <w:r>
        <w:rPr>
          <w:noProof/>
        </w:rPr>
        <w:t>Sven-Erik</w:t>
      </w:r>
      <w:r>
        <w:t xml:space="preserve"> Bucht</w:t>
      </w:r>
    </w:p>
    <w:p w14:paraId="59841368" w14:textId="78935241" w:rsidR="005C7A86" w:rsidRDefault="007855D8">
      <w:pPr>
        <w:spacing w:after="280" w:afterAutospacing="1"/>
      </w:pPr>
      <w:r>
        <w:rPr>
          <w:b/>
          <w:bCs/>
        </w:rPr>
        <w:t xml:space="preserve">Avsikt med behandlingen i rådet: </w:t>
      </w:r>
      <w:r>
        <w:t>Antagande av rådets slutsatser om den särskilda rapporten som den Europeiska revisionsrätten har arbetat fram om ändamålsenligheten i Europeiska fiskerifondens stöd till vattenbruk: "Särskilda rapport n 10/2014 "Ändamålsenligheten i Europeiska fiskerifondens stöd till vattenbruk"</w:t>
      </w:r>
    </w:p>
    <w:p w14:paraId="5984136A" w14:textId="64CDED26" w:rsidR="005C7A86" w:rsidRDefault="007855D8">
      <w:pPr>
        <w:spacing w:after="280" w:afterAutospacing="1"/>
      </w:pPr>
      <w:r>
        <w:rPr>
          <w:b/>
          <w:bCs/>
        </w:rPr>
        <w:t>Hur regeringen ställer sig till den blivande A-punkten:</w:t>
      </w:r>
      <w:r>
        <w:t xml:space="preserve"> Sverige bör stödja antagandet av rapporten. </w:t>
      </w:r>
    </w:p>
    <w:p w14:paraId="5984136C" w14:textId="3005E9E5" w:rsidR="005C7A86" w:rsidRDefault="007855D8">
      <w:pPr>
        <w:spacing w:after="280" w:afterAutospacing="1"/>
      </w:pPr>
      <w:r>
        <w:rPr>
          <w:b/>
          <w:bCs/>
        </w:rPr>
        <w:t xml:space="preserve">Bakgrund: </w:t>
      </w:r>
      <w:r>
        <w:t>Den 18 september 2014 fick rådets generalsekretariat en särskild rapport från den Europeiska revisionsrätten om ändamålsenligheten i Europeiska fiskerifondens stöd till vattenbruk. Enligt bestämmelserna i rådets slutsatser om förbättringen av granskningen av särskilda rapporter framtagna av den Europeiska revisionsrätten (dok. 7515/00 FIN 127 + COR 1) ska varje särskild rapport från den Europeiska revisionsrätten genomgå en noggrann granskning av den rådsarbetsgruppen som är berörd och utpekad av COREPER. Granskningen bör äga rum inom tre månader från att den Europeiska revisionsrätten lämnade in rapporten till rådet.</w:t>
      </w:r>
    </w:p>
    <w:p w14:paraId="5984136D" w14:textId="77777777" w:rsidR="005C7A86" w:rsidRDefault="007855D8">
      <w:pPr>
        <w:spacing w:after="280" w:afterAutospacing="1"/>
      </w:pPr>
      <w:r>
        <w:t xml:space="preserve">Den 16 oktober behandlades Revisionsrättens rapport i RAG genom att Revisionsrätten informerade RAG kort om det man har kommit fram till. På EU-nivån pekade rapporten huvudsakligen på bl. a. brister rörande målinriktning inom ramen för EFF, koppling till en hållbar utveckling av vattenbruket och tillgång till kvalitativ data för vattenbruket. För många av de problemen som pekas i rapporten erbjuder EHFF förutsättningar för förbättring och effektivare hantering under den kommande programperiod 2014-2020. </w:t>
      </w:r>
    </w:p>
    <w:p w14:paraId="5984136F" w14:textId="41BD3BD7" w:rsidR="00FB32B9" w:rsidRDefault="007855D8">
      <w:pPr>
        <w:spacing w:after="280" w:afterAutospacing="1"/>
        <w:rPr>
          <w:noProof/>
        </w:rPr>
      </w:pPr>
      <w:r>
        <w:t>Den 5 november kommenterades det första utkastet till rådsslutsatser inom ramen för RAG och den 13 november kunde MS enas om ett reviderat förslag till utkast till rådsslutsatser gällande rapporten.</w:t>
      </w:r>
    </w:p>
    <w:p w14:paraId="59841370" w14:textId="77777777" w:rsidR="00643D86" w:rsidRPr="00EE4164" w:rsidRDefault="007855D8" w:rsidP="00643D86">
      <w:pPr>
        <w:pStyle w:val="Rubrik1"/>
        <w:rPr>
          <w:lang w:val="en-US"/>
        </w:rPr>
      </w:pPr>
      <w:bookmarkStart w:id="10" w:name="_Toc404690979"/>
      <w:r w:rsidRPr="00EE4164">
        <w:rPr>
          <w:noProof/>
          <w:lang w:val="en-US"/>
        </w:rPr>
        <w:t>Draft</w:t>
      </w:r>
      <w:r w:rsidRPr="00EE4164">
        <w:rPr>
          <w:lang w:val="en-US"/>
        </w:rPr>
        <w:t xml:space="preserve"> Decision of the Council authorising the Commission to open negotiations for an agreement enlarging the scope of the agreement on the international occasional carriage of passengers by coach and bus, the "Interbus Agreement", and to cover the international regular carriage of passengers by coach and bus</w:t>
      </w:r>
      <w:bookmarkEnd w:id="10"/>
    </w:p>
    <w:p w14:paraId="59841371" w14:textId="77777777" w:rsidR="00643D86" w:rsidRPr="00EE4164" w:rsidRDefault="007855D8" w:rsidP="00643D86">
      <w:r w:rsidRPr="00EE4164">
        <w:rPr>
          <w:noProof/>
        </w:rPr>
        <w:t>17412</w:t>
      </w:r>
      <w:r w:rsidRPr="00EE4164">
        <w:t>/10 TRANS 367 PECOS 8 (EU RESTRICTED)14892/14 TRANS 498 PECOS 5 + ADD 115601/14 TRANS 532 PECOS 6+ ADD 1 (EU RESTRICTED)</w:t>
      </w:r>
    </w:p>
    <w:p w14:paraId="59841372" w14:textId="52FB9182" w:rsidR="00643D86" w:rsidRDefault="007855D8" w:rsidP="00643D86">
      <w:r>
        <w:rPr>
          <w:b/>
        </w:rPr>
        <w:t xml:space="preserve">Ansvarigt statsråd: </w:t>
      </w:r>
      <w:r>
        <w:rPr>
          <w:noProof/>
        </w:rPr>
        <w:t>Anna</w:t>
      </w:r>
      <w:r>
        <w:t xml:space="preserve"> Johansson</w:t>
      </w:r>
    </w:p>
    <w:p w14:paraId="59841376" w14:textId="7EB9D7C1" w:rsidR="005C7A86" w:rsidRDefault="007855D8">
      <w:pPr>
        <w:spacing w:after="280" w:afterAutospacing="1"/>
      </w:pPr>
      <w:r>
        <w:t>Föranleder ingen annotering.</w:t>
      </w:r>
    </w:p>
    <w:p w14:paraId="59841379" w14:textId="77777777" w:rsidR="00643D86" w:rsidRPr="00EE4164" w:rsidRDefault="007855D8" w:rsidP="00643D86">
      <w:pPr>
        <w:pStyle w:val="Rubrik1"/>
        <w:rPr>
          <w:lang w:val="en-US"/>
        </w:rPr>
      </w:pPr>
      <w:bookmarkStart w:id="11" w:name="_Toc404690980"/>
      <w:r w:rsidRPr="00EE4164">
        <w:rPr>
          <w:noProof/>
          <w:lang w:val="en-US"/>
        </w:rPr>
        <w:t>Draft</w:t>
      </w:r>
      <w:r w:rsidRPr="00EE4164">
        <w:rPr>
          <w:lang w:val="en-US"/>
        </w:rPr>
        <w:t xml:space="preserve"> Council Decision approving the conclusion, by the European Commission, on behalf of the European Atomic Energy Community, of the Agreement for scientific and technological cooperation between the European Union and European Atomic Energy Community and the Swiss Confederation associating the Swiss Confederation to Horizon 2020 - the Framework Programme for Research and Innovation and the Research and Training Programme of the European Atomic Energy Community complementing Horizon 2020, and regulating Switzerland's participation in the ITER activities carried out by Fusion for Energy</w:t>
      </w:r>
      <w:bookmarkEnd w:id="11"/>
    </w:p>
    <w:p w14:paraId="5984137A" w14:textId="77777777" w:rsidR="00643D86" w:rsidRDefault="007855D8" w:rsidP="00643D86">
      <w:pPr>
        <w:rPr>
          <w:lang w:val="en-US"/>
        </w:rPr>
      </w:pPr>
      <w:r>
        <w:rPr>
          <w:noProof/>
          <w:lang w:val="en-US"/>
        </w:rPr>
        <w:t>15372</w:t>
      </w:r>
      <w:r>
        <w:rPr>
          <w:lang w:val="en-US"/>
        </w:rPr>
        <w:t>/14 RECH 434 ATO 85 CH 42 AELE 5815369/14 RECH 433 ATO 84 CH 41 AELE 5715725/14 RECH 445 ATO 87 CH 44 AELE 60</w:t>
      </w:r>
    </w:p>
    <w:p w14:paraId="5984137B" w14:textId="50BBBF0E" w:rsidR="00643D86" w:rsidRDefault="007855D8" w:rsidP="00643D86">
      <w:r>
        <w:rPr>
          <w:b/>
        </w:rPr>
        <w:t xml:space="preserve">Ansvarigt statsråd: </w:t>
      </w:r>
      <w:r>
        <w:rPr>
          <w:noProof/>
        </w:rPr>
        <w:t>Helene</w:t>
      </w:r>
      <w:r>
        <w:t xml:space="preserve"> Hellmark Knutsson</w:t>
      </w:r>
    </w:p>
    <w:p w14:paraId="59841380" w14:textId="44A8AAE8" w:rsidR="005C7A86" w:rsidRPr="007855D8" w:rsidRDefault="007855D8">
      <w:pPr>
        <w:spacing w:after="280" w:afterAutospacing="1"/>
      </w:pPr>
      <w:r>
        <w:rPr>
          <w:b/>
          <w:bCs/>
        </w:rPr>
        <w:t xml:space="preserve">Avsikt med behandlingen i rådet: </w:t>
      </w:r>
      <w:r w:rsidRPr="007855D8">
        <w:rPr>
          <w:bCs/>
        </w:rPr>
        <w:t>att på Euratoms vägnar godkänna KOM:s ingående av avtal med om vetenskapligt samarbete med Schweiz och om anslutning av Schweiz till Horisont 2020, till Euratoms forskingsprogram och om reglering av Schweiz deltagande i det gemensamma företaget Fusion for Energy</w:t>
      </w:r>
    </w:p>
    <w:p w14:paraId="59841382" w14:textId="2C87271D" w:rsidR="005C7A86" w:rsidRDefault="007855D8">
      <w:pPr>
        <w:spacing w:after="280" w:afterAutospacing="1"/>
      </w:pPr>
      <w:r>
        <w:rPr>
          <w:b/>
          <w:bCs/>
        </w:rPr>
        <w:t>Hur regeringen ställer sig till den blivande A-punkten:</w:t>
      </w:r>
      <w:r>
        <w:t xml:space="preserve"> Att godkänna förslaget. </w:t>
      </w:r>
    </w:p>
    <w:p w14:paraId="59841384" w14:textId="30B19D0B" w:rsidR="005C7A86" w:rsidRDefault="007855D8">
      <w:pPr>
        <w:spacing w:after="280" w:afterAutospacing="1"/>
      </w:pPr>
      <w:r>
        <w:rPr>
          <w:b/>
          <w:bCs/>
        </w:rPr>
        <w:t xml:space="preserve">Bakgrund: </w:t>
      </w:r>
      <w:r>
        <w:t>Schweiz har varit en stark aktör i Euratoms fusionsprogram och i sjunde ramprogrammet för forskning.</w:t>
      </w:r>
    </w:p>
    <w:p w14:paraId="59841385" w14:textId="77777777" w:rsidR="005C7A86" w:rsidRDefault="007855D8">
      <w:pPr>
        <w:spacing w:after="280" w:afterAutospacing="1"/>
      </w:pPr>
      <w:r>
        <w:t>Schweiz har varit associerat till EU:s ramprogram för vetenskaplig och teknisk utveckling sedan 2004. Schweiz associering till EU:s ramprogram har varit fördelaktigt för EU, då det har ökat forskningssamarbetet mellan enheter från Europeiska unionen och Schweiz, särskilt</w:t>
      </w:r>
      <w:r>
        <w:br/>
        <w:t>på områdena informations- och kommunikationsteknik, hälsa och nanovetenskap. Schweiz är också en aktiv partner som bidrar ekonomiskt inom ramen för artikel 185-initiativ.</w:t>
      </w:r>
    </w:p>
    <w:p w14:paraId="59841387" w14:textId="6C6611F5" w:rsidR="00FB32B9" w:rsidRDefault="007855D8">
      <w:pPr>
        <w:spacing w:after="280" w:afterAutospacing="1"/>
        <w:rPr>
          <w:noProof/>
        </w:rPr>
      </w:pPr>
      <w:r>
        <w:t>Landet har varit associerat till det tematiska området fusion inom Euratoms ramprogram sedan 1979 på grundval av samarbetsavtalet mellan Europeiska atomenergigemenskapen och Schweiziska edsförbundet på området för kontrollerad termonukleär fusion och plasmafysik från 1978. I enlighet med avtalets artikel 19.2 utvidgas det genom tyst medgivande för att anpassas till senare programbeslut som fattas av Euratom. Inom fusionsprogrammet har varit CH mycket aktiva, inom fysik-, teknik- och teoridelarna. Schweiz forskningsanläggning vid EPFL har vid en utvärdering fått positivt omdöme.</w:t>
      </w:r>
    </w:p>
    <w:p w14:paraId="59841388" w14:textId="77777777" w:rsidR="00643D86" w:rsidRPr="00EE4164" w:rsidRDefault="007855D8" w:rsidP="00643D86">
      <w:pPr>
        <w:pStyle w:val="Rubrik1"/>
        <w:rPr>
          <w:lang w:val="en-US"/>
        </w:rPr>
      </w:pPr>
      <w:bookmarkStart w:id="12" w:name="_Toc404690981"/>
      <w:r w:rsidRPr="00EE4164">
        <w:rPr>
          <w:noProof/>
          <w:lang w:val="en-US"/>
        </w:rPr>
        <w:t>Draft</w:t>
      </w:r>
      <w:r w:rsidRPr="00EE4164">
        <w:rPr>
          <w:lang w:val="en-US"/>
        </w:rPr>
        <w:t xml:space="preserve"> Council Decision on the signing, on behalf of the European Union, and provisional application of the Agreement for scientific and technological cooperation between the European Union and European Atomic Energy Community and the Swiss Confederation associating the Swiss Confederation to Horizon 2020 - the Framework Programme for Research and Innovation and the Research and Training Programme of the European Atomic Energy Community complementing Horizon 2020, and regulating Switzerland's participation in the ITER activities carried out by Fusion for Energy</w:t>
      </w:r>
      <w:bookmarkEnd w:id="12"/>
    </w:p>
    <w:p w14:paraId="59841389" w14:textId="77777777" w:rsidR="00643D86" w:rsidRDefault="007855D8" w:rsidP="00643D86">
      <w:pPr>
        <w:rPr>
          <w:lang w:val="en-US"/>
        </w:rPr>
      </w:pPr>
      <w:r>
        <w:rPr>
          <w:noProof/>
          <w:lang w:val="en-US"/>
        </w:rPr>
        <w:t>15364</w:t>
      </w:r>
      <w:r>
        <w:rPr>
          <w:lang w:val="en-US"/>
        </w:rPr>
        <w:t>/14 RECH 432 ATO 83 CH 40 AELE 5615369/14 RECH 433 ATO 84 CH 41 AELE 5715707/14 RECH 444 ATO 86 CH 43 AELE 59</w:t>
      </w:r>
    </w:p>
    <w:p w14:paraId="5984138A" w14:textId="4531414E" w:rsidR="00643D86" w:rsidRDefault="007855D8" w:rsidP="00643D86">
      <w:r>
        <w:rPr>
          <w:b/>
        </w:rPr>
        <w:t xml:space="preserve">Ansvarigt statsråd: </w:t>
      </w:r>
      <w:r>
        <w:rPr>
          <w:noProof/>
        </w:rPr>
        <w:t>Helene</w:t>
      </w:r>
      <w:r>
        <w:t xml:space="preserve"> Hellmark Knutsson</w:t>
      </w:r>
    </w:p>
    <w:p w14:paraId="5984138F" w14:textId="30BCA632" w:rsidR="005C7A86" w:rsidRDefault="007855D8">
      <w:pPr>
        <w:spacing w:after="280" w:afterAutospacing="1"/>
      </w:pPr>
      <w:r>
        <w:rPr>
          <w:b/>
          <w:bCs/>
        </w:rPr>
        <w:t>Avsikt med behandlingen i rådet:</w:t>
      </w:r>
      <w:r>
        <w:t xml:space="preserve"> - att på Europeiska unionens vägnar fatta beslut om undertecknande och provisorisk tillämpning av avtal med om vetenskapligt samarbete med Schweiz och om anslutning av Schweiz till Horisont 2020, till Euratoms forskingsprogram och om reglering av Schweiz deltagande i det gemensamma företaget Fusion for Energy</w:t>
      </w:r>
    </w:p>
    <w:p w14:paraId="59841391" w14:textId="63114452" w:rsidR="005C7A86" w:rsidRDefault="007855D8">
      <w:pPr>
        <w:spacing w:after="280" w:afterAutospacing="1"/>
      </w:pPr>
      <w:r>
        <w:rPr>
          <w:b/>
          <w:bCs/>
        </w:rPr>
        <w:t xml:space="preserve">Hur regeringen ställer sig till den blivande A-punkten: </w:t>
      </w:r>
      <w:r>
        <w:t>Godkänner förslaget.</w:t>
      </w:r>
    </w:p>
    <w:p w14:paraId="59841393" w14:textId="068FB538" w:rsidR="005C7A86" w:rsidRDefault="007855D8">
      <w:pPr>
        <w:spacing w:after="280" w:afterAutospacing="1"/>
      </w:pPr>
      <w:r>
        <w:rPr>
          <w:b/>
          <w:bCs/>
        </w:rPr>
        <w:t xml:space="preserve">Bakgrund: </w:t>
      </w:r>
      <w:r>
        <w:t>Schweiz har varit en stark aktör i Euratoms fusionsprogram och i sjunde ramprogrammet för forskning.</w:t>
      </w:r>
    </w:p>
    <w:p w14:paraId="59841394" w14:textId="77777777" w:rsidR="005C7A86" w:rsidRDefault="007855D8">
      <w:pPr>
        <w:spacing w:after="280" w:afterAutospacing="1"/>
      </w:pPr>
      <w:r>
        <w:t>Schweiz har varit associerat till EU:s ramprogram för vetenskaplig och teknisk utveckling sedan 2004. Schweiz associering till EU:s ramprogram har varit fördelaktigt för EU, då det har ökat forskningssamarbetet mellan enheter från Europeiska unionen och Schweiz, särskilt</w:t>
      </w:r>
      <w:r>
        <w:br/>
        <w:t>på områdena informations- och kommunikationsteknik, hälsa och nanovetenskap. Schweiz är också en aktiv partner som bidrar ekonomiskt inom ramen för artikel 185-initiativ.</w:t>
      </w:r>
    </w:p>
    <w:p w14:paraId="59841397" w14:textId="29FB7EF2" w:rsidR="00FB32B9" w:rsidRDefault="007855D8">
      <w:pPr>
        <w:spacing w:after="280" w:afterAutospacing="1"/>
        <w:rPr>
          <w:noProof/>
        </w:rPr>
      </w:pPr>
      <w:r>
        <w:t>Landet har varit associerat till det tematiska området fusion inom Euratoms ramprogram sedan 1979 på grundval av samarbetsavtalet mellan Europeiska atomenergigemenskapen och Schweiziska edsförbundet på området för kontrollerad termonukleär fusion och plasmafysik från 1978. I enlighet med avtalets artikel 19.2 utvidgas det genom tyst medgivande för att anpassas till senare programbeslut som fattas av Euratom. Inom fusionsprogrammet har varit CH mycket aktiva, inom fysik-, teknik- och teoridelarna. Schweiz forskningsanläggning vid EPFL har vid en utvärdering fått positivt omdöme.</w:t>
      </w:r>
    </w:p>
    <w:p w14:paraId="59841398" w14:textId="77777777" w:rsidR="00643D86" w:rsidRPr="00EE4164" w:rsidRDefault="007855D8" w:rsidP="00643D86">
      <w:pPr>
        <w:pStyle w:val="Rubrik1"/>
        <w:rPr>
          <w:lang w:val="en-US"/>
        </w:rPr>
      </w:pPr>
      <w:bookmarkStart w:id="13" w:name="_Toc404690982"/>
      <w:r w:rsidRPr="00EE4164">
        <w:rPr>
          <w:noProof/>
          <w:lang w:val="en-US"/>
        </w:rPr>
        <w:t>Convention</w:t>
      </w:r>
      <w:r w:rsidRPr="00EE4164">
        <w:rPr>
          <w:lang w:val="en-US"/>
        </w:rPr>
        <w:t xml:space="preserve"> on the Transboundary Effects of Industrial Accidents</w:t>
      </w:r>
      <w:r w:rsidRPr="00EE4164">
        <w:rPr>
          <w:lang w:val="en-US"/>
        </w:rPr>
        <w:br/>
        <w:t>a)Proposal for a Council Decision on the position to be adopted, on behalf of the European Union, at the Eighth Conference of the Parties to the Helsinki Convention on Transboundary Effects of Industrial Accidents with regard to the proposal for an amendment of Annex I</w:t>
      </w:r>
      <w:bookmarkEnd w:id="13"/>
    </w:p>
    <w:p w14:paraId="59841399" w14:textId="77777777" w:rsidR="00643D86" w:rsidRPr="00EE4164" w:rsidRDefault="007855D8" w:rsidP="00643D86">
      <w:r w:rsidRPr="00EE4164">
        <w:rPr>
          <w:noProof/>
        </w:rPr>
        <w:t>15661</w:t>
      </w:r>
      <w:r w:rsidRPr="00EE4164">
        <w:t>/14 ENV 908 IND 342 PROCIV 96 ONU 14515610/14 ENV 903 IND 340 PROCIV 94 ONU 142</w:t>
      </w:r>
    </w:p>
    <w:p w14:paraId="5984139A" w14:textId="273B750B" w:rsidR="00643D86" w:rsidRDefault="007855D8" w:rsidP="00643D86">
      <w:r>
        <w:rPr>
          <w:b/>
        </w:rPr>
        <w:t xml:space="preserve">Ansvarigt statsråd: </w:t>
      </w:r>
      <w:r>
        <w:rPr>
          <w:noProof/>
        </w:rPr>
        <w:t>Anders</w:t>
      </w:r>
      <w:r>
        <w:t xml:space="preserve"> Ygeman</w:t>
      </w:r>
    </w:p>
    <w:p w14:paraId="5984139E" w14:textId="1AF6751C" w:rsidR="005C7A86" w:rsidRDefault="007855D8" w:rsidP="007855D8">
      <w:r>
        <w:rPr>
          <w:b/>
          <w:bCs/>
        </w:rPr>
        <w:t>Avsikt med behandlingen i rådet:</w:t>
      </w:r>
      <w:r>
        <w:t xml:space="preserve"> Förslag till rådsbeslut gällande en EU-gemensam position inför industriolyckskonventionens partskonferens 3-5 december 2014. </w:t>
      </w:r>
    </w:p>
    <w:p w14:paraId="598413A0" w14:textId="02BBBE56" w:rsidR="005C7A86" w:rsidRDefault="007855D8">
      <w:pPr>
        <w:spacing w:after="280" w:afterAutospacing="1"/>
      </w:pPr>
      <w:r>
        <w:rPr>
          <w:b/>
          <w:bCs/>
        </w:rPr>
        <w:t>Hur regeringen ställer sig till den blivande A-punkten:</w:t>
      </w:r>
      <w:r>
        <w:t xml:space="preserve"> SE har inga invändningar. SE stödjer förslaget. </w:t>
      </w:r>
    </w:p>
    <w:p w14:paraId="598413A3" w14:textId="3CADDACC" w:rsidR="00FB32B9" w:rsidRDefault="007855D8">
      <w:pPr>
        <w:spacing w:after="280" w:afterAutospacing="1"/>
        <w:rPr>
          <w:noProof/>
        </w:rPr>
      </w:pPr>
      <w:r>
        <w:rPr>
          <w:b/>
          <w:bCs/>
        </w:rPr>
        <w:t xml:space="preserve">Bakgrund: </w:t>
      </w:r>
      <w:r>
        <w:t xml:space="preserve">Arbetet med att ta fram en EU-gemensam ståndpunkt inför industriolyckskonventionens partskonferens 3-5 dec. 2014 har skett inom WPIEI och WPE. </w:t>
      </w:r>
    </w:p>
    <w:p w14:paraId="598413A4" w14:textId="55DBB9BA" w:rsidR="00643D86" w:rsidRPr="00EE4164" w:rsidRDefault="007855D8" w:rsidP="007855D8">
      <w:pPr>
        <w:pStyle w:val="Rubrik1"/>
        <w:numPr>
          <w:ilvl w:val="0"/>
          <w:numId w:val="3"/>
        </w:numPr>
        <w:rPr>
          <w:lang w:val="en-US"/>
        </w:rPr>
      </w:pPr>
      <w:bookmarkStart w:id="14" w:name="_Toc404690983"/>
      <w:r w:rsidRPr="00EE4164">
        <w:rPr>
          <w:noProof/>
          <w:lang w:val="en-US"/>
        </w:rPr>
        <w:t>Convention</w:t>
      </w:r>
      <w:r w:rsidRPr="00EE4164">
        <w:rPr>
          <w:lang w:val="en-US"/>
        </w:rPr>
        <w:t xml:space="preserve"> on the Transboundary Effects of Industrial Accidents </w:t>
      </w:r>
      <w:r w:rsidRPr="00EE4164">
        <w:rPr>
          <w:lang w:val="en-US"/>
        </w:rPr>
        <w:br/>
        <w:t>b)Recommendation for a Council Decision on authorising the opening of negotiations on the amendment of the Convention on the Transboundary Effects of Industrial Accidents</w:t>
      </w:r>
      <w:bookmarkEnd w:id="14"/>
    </w:p>
    <w:p w14:paraId="598413A5" w14:textId="77777777" w:rsidR="00643D86" w:rsidRPr="00EE4164" w:rsidRDefault="007855D8" w:rsidP="00643D86">
      <w:r w:rsidRPr="00EE4164">
        <w:rPr>
          <w:noProof/>
        </w:rPr>
        <w:t>15663</w:t>
      </w:r>
      <w:r w:rsidRPr="00EE4164">
        <w:t>/14 ENV 909 IND 343 PROCIV 97 ONU 14615615/14 ENV 904 IND 341 PROCIV 95 ONU 143</w:t>
      </w:r>
    </w:p>
    <w:p w14:paraId="598413A6" w14:textId="32158DFA" w:rsidR="00643D86" w:rsidRDefault="007855D8" w:rsidP="00643D86">
      <w:r>
        <w:rPr>
          <w:b/>
        </w:rPr>
        <w:t xml:space="preserve">Ansvarigt statsråd: </w:t>
      </w:r>
      <w:r>
        <w:rPr>
          <w:noProof/>
        </w:rPr>
        <w:t>Anders</w:t>
      </w:r>
      <w:r>
        <w:t xml:space="preserve"> Ygeman</w:t>
      </w:r>
    </w:p>
    <w:p w14:paraId="598413AA" w14:textId="462B9E5A" w:rsidR="005C7A86" w:rsidRDefault="007855D8" w:rsidP="007855D8">
      <w:r>
        <w:rPr>
          <w:b/>
          <w:bCs/>
        </w:rPr>
        <w:t>Avsikt med behandlingen i rådet:</w:t>
      </w:r>
      <w:r>
        <w:t xml:space="preserve"> Rådsbeslut gällande en EU-gemensam position för industriolyckskonventionens partskonferens 3-5 december 2014. </w:t>
      </w:r>
    </w:p>
    <w:p w14:paraId="598413AC" w14:textId="272E8A28" w:rsidR="005C7A86" w:rsidRDefault="007855D8">
      <w:pPr>
        <w:spacing w:after="280" w:afterAutospacing="1"/>
      </w:pPr>
      <w:r>
        <w:rPr>
          <w:b/>
          <w:bCs/>
        </w:rPr>
        <w:t>Hur regeringen ställer sig till den blivande A-punkten:</w:t>
      </w:r>
      <w:r>
        <w:t xml:space="preserve"> SE har inga invändningar. SE stödjer förslaget. </w:t>
      </w:r>
    </w:p>
    <w:p w14:paraId="598413AE" w14:textId="037AD481" w:rsidR="005C7A86" w:rsidRDefault="007855D8">
      <w:pPr>
        <w:spacing w:after="280" w:afterAutospacing="1"/>
      </w:pPr>
      <w:r>
        <w:rPr>
          <w:b/>
          <w:bCs/>
        </w:rPr>
        <w:t xml:space="preserve">Bakgrund: </w:t>
      </w:r>
      <w:r>
        <w:t xml:space="preserve">Arbetet med att ta fram en EU-gemensam ståndpunkt till industriolyckskonventionens partsmöte 3-5 dec. har skett inom WPIEI och WPE. </w:t>
      </w:r>
    </w:p>
    <w:p w14:paraId="598413AF" w14:textId="77777777" w:rsidR="00FB32B9" w:rsidRDefault="004C32F1">
      <w:pPr>
        <w:spacing w:after="280" w:afterAutospacing="1"/>
        <w:rPr>
          <w:noProof/>
        </w:rPr>
      </w:pPr>
    </w:p>
    <w:bookmarkEnd w:id="1"/>
    <w:p w14:paraId="598413B0" w14:textId="77777777" w:rsidR="00643D86" w:rsidRPr="00EE4164" w:rsidRDefault="004C32F1" w:rsidP="00643D86">
      <w:pPr>
        <w:ind w:left="0"/>
      </w:pPr>
    </w:p>
    <w:sectPr w:rsidR="00643D86" w:rsidRPr="00EE4164"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413C2" w14:textId="77777777" w:rsidR="00A230F8" w:rsidRDefault="007855D8">
      <w:pPr>
        <w:spacing w:after="0" w:line="240" w:lineRule="auto"/>
      </w:pPr>
      <w:r>
        <w:separator/>
      </w:r>
    </w:p>
  </w:endnote>
  <w:endnote w:type="continuationSeparator" w:id="0">
    <w:p w14:paraId="598413C4" w14:textId="77777777" w:rsidR="00A230F8" w:rsidRDefault="0078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413BE" w14:textId="77777777" w:rsidR="00A230F8" w:rsidRDefault="007855D8">
      <w:pPr>
        <w:spacing w:after="0" w:line="240" w:lineRule="auto"/>
      </w:pPr>
      <w:r>
        <w:separator/>
      </w:r>
    </w:p>
  </w:footnote>
  <w:footnote w:type="continuationSeparator" w:id="0">
    <w:p w14:paraId="598413C0" w14:textId="77777777" w:rsidR="00A230F8" w:rsidRDefault="0078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38815"/>
      <w:docPartObj>
        <w:docPartGallery w:val="Page Numbers (Top of Page)"/>
        <w:docPartUnique/>
      </w:docPartObj>
    </w:sdtPr>
    <w:sdtEndPr/>
    <w:sdtContent>
      <w:p w14:paraId="202501E7" w14:textId="50B55800" w:rsidR="007855D8" w:rsidRDefault="007855D8">
        <w:pPr>
          <w:pStyle w:val="Sidhuvud"/>
          <w:jc w:val="right"/>
        </w:pPr>
        <w:r>
          <w:fldChar w:fldCharType="begin"/>
        </w:r>
        <w:r>
          <w:instrText>PAGE   \* MERGEFORMAT</w:instrText>
        </w:r>
        <w:r>
          <w:fldChar w:fldCharType="separate"/>
        </w:r>
        <w:r w:rsidR="004C32F1">
          <w:rPr>
            <w:noProof/>
          </w:rPr>
          <w:t>2</w:t>
        </w:r>
        <w:r>
          <w:fldChar w:fldCharType="end"/>
        </w:r>
      </w:p>
    </w:sdtContent>
  </w:sdt>
  <w:p w14:paraId="598413B2" w14:textId="77777777" w:rsidR="006F1C0D" w:rsidRDefault="004C32F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C7A86" w14:paraId="598413B8" w14:textId="77777777" w:rsidTr="006E71D7">
      <w:tc>
        <w:tcPr>
          <w:tcW w:w="4606" w:type="dxa"/>
        </w:tcPr>
        <w:p w14:paraId="598413B3" w14:textId="77777777" w:rsidR="006E71D7" w:rsidRDefault="007855D8" w:rsidP="00752770">
          <w:pPr>
            <w:pStyle w:val="Sidhuvud"/>
            <w:ind w:left="0"/>
          </w:pPr>
          <w:r>
            <w:rPr>
              <w:noProof/>
              <w:lang w:eastAsia="sv-SE"/>
            </w:rPr>
            <w:drawing>
              <wp:inline distT="0" distB="0" distL="0" distR="0" wp14:anchorId="598413BE" wp14:editId="598413B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98413B4" w14:textId="77777777" w:rsidR="00FB32B9" w:rsidRDefault="004C32F1" w:rsidP="00FB32B9">
          <w:pPr>
            <w:ind w:right="916"/>
            <w:rPr>
              <w:rFonts w:ascii="TradeGothic" w:hAnsi="TradeGothic"/>
              <w:b/>
            </w:rPr>
          </w:pPr>
        </w:p>
        <w:p w14:paraId="598413B5" w14:textId="77777777" w:rsidR="00FB32B9" w:rsidRDefault="007855D8" w:rsidP="00FB32B9">
          <w:pPr>
            <w:ind w:right="916"/>
          </w:pPr>
          <w:r>
            <w:rPr>
              <w:rFonts w:ascii="TradeGothic" w:hAnsi="TradeGothic"/>
              <w:b/>
            </w:rPr>
            <w:t>Promemoria</w:t>
          </w:r>
        </w:p>
        <w:p w14:paraId="598413B6" w14:textId="77777777" w:rsidR="00FB32B9" w:rsidRDefault="004C32F1" w:rsidP="00FB32B9">
          <w:pPr>
            <w:jc w:val="right"/>
          </w:pPr>
        </w:p>
        <w:p w14:paraId="598413B7" w14:textId="4343D57E" w:rsidR="006E71D7" w:rsidRDefault="007855D8" w:rsidP="00FB32B9">
          <w:pPr>
            <w:ind w:right="916"/>
          </w:pPr>
          <w:r>
            <w:rPr>
              <w:rFonts w:ascii="TradeGothic" w:hAnsi="TradeGothic"/>
              <w:b/>
              <w:noProof/>
            </w:rPr>
            <w:t>2014-11-26</w:t>
          </w:r>
          <w:r w:rsidRPr="00934953">
            <w:t xml:space="preserve"> </w:t>
          </w:r>
        </w:p>
      </w:tc>
    </w:tr>
  </w:tbl>
  <w:p w14:paraId="598413B9" w14:textId="77777777" w:rsidR="00FB32B9" w:rsidRDefault="004C32F1" w:rsidP="00FB32B9">
    <w:pPr>
      <w:pStyle w:val="Avsndare"/>
      <w:framePr w:w="0" w:hRule="auto" w:hSpace="0" w:wrap="auto" w:vAnchor="margin" w:hAnchor="text" w:xAlign="left" w:yAlign="inline"/>
      <w:rPr>
        <w:b/>
        <w:i w:val="0"/>
        <w:sz w:val="22"/>
      </w:rPr>
    </w:pPr>
  </w:p>
  <w:p w14:paraId="598413BA" w14:textId="77777777" w:rsidR="00FB32B9" w:rsidRDefault="007855D8" w:rsidP="00FB32B9">
    <w:pPr>
      <w:pStyle w:val="Avsndare"/>
      <w:framePr w:w="0" w:hRule="auto" w:hSpace="0" w:wrap="auto" w:vAnchor="margin" w:hAnchor="text" w:xAlign="left" w:yAlign="inline"/>
      <w:rPr>
        <w:b/>
        <w:i w:val="0"/>
        <w:sz w:val="22"/>
      </w:rPr>
    </w:pPr>
    <w:r>
      <w:rPr>
        <w:b/>
        <w:i w:val="0"/>
        <w:sz w:val="22"/>
      </w:rPr>
      <w:t>Statsrådsberedningen</w:t>
    </w:r>
  </w:p>
  <w:p w14:paraId="598413BB" w14:textId="77777777" w:rsidR="00FB32B9" w:rsidRDefault="004C32F1" w:rsidP="00FB32B9">
    <w:pPr>
      <w:pStyle w:val="Avsndare"/>
      <w:framePr w:w="0" w:hRule="auto" w:hSpace="0" w:wrap="auto" w:vAnchor="margin" w:hAnchor="text" w:xAlign="left" w:yAlign="inline"/>
    </w:pPr>
  </w:p>
  <w:p w14:paraId="598413BC" w14:textId="77777777" w:rsidR="00FB32B9" w:rsidRDefault="007855D8" w:rsidP="00FB32B9">
    <w:pPr>
      <w:pStyle w:val="Avsndare"/>
      <w:framePr w:w="0" w:hRule="auto" w:hSpace="0" w:wrap="auto" w:vAnchor="margin" w:hAnchor="text" w:xAlign="left" w:yAlign="inline"/>
    </w:pPr>
    <w:r>
      <w:t>EU-kansliet</w:t>
    </w:r>
  </w:p>
  <w:p w14:paraId="598413BD" w14:textId="77777777" w:rsidR="0012376B" w:rsidRDefault="004C32F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959CE5BC">
      <w:start w:val="1"/>
      <w:numFmt w:val="decimal"/>
      <w:pStyle w:val="Rubrik1"/>
      <w:lvlText w:val="%1."/>
      <w:lvlJc w:val="left"/>
      <w:pPr>
        <w:ind w:left="720" w:hanging="360"/>
      </w:pPr>
    </w:lvl>
    <w:lvl w:ilvl="1" w:tplc="0CAED3A6" w:tentative="1">
      <w:start w:val="1"/>
      <w:numFmt w:val="lowerLetter"/>
      <w:lvlText w:val="%2."/>
      <w:lvlJc w:val="left"/>
      <w:pPr>
        <w:ind w:left="1440" w:hanging="360"/>
      </w:pPr>
    </w:lvl>
    <w:lvl w:ilvl="2" w:tplc="37B44F94" w:tentative="1">
      <w:start w:val="1"/>
      <w:numFmt w:val="lowerRoman"/>
      <w:lvlText w:val="%3."/>
      <w:lvlJc w:val="right"/>
      <w:pPr>
        <w:ind w:left="2160" w:hanging="180"/>
      </w:pPr>
    </w:lvl>
    <w:lvl w:ilvl="3" w:tplc="70D86DEA" w:tentative="1">
      <w:start w:val="1"/>
      <w:numFmt w:val="decimal"/>
      <w:lvlText w:val="%4."/>
      <w:lvlJc w:val="left"/>
      <w:pPr>
        <w:ind w:left="2880" w:hanging="360"/>
      </w:pPr>
    </w:lvl>
    <w:lvl w:ilvl="4" w:tplc="4184BDEA" w:tentative="1">
      <w:start w:val="1"/>
      <w:numFmt w:val="lowerLetter"/>
      <w:lvlText w:val="%5."/>
      <w:lvlJc w:val="left"/>
      <w:pPr>
        <w:ind w:left="3600" w:hanging="360"/>
      </w:pPr>
    </w:lvl>
    <w:lvl w:ilvl="5" w:tplc="2930814C" w:tentative="1">
      <w:start w:val="1"/>
      <w:numFmt w:val="lowerRoman"/>
      <w:lvlText w:val="%6."/>
      <w:lvlJc w:val="right"/>
      <w:pPr>
        <w:ind w:left="4320" w:hanging="180"/>
      </w:pPr>
    </w:lvl>
    <w:lvl w:ilvl="6" w:tplc="AAD086F6" w:tentative="1">
      <w:start w:val="1"/>
      <w:numFmt w:val="decimal"/>
      <w:lvlText w:val="%7."/>
      <w:lvlJc w:val="left"/>
      <w:pPr>
        <w:ind w:left="5040" w:hanging="360"/>
      </w:pPr>
    </w:lvl>
    <w:lvl w:ilvl="7" w:tplc="02048A58" w:tentative="1">
      <w:start w:val="1"/>
      <w:numFmt w:val="lowerLetter"/>
      <w:lvlText w:val="%8."/>
      <w:lvlJc w:val="left"/>
      <w:pPr>
        <w:ind w:left="5760" w:hanging="360"/>
      </w:pPr>
    </w:lvl>
    <w:lvl w:ilvl="8" w:tplc="EB8CE078" w:tentative="1">
      <w:start w:val="1"/>
      <w:numFmt w:val="lowerRoman"/>
      <w:lvlText w:val="%9."/>
      <w:lvlJc w:val="right"/>
      <w:pPr>
        <w:ind w:left="6480" w:hanging="180"/>
      </w:pPr>
    </w:lvl>
  </w:abstractNum>
  <w:abstractNum w:abstractNumId="1">
    <w:nsid w:val="73990993"/>
    <w:multiLevelType w:val="hybridMultilevel"/>
    <w:tmpl w:val="3BD822EE"/>
    <w:lvl w:ilvl="0" w:tplc="B406D938">
      <w:start w:val="1"/>
      <w:numFmt w:val="decimal"/>
      <w:lvlText w:val="%1."/>
      <w:lvlJc w:val="left"/>
      <w:pPr>
        <w:ind w:left="360" w:hanging="360"/>
      </w:pPr>
      <w:rPr>
        <w:b w:val="0"/>
      </w:rPr>
    </w:lvl>
    <w:lvl w:ilvl="1" w:tplc="C9ECF690" w:tentative="1">
      <w:start w:val="1"/>
      <w:numFmt w:val="lowerLetter"/>
      <w:lvlText w:val="%2."/>
      <w:lvlJc w:val="left"/>
      <w:pPr>
        <w:ind w:left="1080" w:hanging="360"/>
      </w:pPr>
    </w:lvl>
    <w:lvl w:ilvl="2" w:tplc="8888340A" w:tentative="1">
      <w:start w:val="1"/>
      <w:numFmt w:val="lowerRoman"/>
      <w:lvlText w:val="%3."/>
      <w:lvlJc w:val="right"/>
      <w:pPr>
        <w:ind w:left="1800" w:hanging="180"/>
      </w:pPr>
    </w:lvl>
    <w:lvl w:ilvl="3" w:tplc="F0DA9C30" w:tentative="1">
      <w:start w:val="1"/>
      <w:numFmt w:val="decimal"/>
      <w:lvlText w:val="%4."/>
      <w:lvlJc w:val="left"/>
      <w:pPr>
        <w:ind w:left="2520" w:hanging="360"/>
      </w:pPr>
    </w:lvl>
    <w:lvl w:ilvl="4" w:tplc="7678675E" w:tentative="1">
      <w:start w:val="1"/>
      <w:numFmt w:val="lowerLetter"/>
      <w:lvlText w:val="%5."/>
      <w:lvlJc w:val="left"/>
      <w:pPr>
        <w:ind w:left="3240" w:hanging="360"/>
      </w:pPr>
    </w:lvl>
    <w:lvl w:ilvl="5" w:tplc="1FBA9398" w:tentative="1">
      <w:start w:val="1"/>
      <w:numFmt w:val="lowerRoman"/>
      <w:lvlText w:val="%6."/>
      <w:lvlJc w:val="right"/>
      <w:pPr>
        <w:ind w:left="3960" w:hanging="180"/>
      </w:pPr>
    </w:lvl>
    <w:lvl w:ilvl="6" w:tplc="C832BECC" w:tentative="1">
      <w:start w:val="1"/>
      <w:numFmt w:val="decimal"/>
      <w:lvlText w:val="%7."/>
      <w:lvlJc w:val="left"/>
      <w:pPr>
        <w:ind w:left="4680" w:hanging="360"/>
      </w:pPr>
    </w:lvl>
    <w:lvl w:ilvl="7" w:tplc="0974E8EA" w:tentative="1">
      <w:start w:val="1"/>
      <w:numFmt w:val="lowerLetter"/>
      <w:lvlText w:val="%8."/>
      <w:lvlJc w:val="left"/>
      <w:pPr>
        <w:ind w:left="5400" w:hanging="360"/>
      </w:pPr>
    </w:lvl>
    <w:lvl w:ilvl="8" w:tplc="F8CC513C" w:tentative="1">
      <w:start w:val="1"/>
      <w:numFmt w:val="lowerRoman"/>
      <w:lvlText w:val="%9."/>
      <w:lvlJc w:val="right"/>
      <w:pPr>
        <w:ind w:left="6120" w:hanging="180"/>
      </w:pPr>
    </w:lvl>
  </w:abstractNum>
  <w:num w:numId="1">
    <w:abstractNumId w:val="1"/>
  </w:num>
  <w:num w:numId="2">
    <w:abstractNumId w:val="0"/>
  </w:num>
  <w:num w:numId="3">
    <w:abstractNumId w:val="0"/>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86"/>
    <w:rsid w:val="004C32F1"/>
    <w:rsid w:val="005C7A86"/>
    <w:rsid w:val="005F78A8"/>
    <w:rsid w:val="007855D8"/>
    <w:rsid w:val="00A230F8"/>
    <w:rsid w:val="00EE4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12F7"/>
  <w15:docId w15:val="{296213C4-2466-48C6-8424-FA7C1A5B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B47A100EAE8AEA4CB07E7367913FC49B" ma:contentTypeVersion="0" ma:contentTypeDescription="EUPDokument" ma:contentTypeScope="" ma:versionID="453f97909f7984eb44172f5b1650fe8a">
  <xsd:schema xmlns:xsd="http://www.w3.org/2001/XMLSchema" xmlns:xs="http://www.w3.org/2001/XMLSchema" xmlns:p="http://schemas.microsoft.com/office/2006/metadata/properties" xmlns:ns2="7d3d122b-5a9b-4e94-b710-dff337eb307f" targetNamespace="http://schemas.microsoft.com/office/2006/metadata/properties" ma:root="true" ma:fieldsID="7c4fc262693ebfe58312b975ac2ad4cc" ns2:_="">
    <xsd:import namespace="7d3d122b-5a9b-4e94-b710-dff337eb307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122b-5a9b-4e94-b710-dff337eb307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ktivitetskategoriId xmlns="7d3d122b-5a9b-4e94-b710-dff337eb307f">4.1. Europeiska unionen</AktivitetskategoriId>
    <LatestActivity xmlns="7d3d122b-5a9b-4e94-b710-dff337eb307f" xsi:nil="true"/>
    <ViewPointEndDate xmlns="7d3d122b-5a9b-4e94-b710-dff337eb307f" xsi:nil="true"/>
    <DepartementsenhetId xmlns="7d3d122b-5a9b-4e94-b710-dff337eb307f">Statsrådsberedningen</DepartementsenhetId>
    <Delivered xmlns="7d3d122b-5a9b-4e94-b710-dff337eb307f" xsi:nil="true"/>
    <RegistrationNumber xmlns="7d3d122b-5a9b-4e94-b710-dff337eb307f" xsi:nil="true"/>
    <DocumentStatus xmlns="7d3d122b-5a9b-4e94-b710-dff337eb307f">Utkast</DocumentStatus>
    <ViewPointStartDate xmlns="7d3d122b-5a9b-4e94-b710-dff337eb307f" xsi:nil="true"/>
    <ViewPointInProgress xmlns="7d3d122b-5a9b-4e94-b710-dff337eb307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5FEEB-FA30-400A-B6A0-F0169C717945}">
  <ds:schemaRefs>
    <ds:schemaRef ds:uri="http://schemas.microsoft.com/sharepoint/v3/contenttype/forms"/>
  </ds:schemaRefs>
</ds:datastoreItem>
</file>

<file path=customXml/itemProps2.xml><?xml version="1.0" encoding="utf-8"?>
<ds:datastoreItem xmlns:ds="http://schemas.openxmlformats.org/officeDocument/2006/customXml" ds:itemID="{3C46E1B7-04B2-4496-AEF6-BF5A53F0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d122b-5a9b-4e94-b710-dff337eb3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7F14A-6785-4F84-B2DF-1394C2073C71}">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d3d122b-5a9b-4e94-b710-dff337eb307f"/>
  </ds:schemaRefs>
</ds:datastoreItem>
</file>

<file path=customXml/itemProps4.xml><?xml version="1.0" encoding="utf-8"?>
<ds:datastoreItem xmlns:ds="http://schemas.openxmlformats.org/officeDocument/2006/customXml" ds:itemID="{D67C5957-097B-407D-9A64-42E0C497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3668</Words>
  <Characters>19442</Characters>
  <Application>Microsoft Office Word</Application>
  <DocSecurity>4</DocSecurity>
  <Lines>162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2014-11-26T14:01:00Z</dcterms:created>
  <dcterms:modified xsi:type="dcterms:W3CDTF">2014-11-26T14:01:00Z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0x01010053E1D612BA3F4E21AA250ECD751942B300B47A100EAE8AEA4CB07E7367913FC49B</vt:lpwstr>
  </property>
  <property fmtid="{D5CDD505-2E9C-101B-9397-08002B2CF9AE}" pid="3" name="MCreatorEmail">
    <vt:lpwstr>pia.johnsen@regeringskansliet.se</vt:lpwstr>
  </property>
</Properties>
</file>