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E64DBE" w:rsidRDefault="00177FF8" w:rsidP="005B6A05">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E64DBE">
        <w:tc>
          <w:tcPr>
            <w:tcW w:w="9141" w:type="dxa"/>
          </w:tcPr>
          <w:p w:rsidR="00177FF8" w:rsidRPr="00E64DBE" w:rsidRDefault="00177FF8" w:rsidP="005B6A05">
            <w:pPr>
              <w:rPr>
                <w:sz w:val="22"/>
                <w:szCs w:val="22"/>
              </w:rPr>
            </w:pPr>
            <w:r w:rsidRPr="00E64DBE">
              <w:rPr>
                <w:sz w:val="22"/>
                <w:szCs w:val="22"/>
              </w:rPr>
              <w:t>RIKSDAGEN</w:t>
            </w:r>
          </w:p>
          <w:p w:rsidR="00177FF8" w:rsidRPr="00E64DBE" w:rsidRDefault="00177FF8" w:rsidP="005B6A05">
            <w:pPr>
              <w:rPr>
                <w:sz w:val="22"/>
                <w:szCs w:val="22"/>
              </w:rPr>
            </w:pPr>
            <w:r w:rsidRPr="00E64DBE">
              <w:rPr>
                <w:sz w:val="22"/>
                <w:szCs w:val="22"/>
              </w:rPr>
              <w:t>MILJÖ- OCH JORDBRUKSUTSKOTTET</w:t>
            </w:r>
          </w:p>
        </w:tc>
      </w:tr>
    </w:tbl>
    <w:p w:rsidR="00177FF8" w:rsidRPr="00E64DBE" w:rsidRDefault="00177FF8" w:rsidP="005B6A05">
      <w:pPr>
        <w:rPr>
          <w:sz w:val="22"/>
          <w:szCs w:val="22"/>
        </w:rPr>
      </w:pPr>
    </w:p>
    <w:p w:rsidR="00177FF8" w:rsidRPr="00E64DBE" w:rsidRDefault="00177FF8" w:rsidP="005B6A05">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E64DBE">
        <w:trPr>
          <w:cantSplit/>
          <w:trHeight w:val="742"/>
        </w:trPr>
        <w:tc>
          <w:tcPr>
            <w:tcW w:w="1985" w:type="dxa"/>
          </w:tcPr>
          <w:p w:rsidR="00177FF8" w:rsidRPr="00E64DBE" w:rsidRDefault="00177FF8" w:rsidP="005B6A05">
            <w:pPr>
              <w:rPr>
                <w:b/>
                <w:sz w:val="22"/>
                <w:szCs w:val="22"/>
              </w:rPr>
            </w:pPr>
            <w:r w:rsidRPr="00E64DBE">
              <w:rPr>
                <w:b/>
                <w:sz w:val="22"/>
                <w:szCs w:val="22"/>
              </w:rPr>
              <w:t xml:space="preserve">PROTOKOLL </w:t>
            </w:r>
          </w:p>
        </w:tc>
        <w:tc>
          <w:tcPr>
            <w:tcW w:w="6463" w:type="dxa"/>
          </w:tcPr>
          <w:p w:rsidR="00177FF8" w:rsidRPr="00E64DBE" w:rsidRDefault="00626575" w:rsidP="005B6A05">
            <w:pPr>
              <w:rPr>
                <w:b/>
                <w:sz w:val="22"/>
                <w:szCs w:val="22"/>
              </w:rPr>
            </w:pPr>
            <w:r w:rsidRPr="00E64DBE">
              <w:rPr>
                <w:b/>
                <w:sz w:val="22"/>
                <w:szCs w:val="22"/>
              </w:rPr>
              <w:t>UTSKOTTSSAMMANTRÄDE 20</w:t>
            </w:r>
            <w:r w:rsidR="004072D7" w:rsidRPr="00E64DBE">
              <w:rPr>
                <w:b/>
                <w:sz w:val="22"/>
                <w:szCs w:val="22"/>
              </w:rPr>
              <w:t>2</w:t>
            </w:r>
            <w:r w:rsidR="007F4080" w:rsidRPr="00E64DBE">
              <w:rPr>
                <w:b/>
                <w:sz w:val="22"/>
                <w:szCs w:val="22"/>
              </w:rPr>
              <w:t>1</w:t>
            </w:r>
            <w:r w:rsidR="000E777E" w:rsidRPr="00E64DBE">
              <w:rPr>
                <w:b/>
                <w:sz w:val="22"/>
                <w:szCs w:val="22"/>
              </w:rPr>
              <w:t>/2</w:t>
            </w:r>
            <w:r w:rsidR="007F4080" w:rsidRPr="00E64DBE">
              <w:rPr>
                <w:b/>
                <w:sz w:val="22"/>
                <w:szCs w:val="22"/>
              </w:rPr>
              <w:t>2</w:t>
            </w:r>
            <w:r w:rsidR="003B57EC" w:rsidRPr="00E64DBE">
              <w:rPr>
                <w:b/>
                <w:sz w:val="22"/>
                <w:szCs w:val="22"/>
              </w:rPr>
              <w:t>:</w:t>
            </w:r>
            <w:r w:rsidR="00A4187D" w:rsidRPr="00E64DBE">
              <w:rPr>
                <w:b/>
                <w:sz w:val="22"/>
                <w:szCs w:val="22"/>
              </w:rPr>
              <w:t>40</w:t>
            </w:r>
          </w:p>
        </w:tc>
      </w:tr>
      <w:tr w:rsidR="00177FF8" w:rsidRPr="00E64DBE">
        <w:tc>
          <w:tcPr>
            <w:tcW w:w="1985" w:type="dxa"/>
          </w:tcPr>
          <w:p w:rsidR="00177FF8" w:rsidRPr="00E64DBE" w:rsidRDefault="00177FF8" w:rsidP="005B6A05">
            <w:pPr>
              <w:rPr>
                <w:sz w:val="22"/>
                <w:szCs w:val="22"/>
              </w:rPr>
            </w:pPr>
            <w:r w:rsidRPr="00E64DBE">
              <w:rPr>
                <w:sz w:val="22"/>
                <w:szCs w:val="22"/>
              </w:rPr>
              <w:t>DATUM</w:t>
            </w:r>
          </w:p>
        </w:tc>
        <w:tc>
          <w:tcPr>
            <w:tcW w:w="6463" w:type="dxa"/>
          </w:tcPr>
          <w:p w:rsidR="00177FF8" w:rsidRPr="00E64DBE" w:rsidRDefault="00626575" w:rsidP="005B6A05">
            <w:pPr>
              <w:rPr>
                <w:sz w:val="22"/>
                <w:szCs w:val="22"/>
              </w:rPr>
            </w:pPr>
            <w:r w:rsidRPr="00E64DBE">
              <w:rPr>
                <w:sz w:val="22"/>
                <w:szCs w:val="22"/>
              </w:rPr>
              <w:t>20</w:t>
            </w:r>
            <w:r w:rsidR="00CB71B9" w:rsidRPr="00E64DBE">
              <w:rPr>
                <w:sz w:val="22"/>
                <w:szCs w:val="22"/>
              </w:rPr>
              <w:t>2</w:t>
            </w:r>
            <w:r w:rsidR="00E0771A" w:rsidRPr="00E64DBE">
              <w:rPr>
                <w:sz w:val="22"/>
                <w:szCs w:val="22"/>
              </w:rPr>
              <w:t>2</w:t>
            </w:r>
            <w:r w:rsidR="008C2D5B" w:rsidRPr="00E64DBE">
              <w:rPr>
                <w:sz w:val="22"/>
                <w:szCs w:val="22"/>
              </w:rPr>
              <w:t>-</w:t>
            </w:r>
            <w:r w:rsidR="00E0771A" w:rsidRPr="00E64DBE">
              <w:rPr>
                <w:sz w:val="22"/>
                <w:szCs w:val="22"/>
              </w:rPr>
              <w:t>0</w:t>
            </w:r>
            <w:r w:rsidR="008665F3" w:rsidRPr="00E64DBE">
              <w:rPr>
                <w:sz w:val="22"/>
                <w:szCs w:val="22"/>
              </w:rPr>
              <w:t>3-31</w:t>
            </w:r>
          </w:p>
        </w:tc>
      </w:tr>
      <w:tr w:rsidR="00177FF8" w:rsidRPr="00E64DBE">
        <w:tc>
          <w:tcPr>
            <w:tcW w:w="1985" w:type="dxa"/>
          </w:tcPr>
          <w:p w:rsidR="00177FF8" w:rsidRPr="00E64DBE" w:rsidRDefault="00177FF8" w:rsidP="005B6A05">
            <w:pPr>
              <w:rPr>
                <w:sz w:val="22"/>
                <w:szCs w:val="22"/>
              </w:rPr>
            </w:pPr>
            <w:r w:rsidRPr="00E64DBE">
              <w:rPr>
                <w:sz w:val="22"/>
                <w:szCs w:val="22"/>
              </w:rPr>
              <w:t>TID</w:t>
            </w:r>
          </w:p>
        </w:tc>
        <w:tc>
          <w:tcPr>
            <w:tcW w:w="6463" w:type="dxa"/>
          </w:tcPr>
          <w:p w:rsidR="00177FF8" w:rsidRPr="00E64DBE" w:rsidRDefault="008665F3" w:rsidP="005B6A05">
            <w:pPr>
              <w:rPr>
                <w:sz w:val="22"/>
                <w:szCs w:val="22"/>
              </w:rPr>
            </w:pPr>
            <w:r w:rsidRPr="00E64DBE">
              <w:rPr>
                <w:sz w:val="22"/>
                <w:szCs w:val="22"/>
              </w:rPr>
              <w:t>10:00-11:</w:t>
            </w:r>
            <w:r w:rsidR="007A74C2" w:rsidRPr="00E64DBE">
              <w:rPr>
                <w:sz w:val="22"/>
                <w:szCs w:val="22"/>
              </w:rPr>
              <w:t>2</w:t>
            </w:r>
            <w:r w:rsidRPr="00E64DBE">
              <w:rPr>
                <w:sz w:val="22"/>
                <w:szCs w:val="22"/>
              </w:rPr>
              <w:t>0</w:t>
            </w:r>
          </w:p>
        </w:tc>
      </w:tr>
      <w:tr w:rsidR="00177FF8" w:rsidRPr="00E64DBE">
        <w:tc>
          <w:tcPr>
            <w:tcW w:w="1985" w:type="dxa"/>
          </w:tcPr>
          <w:p w:rsidR="00177FF8" w:rsidRPr="00E64DBE" w:rsidRDefault="00177FF8" w:rsidP="005B6A05">
            <w:pPr>
              <w:rPr>
                <w:sz w:val="22"/>
                <w:szCs w:val="22"/>
              </w:rPr>
            </w:pPr>
            <w:r w:rsidRPr="00E64DBE">
              <w:rPr>
                <w:sz w:val="22"/>
                <w:szCs w:val="22"/>
              </w:rPr>
              <w:t>NÄRVARANDE</w:t>
            </w:r>
          </w:p>
        </w:tc>
        <w:tc>
          <w:tcPr>
            <w:tcW w:w="6463" w:type="dxa"/>
          </w:tcPr>
          <w:p w:rsidR="00177FF8" w:rsidRPr="00E64DBE" w:rsidRDefault="00177FF8" w:rsidP="005B6A05">
            <w:pPr>
              <w:rPr>
                <w:sz w:val="22"/>
                <w:szCs w:val="22"/>
              </w:rPr>
            </w:pPr>
            <w:r w:rsidRPr="00E64DBE">
              <w:rPr>
                <w:sz w:val="22"/>
                <w:szCs w:val="22"/>
              </w:rPr>
              <w:t>Se bilaga 1</w:t>
            </w:r>
          </w:p>
        </w:tc>
      </w:tr>
    </w:tbl>
    <w:p w:rsidR="00177FF8" w:rsidRPr="00E64DBE" w:rsidRDefault="00177FF8" w:rsidP="005B6A05">
      <w:pPr>
        <w:rPr>
          <w:sz w:val="22"/>
          <w:szCs w:val="22"/>
        </w:rPr>
      </w:pPr>
    </w:p>
    <w:p w:rsidR="00177FF8" w:rsidRPr="00E64DBE" w:rsidRDefault="00177FF8" w:rsidP="005B6A05">
      <w:pPr>
        <w:rPr>
          <w:snapToGrid w:val="0"/>
          <w:color w:val="000000"/>
          <w:sz w:val="22"/>
          <w:szCs w:val="22"/>
        </w:rPr>
      </w:pPr>
    </w:p>
    <w:p w:rsidR="00177FF8" w:rsidRPr="00E64DBE" w:rsidRDefault="00177FF8" w:rsidP="005B6A05">
      <w:pPr>
        <w:rPr>
          <w:snapToGrid w:val="0"/>
          <w:color w:val="000000"/>
          <w:sz w:val="22"/>
          <w:szCs w:val="22"/>
        </w:rPr>
      </w:pPr>
    </w:p>
    <w:tbl>
      <w:tblPr>
        <w:tblW w:w="7584" w:type="dxa"/>
        <w:tblInd w:w="1488" w:type="dxa"/>
        <w:tblLayout w:type="fixed"/>
        <w:tblCellMar>
          <w:left w:w="70" w:type="dxa"/>
          <w:right w:w="70" w:type="dxa"/>
        </w:tblCellMar>
        <w:tblLook w:val="00A0" w:firstRow="1" w:lastRow="0" w:firstColumn="1" w:lastColumn="0" w:noHBand="0" w:noVBand="0"/>
      </w:tblPr>
      <w:tblGrid>
        <w:gridCol w:w="567"/>
        <w:gridCol w:w="6589"/>
        <w:gridCol w:w="428"/>
      </w:tblGrid>
      <w:tr w:rsidR="00420346" w:rsidRPr="00E64DBE" w:rsidTr="00502E4A">
        <w:tc>
          <w:tcPr>
            <w:tcW w:w="567" w:type="dxa"/>
          </w:tcPr>
          <w:p w:rsidR="00420346" w:rsidRPr="00E64DBE" w:rsidRDefault="00420346" w:rsidP="00420346">
            <w:pPr>
              <w:rPr>
                <w:b/>
                <w:snapToGrid w:val="0"/>
                <w:sz w:val="22"/>
                <w:szCs w:val="22"/>
              </w:rPr>
            </w:pPr>
            <w:r w:rsidRPr="00E64DBE">
              <w:rPr>
                <w:b/>
                <w:snapToGrid w:val="0"/>
                <w:sz w:val="22"/>
                <w:szCs w:val="22"/>
              </w:rPr>
              <w:t>§ 1</w:t>
            </w:r>
          </w:p>
        </w:tc>
        <w:tc>
          <w:tcPr>
            <w:tcW w:w="7017" w:type="dxa"/>
            <w:gridSpan w:val="2"/>
          </w:tcPr>
          <w:p w:rsidR="00420346" w:rsidRPr="00E64DBE" w:rsidRDefault="00420346" w:rsidP="00420346">
            <w:pPr>
              <w:rPr>
                <w:b/>
                <w:bCs/>
                <w:color w:val="000000"/>
                <w:sz w:val="22"/>
                <w:szCs w:val="22"/>
              </w:rPr>
            </w:pPr>
            <w:r w:rsidRPr="00E64DBE">
              <w:rPr>
                <w:b/>
                <w:bCs/>
                <w:color w:val="000000"/>
                <w:sz w:val="22"/>
                <w:szCs w:val="22"/>
              </w:rPr>
              <w:t xml:space="preserve">Jordbruks- och fiskeråd </w:t>
            </w:r>
            <w:r w:rsidR="008665F3" w:rsidRPr="00E64DBE">
              <w:rPr>
                <w:b/>
                <w:bCs/>
                <w:color w:val="000000"/>
                <w:sz w:val="22"/>
                <w:szCs w:val="22"/>
              </w:rPr>
              <w:t>7 april</w:t>
            </w:r>
            <w:r w:rsidRPr="00E64DBE">
              <w:rPr>
                <w:b/>
                <w:bCs/>
                <w:color w:val="000000"/>
                <w:sz w:val="22"/>
                <w:szCs w:val="22"/>
              </w:rPr>
              <w:t xml:space="preserve"> 2022</w:t>
            </w:r>
          </w:p>
          <w:p w:rsidR="007A74C2" w:rsidRPr="00E64DBE" w:rsidRDefault="007A74C2" w:rsidP="00420346">
            <w:pPr>
              <w:rPr>
                <w:b/>
                <w:bCs/>
                <w:color w:val="000000"/>
                <w:sz w:val="22"/>
                <w:szCs w:val="22"/>
              </w:rPr>
            </w:pPr>
          </w:p>
          <w:p w:rsidR="007A74C2" w:rsidRPr="00E64DBE" w:rsidRDefault="007A74C2" w:rsidP="007A74C2">
            <w:pPr>
              <w:rPr>
                <w:bCs/>
                <w:color w:val="000000"/>
                <w:sz w:val="22"/>
                <w:szCs w:val="22"/>
              </w:rPr>
            </w:pPr>
            <w:r w:rsidRPr="00E64DBE">
              <w:rPr>
                <w:snapToGrid w:val="0"/>
                <w:sz w:val="22"/>
                <w:szCs w:val="22"/>
              </w:rPr>
              <w:t xml:space="preserve">Utskottet överlade med </w:t>
            </w:r>
            <w:r w:rsidRPr="00E64DBE">
              <w:rPr>
                <w:bCs/>
                <w:color w:val="000000"/>
                <w:sz w:val="22"/>
                <w:szCs w:val="22"/>
              </w:rPr>
              <w:t>statssekreterare Oskar Magnusson på distans</w:t>
            </w:r>
            <w:r w:rsidRPr="00E64DBE">
              <w:rPr>
                <w:snapToGrid w:val="0"/>
                <w:sz w:val="22"/>
                <w:szCs w:val="22"/>
              </w:rPr>
              <w:t xml:space="preserve"> tillsammans med medarbetare vid Näringsdepartementet,</w:t>
            </w:r>
            <w:r w:rsidRPr="00E64DBE">
              <w:rPr>
                <w:bCs/>
                <w:color w:val="000000"/>
                <w:sz w:val="22"/>
                <w:szCs w:val="22"/>
              </w:rPr>
              <w:t xml:space="preserve"> som närvarande på plats, om</w:t>
            </w:r>
          </w:p>
          <w:p w:rsidR="007A74C2" w:rsidRPr="00E64DBE" w:rsidRDefault="007A74C2" w:rsidP="007A74C2">
            <w:pPr>
              <w:widowControl/>
              <w:autoSpaceDE w:val="0"/>
              <w:autoSpaceDN w:val="0"/>
              <w:adjustRightInd w:val="0"/>
              <w:rPr>
                <w:b/>
                <w:snapToGrid w:val="0"/>
                <w:sz w:val="22"/>
                <w:szCs w:val="22"/>
              </w:rPr>
            </w:pPr>
          </w:p>
          <w:p w:rsidR="007A74C2" w:rsidRPr="00E64DBE" w:rsidRDefault="007A74C2" w:rsidP="007A74C2">
            <w:pPr>
              <w:widowControl/>
              <w:autoSpaceDE w:val="0"/>
              <w:autoSpaceDN w:val="0"/>
              <w:adjustRightInd w:val="0"/>
              <w:rPr>
                <w:b/>
                <w:snapToGrid w:val="0"/>
                <w:sz w:val="22"/>
                <w:szCs w:val="22"/>
              </w:rPr>
            </w:pPr>
            <w:r w:rsidRPr="00E64DBE">
              <w:rPr>
                <w:b/>
                <w:snapToGrid w:val="0"/>
                <w:sz w:val="22"/>
                <w:szCs w:val="22"/>
              </w:rPr>
              <w:t xml:space="preserve">Rådets dagordningspunkt 3. </w:t>
            </w:r>
            <w:r w:rsidRPr="00E64DBE">
              <w:rPr>
                <w:b/>
                <w:sz w:val="22"/>
                <w:szCs w:val="22"/>
              </w:rPr>
              <w:t>55 %-paketet: jordbruksaspekter i översynen av LULUCF-förordningen - Diskussion</w:t>
            </w:r>
            <w:r w:rsidRPr="00E64DBE">
              <w:rPr>
                <w:sz w:val="22"/>
                <w:szCs w:val="22"/>
              </w:rPr>
              <w:t xml:space="preserve"> </w:t>
            </w:r>
          </w:p>
          <w:p w:rsidR="007A74C2" w:rsidRPr="00E64DBE" w:rsidRDefault="007A74C2" w:rsidP="007A74C2">
            <w:pPr>
              <w:rPr>
                <w:b/>
                <w:snapToGrid w:val="0"/>
                <w:sz w:val="22"/>
                <w:szCs w:val="22"/>
              </w:rPr>
            </w:pPr>
          </w:p>
          <w:p w:rsidR="007A74C2" w:rsidRPr="00E64DBE" w:rsidRDefault="007A74C2" w:rsidP="007A74C2">
            <w:pPr>
              <w:rPr>
                <w:b/>
                <w:snapToGrid w:val="0"/>
                <w:sz w:val="22"/>
                <w:szCs w:val="22"/>
              </w:rPr>
            </w:pPr>
            <w:r w:rsidRPr="00E64DBE">
              <w:rPr>
                <w:b/>
                <w:snapToGrid w:val="0"/>
                <w:sz w:val="22"/>
                <w:szCs w:val="22"/>
              </w:rPr>
              <w:t xml:space="preserve">Rådets dagordningspunkt 5. </w:t>
            </w:r>
            <w:r w:rsidRPr="00E64DBE">
              <w:rPr>
                <w:b/>
                <w:sz w:val="22"/>
                <w:szCs w:val="22"/>
              </w:rPr>
              <w:t>Situationen på jordbruksmarknaderna, särskilt efter invasionen av Ukraina - Information från kommissionen och medlemsstaterna, samt diskussion</w:t>
            </w:r>
            <w:r w:rsidRPr="00E64DBE">
              <w:rPr>
                <w:sz w:val="22"/>
                <w:szCs w:val="22"/>
              </w:rPr>
              <w:t xml:space="preserve"> </w:t>
            </w:r>
            <w:r w:rsidRPr="00E64DBE">
              <w:rPr>
                <w:b/>
                <w:snapToGrid w:val="0"/>
                <w:sz w:val="22"/>
                <w:szCs w:val="22"/>
              </w:rPr>
              <w:br/>
            </w:r>
          </w:p>
          <w:p w:rsidR="007A74C2" w:rsidRPr="00E64DBE" w:rsidRDefault="007A74C2" w:rsidP="007A74C2">
            <w:pPr>
              <w:rPr>
                <w:b/>
                <w:snapToGrid w:val="0"/>
                <w:sz w:val="22"/>
                <w:szCs w:val="22"/>
              </w:rPr>
            </w:pPr>
            <w:r w:rsidRPr="00E64DBE">
              <w:rPr>
                <w:b/>
                <w:snapToGrid w:val="0"/>
                <w:sz w:val="22"/>
                <w:szCs w:val="22"/>
              </w:rPr>
              <w:t xml:space="preserve">Rådets dagordningspunkt 6. </w:t>
            </w:r>
            <w:r w:rsidRPr="00E64DBE">
              <w:rPr>
                <w:b/>
                <w:sz w:val="22"/>
                <w:szCs w:val="22"/>
              </w:rPr>
              <w:t xml:space="preserve">Meddelande från kommissionen om att säkra livsmedelstryggheten och öka livsmedelssystemens </w:t>
            </w:r>
            <w:proofErr w:type="spellStart"/>
            <w:r w:rsidRPr="00E64DBE">
              <w:rPr>
                <w:b/>
                <w:sz w:val="22"/>
                <w:szCs w:val="22"/>
              </w:rPr>
              <w:t>resiliens</w:t>
            </w:r>
            <w:proofErr w:type="spellEnd"/>
            <w:r w:rsidRPr="00E64DBE">
              <w:rPr>
                <w:b/>
                <w:sz w:val="22"/>
                <w:szCs w:val="22"/>
              </w:rPr>
              <w:t xml:space="preserve"> - Presentation från kommissionen och diskussion</w:t>
            </w:r>
            <w:r w:rsidRPr="00E64DBE">
              <w:rPr>
                <w:sz w:val="22"/>
                <w:szCs w:val="22"/>
              </w:rPr>
              <w:t xml:space="preserve"> </w:t>
            </w:r>
          </w:p>
          <w:p w:rsidR="007A74C2" w:rsidRPr="00E64DBE" w:rsidRDefault="007A74C2" w:rsidP="007A74C2">
            <w:pPr>
              <w:widowControl/>
              <w:autoSpaceDE w:val="0"/>
              <w:autoSpaceDN w:val="0"/>
              <w:adjustRightInd w:val="0"/>
              <w:rPr>
                <w:b/>
                <w:snapToGrid w:val="0"/>
                <w:sz w:val="22"/>
                <w:szCs w:val="22"/>
              </w:rPr>
            </w:pPr>
          </w:p>
          <w:p w:rsidR="007A74C2" w:rsidRPr="00E64DBE" w:rsidRDefault="007A74C2" w:rsidP="007A74C2">
            <w:pPr>
              <w:rPr>
                <w:b/>
                <w:snapToGrid w:val="0"/>
                <w:sz w:val="22"/>
                <w:szCs w:val="22"/>
              </w:rPr>
            </w:pPr>
            <w:r w:rsidRPr="00E64DBE">
              <w:rPr>
                <w:b/>
                <w:snapToGrid w:val="0"/>
                <w:sz w:val="22"/>
                <w:szCs w:val="22"/>
              </w:rPr>
              <w:t xml:space="preserve">Rådets dagordningspunkt 7a. </w:t>
            </w:r>
            <w:r w:rsidRPr="00E64DBE">
              <w:rPr>
                <w:b/>
                <w:sz w:val="22"/>
                <w:szCs w:val="22"/>
              </w:rPr>
              <w:t xml:space="preserve">Förordningen om geografiska beteckningar - Presentation av kommissionen </w:t>
            </w:r>
          </w:p>
          <w:p w:rsidR="007A74C2" w:rsidRPr="00E64DBE" w:rsidRDefault="007A74C2" w:rsidP="007A74C2">
            <w:pPr>
              <w:rPr>
                <w:bCs/>
                <w:color w:val="000000"/>
                <w:sz w:val="22"/>
                <w:szCs w:val="22"/>
              </w:rPr>
            </w:pPr>
          </w:p>
          <w:p w:rsidR="007A74C2" w:rsidRPr="00E64DBE" w:rsidRDefault="007A74C2" w:rsidP="007A74C2">
            <w:pPr>
              <w:rPr>
                <w:bCs/>
                <w:color w:val="000000"/>
                <w:sz w:val="22"/>
                <w:szCs w:val="22"/>
              </w:rPr>
            </w:pPr>
            <w:r w:rsidRPr="00E64DBE">
              <w:rPr>
                <w:bCs/>
                <w:sz w:val="22"/>
                <w:szCs w:val="22"/>
              </w:rPr>
              <w:t xml:space="preserve">Underlaget utgjordes av en den 28 mars 2022 översänd kommenterad dagordning se </w:t>
            </w:r>
            <w:r w:rsidRPr="00E64DBE">
              <w:rPr>
                <w:bCs/>
                <w:color w:val="000000"/>
                <w:sz w:val="22"/>
                <w:szCs w:val="22"/>
              </w:rPr>
              <w:t>(bilaga 2).</w:t>
            </w:r>
          </w:p>
          <w:p w:rsidR="007A74C2" w:rsidRPr="00E64DBE" w:rsidRDefault="007A74C2" w:rsidP="007A74C2">
            <w:pPr>
              <w:rPr>
                <w:bCs/>
                <w:sz w:val="22"/>
                <w:szCs w:val="22"/>
              </w:rPr>
            </w:pPr>
          </w:p>
          <w:p w:rsidR="007A74C2" w:rsidRPr="00E64DBE" w:rsidRDefault="007A74C2" w:rsidP="007A74C2">
            <w:pPr>
              <w:rPr>
                <w:bCs/>
                <w:sz w:val="22"/>
                <w:szCs w:val="22"/>
              </w:rPr>
            </w:pPr>
            <w:r w:rsidRPr="00E64DBE">
              <w:rPr>
                <w:bCs/>
                <w:sz w:val="22"/>
                <w:szCs w:val="22"/>
              </w:rPr>
              <w:t xml:space="preserve">Statssekreterare Oskar Magnusson anmälde att rådets dagordningspunkt 4 utgår och redogjorde därefter för regeringens ståndpunkter. </w:t>
            </w:r>
          </w:p>
          <w:p w:rsidR="007A74C2" w:rsidRPr="00E64DBE" w:rsidRDefault="007A74C2" w:rsidP="007A74C2">
            <w:pPr>
              <w:rPr>
                <w:bCs/>
                <w:sz w:val="22"/>
                <w:szCs w:val="22"/>
              </w:rPr>
            </w:pPr>
            <w:r w:rsidRPr="00E64DBE">
              <w:rPr>
                <w:bCs/>
                <w:sz w:val="22"/>
                <w:szCs w:val="22"/>
              </w:rPr>
              <w:t xml:space="preserve"> </w:t>
            </w:r>
          </w:p>
          <w:p w:rsidR="007A74C2" w:rsidRPr="00E64DBE" w:rsidRDefault="007A74C2" w:rsidP="007A74C2">
            <w:pPr>
              <w:rPr>
                <w:bCs/>
                <w:sz w:val="22"/>
                <w:szCs w:val="22"/>
              </w:rPr>
            </w:pPr>
            <w:r w:rsidRPr="00E64DBE">
              <w:rPr>
                <w:bCs/>
                <w:sz w:val="22"/>
                <w:szCs w:val="22"/>
              </w:rPr>
              <w:t xml:space="preserve">M-, SD-, C-, V-, KD- och MP-ledamöterna anmälde avvikande ståndpunkter på rådets dagordningspunkt 3 (bilaga 3). Statssekreteraren åtog sig att åter-komma till EU-nämnden med ändringar i regeringens ståndpunkt i enlighet med vad som efterfrågas i den avvikande ståndpunkten från M-, SD-, C- och KD-ledamöterna. </w:t>
            </w:r>
          </w:p>
          <w:p w:rsidR="007A74C2" w:rsidRPr="00E64DBE" w:rsidRDefault="007A74C2" w:rsidP="007A74C2">
            <w:pPr>
              <w:rPr>
                <w:bCs/>
                <w:sz w:val="22"/>
                <w:szCs w:val="22"/>
              </w:rPr>
            </w:pPr>
          </w:p>
          <w:p w:rsidR="007A74C2" w:rsidRPr="00E64DBE" w:rsidRDefault="007A74C2" w:rsidP="007A74C2">
            <w:pPr>
              <w:rPr>
                <w:bCs/>
                <w:sz w:val="22"/>
                <w:szCs w:val="22"/>
              </w:rPr>
            </w:pPr>
            <w:r w:rsidRPr="00E64DBE">
              <w:rPr>
                <w:bCs/>
                <w:sz w:val="22"/>
                <w:szCs w:val="22"/>
              </w:rPr>
              <w:t xml:space="preserve">C- och MP-ledamöterna anmälde avvikande ståndpunkter på rådets dagordningspunkt 5 (bilaga 4). </w:t>
            </w:r>
          </w:p>
          <w:p w:rsidR="007A74C2" w:rsidRPr="00E64DBE" w:rsidRDefault="007A74C2" w:rsidP="007A74C2">
            <w:pPr>
              <w:rPr>
                <w:bCs/>
                <w:sz w:val="22"/>
                <w:szCs w:val="22"/>
              </w:rPr>
            </w:pPr>
          </w:p>
          <w:p w:rsidR="007A74C2" w:rsidRPr="00E64DBE" w:rsidRDefault="007A74C2" w:rsidP="007A74C2">
            <w:pPr>
              <w:rPr>
                <w:bCs/>
                <w:sz w:val="22"/>
                <w:szCs w:val="22"/>
              </w:rPr>
            </w:pPr>
            <w:r w:rsidRPr="00E64DBE">
              <w:rPr>
                <w:bCs/>
                <w:sz w:val="22"/>
                <w:szCs w:val="22"/>
              </w:rPr>
              <w:t xml:space="preserve">Överläggningen under rådets dagordningspunkt 6 motiverade statssekreteraren att åta sig att återkomma till EU-nämnden med ändringar i den svenska ståndpunkten som innebär att Sverige intar en mer offensiv hållning och en aktivare roll. </w:t>
            </w:r>
          </w:p>
          <w:p w:rsidR="007A74C2" w:rsidRPr="00E64DBE" w:rsidRDefault="007A74C2" w:rsidP="007A74C2">
            <w:pPr>
              <w:rPr>
                <w:bCs/>
                <w:sz w:val="22"/>
                <w:szCs w:val="22"/>
              </w:rPr>
            </w:pPr>
          </w:p>
          <w:p w:rsidR="007A74C2" w:rsidRPr="00E64DBE" w:rsidRDefault="007A74C2" w:rsidP="007A74C2">
            <w:pPr>
              <w:rPr>
                <w:bCs/>
                <w:sz w:val="22"/>
                <w:szCs w:val="22"/>
              </w:rPr>
            </w:pPr>
            <w:r w:rsidRPr="00E64DBE">
              <w:rPr>
                <w:bCs/>
                <w:sz w:val="22"/>
                <w:szCs w:val="22"/>
              </w:rPr>
              <w:t xml:space="preserve">SD-ledamöterna anmälde en avvikande ståndpunkt på rådets dagordnings-punkt 6 (bilaga 5). </w:t>
            </w:r>
          </w:p>
          <w:p w:rsidR="007A74C2" w:rsidRPr="00E64DBE" w:rsidRDefault="007A74C2" w:rsidP="007A74C2">
            <w:pPr>
              <w:rPr>
                <w:bCs/>
                <w:sz w:val="22"/>
                <w:szCs w:val="22"/>
              </w:rPr>
            </w:pPr>
          </w:p>
          <w:p w:rsidR="007A74C2" w:rsidRPr="00E64DBE" w:rsidRDefault="007A74C2" w:rsidP="007A74C2">
            <w:pPr>
              <w:rPr>
                <w:bCs/>
                <w:sz w:val="22"/>
                <w:szCs w:val="22"/>
              </w:rPr>
            </w:pPr>
            <w:r w:rsidRPr="00E64DBE">
              <w:rPr>
                <w:bCs/>
                <w:sz w:val="22"/>
                <w:szCs w:val="22"/>
              </w:rPr>
              <w:t>Ordförande konstaterade att det i övrigt fanns stöd för regeringens ståndpunkter.</w:t>
            </w:r>
          </w:p>
          <w:p w:rsidR="00420346" w:rsidRPr="00E64DBE" w:rsidRDefault="00420346" w:rsidP="00420346">
            <w:pPr>
              <w:rPr>
                <w:b/>
                <w:bCs/>
                <w:color w:val="000000"/>
                <w:sz w:val="22"/>
                <w:szCs w:val="22"/>
              </w:rPr>
            </w:pPr>
          </w:p>
          <w:p w:rsidR="007A74C2" w:rsidRPr="00E64DBE" w:rsidRDefault="007A74C2" w:rsidP="007A74C2">
            <w:pPr>
              <w:rPr>
                <w:bCs/>
                <w:sz w:val="22"/>
                <w:szCs w:val="22"/>
              </w:rPr>
            </w:pPr>
            <w:r w:rsidRPr="00E64DBE">
              <w:rPr>
                <w:bCs/>
                <w:sz w:val="22"/>
                <w:szCs w:val="22"/>
              </w:rPr>
              <w:t>Statssekreteraren lämnade under övriga punkt på dagordningen information inför jordbruks- och fiskerådet den 7 april 2022.</w:t>
            </w:r>
          </w:p>
          <w:p w:rsidR="007A74C2" w:rsidRPr="00E64DBE" w:rsidRDefault="007A74C2" w:rsidP="007A74C2">
            <w:pPr>
              <w:rPr>
                <w:bCs/>
                <w:sz w:val="22"/>
                <w:szCs w:val="22"/>
              </w:rPr>
            </w:pPr>
          </w:p>
          <w:p w:rsidR="007A74C2" w:rsidRPr="00E64DBE" w:rsidRDefault="007A74C2" w:rsidP="007A74C2">
            <w:pPr>
              <w:rPr>
                <w:bCs/>
                <w:sz w:val="22"/>
                <w:szCs w:val="22"/>
              </w:rPr>
            </w:pPr>
            <w:r w:rsidRPr="00E64DBE">
              <w:rPr>
                <w:bCs/>
                <w:sz w:val="22"/>
                <w:szCs w:val="22"/>
              </w:rPr>
              <w:t>Denna paragraf förklarades omedelbart justerad.</w:t>
            </w:r>
          </w:p>
          <w:p w:rsidR="007A74C2" w:rsidRPr="00E64DBE" w:rsidRDefault="007A74C2" w:rsidP="00420346">
            <w:pPr>
              <w:rPr>
                <w:b/>
                <w:bCs/>
                <w:color w:val="000000"/>
                <w:sz w:val="22"/>
                <w:szCs w:val="22"/>
              </w:rPr>
            </w:pPr>
          </w:p>
          <w:p w:rsidR="00420346" w:rsidRPr="00E64DBE" w:rsidRDefault="00420346" w:rsidP="00420346">
            <w:pPr>
              <w:rPr>
                <w:bCs/>
                <w:color w:val="000000"/>
                <w:sz w:val="22"/>
                <w:szCs w:val="22"/>
              </w:rPr>
            </w:pPr>
          </w:p>
        </w:tc>
      </w:tr>
      <w:tr w:rsidR="00420346" w:rsidRPr="00E64DBE" w:rsidTr="00502E4A">
        <w:tc>
          <w:tcPr>
            <w:tcW w:w="567" w:type="dxa"/>
          </w:tcPr>
          <w:p w:rsidR="00420346" w:rsidRPr="00E64DBE" w:rsidRDefault="00420346" w:rsidP="00420346">
            <w:pPr>
              <w:rPr>
                <w:b/>
                <w:snapToGrid w:val="0"/>
                <w:sz w:val="22"/>
                <w:szCs w:val="22"/>
              </w:rPr>
            </w:pPr>
            <w:r w:rsidRPr="00E64DBE">
              <w:rPr>
                <w:b/>
                <w:snapToGrid w:val="0"/>
                <w:sz w:val="22"/>
                <w:szCs w:val="22"/>
              </w:rPr>
              <w:lastRenderedPageBreak/>
              <w:t>§ 2</w:t>
            </w:r>
          </w:p>
        </w:tc>
        <w:tc>
          <w:tcPr>
            <w:tcW w:w="7017" w:type="dxa"/>
            <w:gridSpan w:val="2"/>
          </w:tcPr>
          <w:p w:rsidR="00420346" w:rsidRPr="00E64DBE" w:rsidRDefault="00420346" w:rsidP="00420346">
            <w:pPr>
              <w:rPr>
                <w:b/>
                <w:snapToGrid w:val="0"/>
                <w:sz w:val="22"/>
                <w:szCs w:val="22"/>
              </w:rPr>
            </w:pPr>
            <w:r w:rsidRPr="00E64DBE">
              <w:rPr>
                <w:b/>
                <w:snapToGrid w:val="0"/>
                <w:sz w:val="22"/>
                <w:szCs w:val="22"/>
              </w:rPr>
              <w:t>Justering av protokoll</w:t>
            </w:r>
          </w:p>
          <w:p w:rsidR="00420346" w:rsidRPr="00E64DBE" w:rsidRDefault="00420346" w:rsidP="00420346">
            <w:pPr>
              <w:rPr>
                <w:b/>
                <w:snapToGrid w:val="0"/>
                <w:sz w:val="22"/>
                <w:szCs w:val="22"/>
              </w:rPr>
            </w:pPr>
          </w:p>
          <w:p w:rsidR="00420346" w:rsidRPr="00E64DBE" w:rsidRDefault="00420346" w:rsidP="00420346">
            <w:pPr>
              <w:rPr>
                <w:bCs/>
                <w:color w:val="000000"/>
                <w:sz w:val="22"/>
                <w:szCs w:val="22"/>
              </w:rPr>
            </w:pPr>
            <w:r w:rsidRPr="00E64DBE">
              <w:rPr>
                <w:bCs/>
                <w:color w:val="000000"/>
                <w:sz w:val="22"/>
                <w:szCs w:val="22"/>
              </w:rPr>
              <w:t>Utskottet justerade protokoll</w:t>
            </w:r>
            <w:r w:rsidR="006A3462" w:rsidRPr="00E64DBE">
              <w:rPr>
                <w:bCs/>
                <w:color w:val="000000"/>
                <w:sz w:val="22"/>
                <w:szCs w:val="22"/>
              </w:rPr>
              <w:t>en</w:t>
            </w:r>
            <w:r w:rsidRPr="00E64DBE">
              <w:rPr>
                <w:bCs/>
                <w:color w:val="000000"/>
                <w:sz w:val="22"/>
                <w:szCs w:val="22"/>
              </w:rPr>
              <w:t xml:space="preserve"> 2021/22:3</w:t>
            </w:r>
            <w:r w:rsidR="008665F3" w:rsidRPr="00E64DBE">
              <w:rPr>
                <w:bCs/>
                <w:color w:val="000000"/>
                <w:sz w:val="22"/>
                <w:szCs w:val="22"/>
              </w:rPr>
              <w:t>7</w:t>
            </w:r>
            <w:r w:rsidRPr="00E64DBE">
              <w:rPr>
                <w:bCs/>
                <w:color w:val="000000"/>
                <w:sz w:val="22"/>
                <w:szCs w:val="22"/>
              </w:rPr>
              <w:t xml:space="preserve"> och 201/22:3</w:t>
            </w:r>
            <w:r w:rsidR="008665F3" w:rsidRPr="00E64DBE">
              <w:rPr>
                <w:bCs/>
                <w:color w:val="000000"/>
                <w:sz w:val="22"/>
                <w:szCs w:val="22"/>
              </w:rPr>
              <w:t>8</w:t>
            </w:r>
            <w:r w:rsidRPr="00E64DBE">
              <w:rPr>
                <w:bCs/>
                <w:color w:val="000000"/>
                <w:sz w:val="22"/>
                <w:szCs w:val="22"/>
              </w:rPr>
              <w:t>.</w:t>
            </w:r>
          </w:p>
          <w:p w:rsidR="00420346" w:rsidRPr="00E64DBE" w:rsidRDefault="00420346" w:rsidP="00420346">
            <w:pPr>
              <w:rPr>
                <w:snapToGrid w:val="0"/>
                <w:sz w:val="22"/>
                <w:szCs w:val="22"/>
              </w:rPr>
            </w:pPr>
          </w:p>
        </w:tc>
      </w:tr>
      <w:tr w:rsidR="00420346" w:rsidRPr="00E64DBE" w:rsidTr="00502E4A">
        <w:tc>
          <w:tcPr>
            <w:tcW w:w="567" w:type="dxa"/>
          </w:tcPr>
          <w:p w:rsidR="00420346" w:rsidRPr="00E64DBE" w:rsidRDefault="00420346" w:rsidP="00420346">
            <w:pPr>
              <w:rPr>
                <w:b/>
                <w:snapToGrid w:val="0"/>
                <w:sz w:val="22"/>
                <w:szCs w:val="22"/>
              </w:rPr>
            </w:pPr>
            <w:r w:rsidRPr="00E64DBE">
              <w:rPr>
                <w:b/>
                <w:snapToGrid w:val="0"/>
                <w:sz w:val="22"/>
                <w:szCs w:val="22"/>
              </w:rPr>
              <w:t>§ 3</w:t>
            </w:r>
          </w:p>
        </w:tc>
        <w:tc>
          <w:tcPr>
            <w:tcW w:w="7017" w:type="dxa"/>
            <w:gridSpan w:val="2"/>
          </w:tcPr>
          <w:p w:rsidR="00420346" w:rsidRPr="00E64DBE" w:rsidRDefault="00FB54F1" w:rsidP="00420346">
            <w:pPr>
              <w:rPr>
                <w:rFonts w:eastAsiaTheme="minorHAnsi"/>
                <w:b/>
                <w:bCs/>
                <w:color w:val="000000"/>
                <w:sz w:val="22"/>
                <w:szCs w:val="22"/>
                <w:lang w:eastAsia="en-US"/>
              </w:rPr>
            </w:pPr>
            <w:r w:rsidRPr="00E64DBE">
              <w:rPr>
                <w:rFonts w:eastAsiaTheme="minorHAnsi"/>
                <w:b/>
                <w:bCs/>
                <w:color w:val="000000"/>
                <w:sz w:val="22"/>
                <w:szCs w:val="22"/>
                <w:lang w:eastAsia="en-US"/>
              </w:rPr>
              <w:t>Jordbrukspolitik</w:t>
            </w:r>
            <w:r w:rsidR="00420346" w:rsidRPr="00E64DBE">
              <w:rPr>
                <w:rFonts w:eastAsiaTheme="minorHAnsi"/>
                <w:b/>
                <w:bCs/>
                <w:color w:val="000000"/>
                <w:sz w:val="22"/>
                <w:szCs w:val="22"/>
                <w:lang w:eastAsia="en-US"/>
              </w:rPr>
              <w:t xml:space="preserve"> (MJU</w:t>
            </w:r>
            <w:r w:rsidRPr="00E64DBE">
              <w:rPr>
                <w:rFonts w:eastAsiaTheme="minorHAnsi"/>
                <w:b/>
                <w:bCs/>
                <w:color w:val="000000"/>
                <w:sz w:val="22"/>
                <w:szCs w:val="22"/>
                <w:lang w:eastAsia="en-US"/>
              </w:rPr>
              <w:t>21</w:t>
            </w:r>
            <w:r w:rsidR="00420346" w:rsidRPr="00E64DBE">
              <w:rPr>
                <w:rFonts w:eastAsiaTheme="minorHAnsi"/>
                <w:b/>
                <w:bCs/>
                <w:color w:val="000000"/>
                <w:sz w:val="22"/>
                <w:szCs w:val="22"/>
                <w:lang w:eastAsia="en-US"/>
              </w:rPr>
              <w:t xml:space="preserve">)     </w:t>
            </w:r>
          </w:p>
          <w:p w:rsidR="00420346" w:rsidRPr="00E64DBE" w:rsidRDefault="00420346" w:rsidP="00420346">
            <w:pPr>
              <w:rPr>
                <w:rFonts w:eastAsiaTheme="minorHAnsi"/>
                <w:bCs/>
                <w:color w:val="000000"/>
                <w:sz w:val="22"/>
                <w:szCs w:val="22"/>
                <w:lang w:eastAsia="en-US"/>
              </w:rPr>
            </w:pPr>
          </w:p>
          <w:p w:rsidR="00420346" w:rsidRPr="00E64DBE" w:rsidRDefault="00420346" w:rsidP="00420346">
            <w:pPr>
              <w:rPr>
                <w:snapToGrid w:val="0"/>
                <w:sz w:val="22"/>
                <w:szCs w:val="22"/>
              </w:rPr>
            </w:pPr>
            <w:r w:rsidRPr="00E64DBE">
              <w:rPr>
                <w:snapToGrid w:val="0"/>
                <w:sz w:val="22"/>
                <w:szCs w:val="22"/>
              </w:rPr>
              <w:t xml:space="preserve">Utskottet fortsatte behandlingen av </w:t>
            </w:r>
            <w:r w:rsidR="00FB54F1" w:rsidRPr="00E64DBE">
              <w:rPr>
                <w:snapToGrid w:val="0"/>
                <w:sz w:val="22"/>
                <w:szCs w:val="22"/>
              </w:rPr>
              <w:t>motioner om jordbrukspolitik</w:t>
            </w:r>
            <w:r w:rsidRPr="00E64DBE">
              <w:rPr>
                <w:snapToGrid w:val="0"/>
                <w:sz w:val="22"/>
                <w:szCs w:val="22"/>
              </w:rPr>
              <w:t>.</w:t>
            </w:r>
          </w:p>
          <w:p w:rsidR="000868D0" w:rsidRPr="00E64DBE" w:rsidRDefault="000868D0" w:rsidP="00420346">
            <w:pPr>
              <w:rPr>
                <w:snapToGrid w:val="0"/>
                <w:sz w:val="22"/>
                <w:szCs w:val="22"/>
              </w:rPr>
            </w:pPr>
          </w:p>
          <w:p w:rsidR="00420346" w:rsidRPr="00E64DBE" w:rsidRDefault="00420346" w:rsidP="00420346">
            <w:pPr>
              <w:rPr>
                <w:snapToGrid w:val="0"/>
                <w:sz w:val="22"/>
                <w:szCs w:val="22"/>
              </w:rPr>
            </w:pPr>
            <w:r w:rsidRPr="00E64DBE">
              <w:rPr>
                <w:snapToGrid w:val="0"/>
                <w:sz w:val="22"/>
                <w:szCs w:val="22"/>
              </w:rPr>
              <w:t>Utskottet justerade betänkande 2021/</w:t>
            </w:r>
            <w:proofErr w:type="gramStart"/>
            <w:r w:rsidRPr="00E64DBE">
              <w:rPr>
                <w:snapToGrid w:val="0"/>
                <w:sz w:val="22"/>
                <w:szCs w:val="22"/>
              </w:rPr>
              <w:t>22:MJU</w:t>
            </w:r>
            <w:proofErr w:type="gramEnd"/>
            <w:r w:rsidR="00FB54F1" w:rsidRPr="00E64DBE">
              <w:rPr>
                <w:snapToGrid w:val="0"/>
                <w:sz w:val="22"/>
                <w:szCs w:val="22"/>
              </w:rPr>
              <w:t>21</w:t>
            </w:r>
            <w:r w:rsidRPr="00E64DBE">
              <w:rPr>
                <w:snapToGrid w:val="0"/>
                <w:sz w:val="22"/>
                <w:szCs w:val="22"/>
              </w:rPr>
              <w:t xml:space="preserve">. </w:t>
            </w:r>
          </w:p>
          <w:p w:rsidR="008823F2" w:rsidRPr="00E64DBE" w:rsidRDefault="008823F2" w:rsidP="00420346">
            <w:pPr>
              <w:rPr>
                <w:snapToGrid w:val="0"/>
                <w:sz w:val="22"/>
                <w:szCs w:val="22"/>
              </w:rPr>
            </w:pPr>
          </w:p>
          <w:p w:rsidR="008823F2" w:rsidRPr="00E64DBE" w:rsidRDefault="008823F2" w:rsidP="00105BAE">
            <w:pPr>
              <w:rPr>
                <w:snapToGrid w:val="0"/>
                <w:sz w:val="22"/>
                <w:szCs w:val="22"/>
              </w:rPr>
            </w:pPr>
            <w:r w:rsidRPr="00E64DBE">
              <w:rPr>
                <w:sz w:val="22"/>
                <w:szCs w:val="22"/>
              </w:rPr>
              <w:t xml:space="preserve">M-, </w:t>
            </w:r>
            <w:r w:rsidR="00585C70" w:rsidRPr="00E64DBE">
              <w:rPr>
                <w:sz w:val="22"/>
                <w:szCs w:val="22"/>
              </w:rPr>
              <w:t xml:space="preserve">SD-, </w:t>
            </w:r>
            <w:r w:rsidRPr="00E64DBE">
              <w:rPr>
                <w:sz w:val="22"/>
                <w:szCs w:val="22"/>
              </w:rPr>
              <w:t>C</w:t>
            </w:r>
            <w:r w:rsidR="0046558C" w:rsidRPr="00E64DBE">
              <w:rPr>
                <w:sz w:val="22"/>
                <w:szCs w:val="22"/>
              </w:rPr>
              <w:t>-</w:t>
            </w:r>
            <w:r w:rsidR="00585C70" w:rsidRPr="00E64DBE">
              <w:rPr>
                <w:sz w:val="22"/>
                <w:szCs w:val="22"/>
              </w:rPr>
              <w:t xml:space="preserve">, </w:t>
            </w:r>
            <w:r w:rsidRPr="00E64DBE">
              <w:rPr>
                <w:sz w:val="22"/>
                <w:szCs w:val="22"/>
              </w:rPr>
              <w:t>KD-</w:t>
            </w:r>
            <w:r w:rsidR="00585C70" w:rsidRPr="00E64DBE">
              <w:rPr>
                <w:sz w:val="22"/>
                <w:szCs w:val="22"/>
              </w:rPr>
              <w:t>, L- och MP-</w:t>
            </w:r>
            <w:r w:rsidRPr="00E64DBE">
              <w:rPr>
                <w:snapToGrid w:val="0"/>
                <w:sz w:val="22"/>
                <w:szCs w:val="22"/>
              </w:rPr>
              <w:t xml:space="preserve">ledamöterna anmälde reservationer. </w:t>
            </w:r>
          </w:p>
          <w:p w:rsidR="008823F2" w:rsidRPr="00E64DBE" w:rsidRDefault="008823F2" w:rsidP="00105BAE">
            <w:pPr>
              <w:rPr>
                <w:snapToGrid w:val="0"/>
                <w:sz w:val="22"/>
                <w:szCs w:val="22"/>
              </w:rPr>
            </w:pPr>
            <w:r w:rsidRPr="00E64DBE">
              <w:rPr>
                <w:sz w:val="22"/>
                <w:szCs w:val="22"/>
              </w:rPr>
              <w:t>M-, SD-, C-</w:t>
            </w:r>
            <w:r w:rsidR="00585C70" w:rsidRPr="00E64DBE">
              <w:rPr>
                <w:sz w:val="22"/>
                <w:szCs w:val="22"/>
              </w:rPr>
              <w:t>,</w:t>
            </w:r>
            <w:r w:rsidR="0046558C" w:rsidRPr="00E64DBE">
              <w:rPr>
                <w:sz w:val="22"/>
                <w:szCs w:val="22"/>
              </w:rPr>
              <w:t xml:space="preserve"> </w:t>
            </w:r>
            <w:r w:rsidRPr="00E64DBE">
              <w:rPr>
                <w:sz w:val="22"/>
                <w:szCs w:val="22"/>
              </w:rPr>
              <w:t>KD</w:t>
            </w:r>
            <w:r w:rsidRPr="00E64DBE">
              <w:rPr>
                <w:snapToGrid w:val="0"/>
                <w:sz w:val="22"/>
                <w:szCs w:val="22"/>
              </w:rPr>
              <w:t>-</w:t>
            </w:r>
            <w:r w:rsidR="00585C70" w:rsidRPr="00E64DBE">
              <w:rPr>
                <w:snapToGrid w:val="0"/>
                <w:sz w:val="22"/>
                <w:szCs w:val="22"/>
              </w:rPr>
              <w:t xml:space="preserve"> och L-</w:t>
            </w:r>
            <w:r w:rsidRPr="00E64DBE">
              <w:rPr>
                <w:snapToGrid w:val="0"/>
                <w:sz w:val="22"/>
                <w:szCs w:val="22"/>
              </w:rPr>
              <w:t>ledamöterna anmälde särskilda yttranden.</w:t>
            </w:r>
          </w:p>
          <w:p w:rsidR="00420346" w:rsidRPr="00E64DBE" w:rsidRDefault="00420346" w:rsidP="00420346">
            <w:pPr>
              <w:rPr>
                <w:b/>
                <w:snapToGrid w:val="0"/>
                <w:sz w:val="22"/>
                <w:szCs w:val="22"/>
              </w:rPr>
            </w:pPr>
          </w:p>
        </w:tc>
      </w:tr>
      <w:tr w:rsidR="00995CA8" w:rsidRPr="00E64DBE" w:rsidTr="00502E4A">
        <w:tc>
          <w:tcPr>
            <w:tcW w:w="567" w:type="dxa"/>
          </w:tcPr>
          <w:p w:rsidR="00995CA8" w:rsidRPr="00E64DBE" w:rsidRDefault="00995CA8" w:rsidP="00420346">
            <w:pPr>
              <w:rPr>
                <w:b/>
                <w:snapToGrid w:val="0"/>
                <w:sz w:val="22"/>
                <w:szCs w:val="22"/>
              </w:rPr>
            </w:pPr>
            <w:r w:rsidRPr="00E64DBE">
              <w:rPr>
                <w:b/>
                <w:snapToGrid w:val="0"/>
                <w:sz w:val="22"/>
                <w:szCs w:val="22"/>
              </w:rPr>
              <w:t>§ 4</w:t>
            </w:r>
          </w:p>
        </w:tc>
        <w:tc>
          <w:tcPr>
            <w:tcW w:w="7017" w:type="dxa"/>
            <w:gridSpan w:val="2"/>
          </w:tcPr>
          <w:p w:rsidR="00995CA8" w:rsidRPr="00E64DBE" w:rsidRDefault="00995CA8" w:rsidP="00995CA8">
            <w:pPr>
              <w:widowControl/>
              <w:autoSpaceDE w:val="0"/>
              <w:autoSpaceDN w:val="0"/>
              <w:adjustRightInd w:val="0"/>
              <w:spacing w:after="120"/>
              <w:rPr>
                <w:rFonts w:eastAsiaTheme="minorHAnsi"/>
                <w:b/>
                <w:color w:val="000000"/>
                <w:sz w:val="22"/>
                <w:szCs w:val="22"/>
                <w:lang w:eastAsia="en-US"/>
              </w:rPr>
            </w:pPr>
            <w:r w:rsidRPr="00E64DBE">
              <w:rPr>
                <w:rFonts w:eastAsiaTheme="minorHAnsi"/>
                <w:b/>
                <w:color w:val="000000"/>
                <w:sz w:val="22"/>
                <w:szCs w:val="22"/>
                <w:lang w:eastAsia="en-US"/>
              </w:rPr>
              <w:t>En ökad differentiering av strandskyddet (MJU27)</w:t>
            </w:r>
          </w:p>
          <w:p w:rsidR="00995CA8" w:rsidRPr="00E64DBE" w:rsidRDefault="00995CA8" w:rsidP="00995CA8">
            <w:pPr>
              <w:widowControl/>
              <w:autoSpaceDE w:val="0"/>
              <w:autoSpaceDN w:val="0"/>
              <w:adjustRightInd w:val="0"/>
              <w:spacing w:after="120"/>
              <w:rPr>
                <w:rFonts w:eastAsiaTheme="minorHAnsi"/>
                <w:b/>
                <w:bCs/>
                <w:color w:val="000000"/>
                <w:sz w:val="22"/>
                <w:szCs w:val="22"/>
                <w:lang w:eastAsia="en-US"/>
              </w:rPr>
            </w:pPr>
            <w:r w:rsidRPr="00E64DBE">
              <w:rPr>
                <w:rFonts w:eastAsiaTheme="minorHAnsi"/>
                <w:b/>
                <w:color w:val="000000"/>
                <w:sz w:val="22"/>
                <w:szCs w:val="22"/>
                <w:lang w:eastAsia="en-US"/>
              </w:rPr>
              <w:br/>
            </w:r>
            <w:r w:rsidRPr="00E64DBE">
              <w:rPr>
                <w:rFonts w:eastAsiaTheme="minorHAnsi"/>
                <w:bCs/>
                <w:color w:val="000000"/>
                <w:sz w:val="22"/>
                <w:szCs w:val="22"/>
                <w:lang w:eastAsia="en-US"/>
              </w:rPr>
              <w:t>Utskottet beslutade att ge civilutskottet tillfälle att senast den 3 maj 2022 yttra sig över prop</w:t>
            </w:r>
            <w:r w:rsidR="00BE298A" w:rsidRPr="00E64DBE">
              <w:rPr>
                <w:rFonts w:eastAsiaTheme="minorHAnsi"/>
                <w:bCs/>
                <w:color w:val="000000"/>
                <w:sz w:val="22"/>
                <w:szCs w:val="22"/>
                <w:lang w:eastAsia="en-US"/>
              </w:rPr>
              <w:t>.</w:t>
            </w:r>
            <w:r w:rsidRPr="00E64DBE">
              <w:rPr>
                <w:rFonts w:eastAsiaTheme="minorHAnsi"/>
                <w:bCs/>
                <w:color w:val="000000"/>
                <w:sz w:val="22"/>
                <w:szCs w:val="22"/>
                <w:lang w:eastAsia="en-US"/>
              </w:rPr>
              <w:t xml:space="preserve"> 2021/22:168 och eventuella följdmotioner i de delar som berör utskottets beredningsområde.</w:t>
            </w:r>
            <w:r w:rsidRPr="00E64DBE">
              <w:rPr>
                <w:rFonts w:eastAsiaTheme="minorHAnsi"/>
                <w:bCs/>
                <w:color w:val="000000"/>
                <w:sz w:val="22"/>
                <w:szCs w:val="22"/>
                <w:lang w:eastAsia="en-US"/>
              </w:rPr>
              <w:br/>
            </w:r>
            <w:r w:rsidRPr="00E64DBE">
              <w:rPr>
                <w:rFonts w:eastAsiaTheme="minorHAnsi"/>
                <w:bCs/>
                <w:color w:val="000000"/>
                <w:sz w:val="22"/>
                <w:szCs w:val="22"/>
                <w:highlight w:val="yellow"/>
                <w:lang w:eastAsia="en-US"/>
              </w:rPr>
              <w:br/>
            </w:r>
            <w:r w:rsidRPr="00E64DBE">
              <w:rPr>
                <w:rFonts w:eastAsiaTheme="minorHAnsi"/>
                <w:bCs/>
                <w:color w:val="000000"/>
                <w:sz w:val="22"/>
                <w:szCs w:val="22"/>
                <w:lang w:eastAsia="en-US"/>
              </w:rPr>
              <w:t>Denna paragraf förklarades omedelbart justerad</w:t>
            </w:r>
            <w:r w:rsidRPr="00E64DBE">
              <w:rPr>
                <w:rFonts w:eastAsiaTheme="minorHAnsi"/>
                <w:color w:val="000000"/>
                <w:sz w:val="22"/>
                <w:szCs w:val="22"/>
                <w:lang w:eastAsia="en-US"/>
              </w:rPr>
              <w:t>.</w:t>
            </w:r>
          </w:p>
          <w:p w:rsidR="00995CA8" w:rsidRPr="00E64DBE" w:rsidRDefault="00995CA8" w:rsidP="00420346">
            <w:pPr>
              <w:rPr>
                <w:rFonts w:eastAsiaTheme="minorHAnsi"/>
                <w:b/>
                <w:bCs/>
                <w:color w:val="000000"/>
                <w:sz w:val="22"/>
                <w:szCs w:val="22"/>
                <w:lang w:eastAsia="en-US"/>
              </w:rPr>
            </w:pPr>
          </w:p>
        </w:tc>
      </w:tr>
      <w:tr w:rsidR="00420346" w:rsidRPr="00E64DBE" w:rsidTr="00502E4A">
        <w:tc>
          <w:tcPr>
            <w:tcW w:w="567" w:type="dxa"/>
          </w:tcPr>
          <w:p w:rsidR="00420346" w:rsidRPr="00E64DBE" w:rsidRDefault="00420346" w:rsidP="00420346">
            <w:pPr>
              <w:rPr>
                <w:b/>
                <w:snapToGrid w:val="0"/>
                <w:sz w:val="22"/>
                <w:szCs w:val="22"/>
              </w:rPr>
            </w:pPr>
            <w:r w:rsidRPr="00E64DBE">
              <w:rPr>
                <w:b/>
                <w:snapToGrid w:val="0"/>
                <w:sz w:val="22"/>
                <w:szCs w:val="22"/>
              </w:rPr>
              <w:t xml:space="preserve">§ </w:t>
            </w:r>
            <w:r w:rsidR="003E47C0" w:rsidRPr="00E64DBE">
              <w:rPr>
                <w:b/>
                <w:snapToGrid w:val="0"/>
                <w:sz w:val="22"/>
                <w:szCs w:val="22"/>
              </w:rPr>
              <w:t>5</w:t>
            </w:r>
            <w:r w:rsidRPr="00E64DBE">
              <w:rPr>
                <w:b/>
                <w:snapToGrid w:val="0"/>
                <w:sz w:val="22"/>
                <w:szCs w:val="22"/>
              </w:rPr>
              <w:t xml:space="preserve"> </w:t>
            </w:r>
          </w:p>
        </w:tc>
        <w:tc>
          <w:tcPr>
            <w:tcW w:w="7017" w:type="dxa"/>
            <w:gridSpan w:val="2"/>
          </w:tcPr>
          <w:p w:rsidR="007C48D1" w:rsidRPr="00E64DBE" w:rsidRDefault="00FB54F1" w:rsidP="00420346">
            <w:pPr>
              <w:rPr>
                <w:b/>
                <w:sz w:val="22"/>
                <w:szCs w:val="22"/>
              </w:rPr>
            </w:pPr>
            <w:r w:rsidRPr="00E64DBE">
              <w:rPr>
                <w:b/>
                <w:sz w:val="22"/>
                <w:szCs w:val="22"/>
              </w:rPr>
              <w:t>Kommissionens förslag till Europaparlamentets och rådets förordning om ändring av förordning (EU) 2016/1628 vad gäller förlängning av kommissionens befogenhet att anta delegerade akter</w:t>
            </w:r>
          </w:p>
          <w:p w:rsidR="00FB54F1" w:rsidRPr="00E64DBE" w:rsidRDefault="00FB54F1" w:rsidP="00420346">
            <w:pPr>
              <w:rPr>
                <w:snapToGrid w:val="0"/>
                <w:sz w:val="22"/>
                <w:szCs w:val="22"/>
              </w:rPr>
            </w:pPr>
          </w:p>
          <w:p w:rsidR="00374A92" w:rsidRDefault="00FB54F1" w:rsidP="00420346">
            <w:pPr>
              <w:rPr>
                <w:rFonts w:eastAsiaTheme="minorHAnsi"/>
                <w:color w:val="000000"/>
                <w:sz w:val="22"/>
                <w:szCs w:val="22"/>
                <w:lang w:eastAsia="en-US"/>
              </w:rPr>
            </w:pPr>
            <w:r w:rsidRPr="00E64DBE">
              <w:rPr>
                <w:rFonts w:eastAsiaTheme="minorHAnsi"/>
                <w:color w:val="000000"/>
                <w:sz w:val="22"/>
                <w:szCs w:val="22"/>
                <w:lang w:eastAsia="en-US"/>
              </w:rPr>
              <w:t xml:space="preserve">Utskottet inledde subsidiaritetsprövningen av COM (2022) 113. </w:t>
            </w:r>
          </w:p>
          <w:p w:rsidR="00374A92" w:rsidRDefault="00374A92" w:rsidP="00420346">
            <w:pPr>
              <w:rPr>
                <w:rFonts w:eastAsiaTheme="minorHAnsi"/>
                <w:color w:val="000000"/>
                <w:sz w:val="22"/>
                <w:szCs w:val="22"/>
                <w:lang w:eastAsia="en-US"/>
              </w:rPr>
            </w:pPr>
          </w:p>
          <w:p w:rsidR="00FB54F1" w:rsidRPr="00374A92" w:rsidRDefault="00374A92" w:rsidP="00374A92">
            <w:pPr>
              <w:tabs>
                <w:tab w:val="left" w:pos="1701"/>
              </w:tabs>
              <w:rPr>
                <w:bCs/>
                <w:color w:val="000000"/>
                <w:sz w:val="22"/>
                <w:szCs w:val="22"/>
              </w:rPr>
            </w:pPr>
            <w:r w:rsidRPr="009F4343">
              <w:rPr>
                <w:snapToGrid w:val="0"/>
                <w:sz w:val="22"/>
                <w:szCs w:val="22"/>
              </w:rPr>
              <w:t>Utskottet ansåg att förslaget inte strider mot subsidiaritetsprincipen.</w:t>
            </w:r>
            <w:r w:rsidR="00FB54F1" w:rsidRPr="00E64DBE">
              <w:rPr>
                <w:rFonts w:eastAsiaTheme="minorHAnsi"/>
                <w:color w:val="000000"/>
                <w:sz w:val="22"/>
                <w:szCs w:val="22"/>
                <w:lang w:eastAsia="en-US"/>
              </w:rPr>
              <w:br/>
            </w:r>
            <w:r w:rsidR="00FB54F1" w:rsidRPr="00E64DBE">
              <w:rPr>
                <w:rFonts w:eastAsiaTheme="minorHAnsi"/>
                <w:color w:val="000000"/>
                <w:sz w:val="22"/>
                <w:szCs w:val="22"/>
                <w:lang w:eastAsia="en-US"/>
              </w:rPr>
              <w:br/>
            </w:r>
            <w:r w:rsidR="00995CA8" w:rsidRPr="00E64DBE">
              <w:rPr>
                <w:rFonts w:eastAsiaTheme="minorHAnsi"/>
                <w:bCs/>
                <w:color w:val="000000"/>
                <w:sz w:val="22"/>
                <w:szCs w:val="22"/>
                <w:lang w:eastAsia="en-US"/>
              </w:rPr>
              <w:t>Denna paragraf förklarades omedelbart justerad</w:t>
            </w:r>
            <w:r w:rsidR="00995CA8" w:rsidRPr="00E64DBE">
              <w:rPr>
                <w:rFonts w:eastAsiaTheme="minorHAnsi"/>
                <w:color w:val="000000"/>
                <w:sz w:val="22"/>
                <w:szCs w:val="22"/>
                <w:lang w:eastAsia="en-US"/>
              </w:rPr>
              <w:t>.</w:t>
            </w:r>
          </w:p>
          <w:p w:rsidR="00420346" w:rsidRPr="00E64DBE" w:rsidRDefault="00420346" w:rsidP="00420346">
            <w:pPr>
              <w:rPr>
                <w:rFonts w:eastAsiaTheme="minorHAnsi"/>
                <w:b/>
                <w:bCs/>
                <w:color w:val="000000"/>
                <w:sz w:val="22"/>
                <w:szCs w:val="22"/>
                <w:lang w:eastAsia="en-US"/>
              </w:rPr>
            </w:pPr>
          </w:p>
        </w:tc>
      </w:tr>
      <w:tr w:rsidR="00420346" w:rsidRPr="00E64DBE" w:rsidTr="00502E4A">
        <w:tc>
          <w:tcPr>
            <w:tcW w:w="567" w:type="dxa"/>
          </w:tcPr>
          <w:p w:rsidR="00420346" w:rsidRPr="00E64DBE" w:rsidRDefault="00420346" w:rsidP="00420346">
            <w:pPr>
              <w:rPr>
                <w:b/>
                <w:snapToGrid w:val="0"/>
                <w:sz w:val="22"/>
                <w:szCs w:val="22"/>
              </w:rPr>
            </w:pPr>
            <w:r w:rsidRPr="00E64DBE">
              <w:rPr>
                <w:b/>
                <w:snapToGrid w:val="0"/>
                <w:sz w:val="22"/>
                <w:szCs w:val="22"/>
              </w:rPr>
              <w:t xml:space="preserve">§ </w:t>
            </w:r>
            <w:r w:rsidR="003E47C0" w:rsidRPr="00E64DBE">
              <w:rPr>
                <w:b/>
                <w:snapToGrid w:val="0"/>
                <w:sz w:val="22"/>
                <w:szCs w:val="22"/>
              </w:rPr>
              <w:t>6</w:t>
            </w:r>
          </w:p>
        </w:tc>
        <w:tc>
          <w:tcPr>
            <w:tcW w:w="7017" w:type="dxa"/>
            <w:gridSpan w:val="2"/>
          </w:tcPr>
          <w:p w:rsidR="00420346" w:rsidRPr="00E64DBE" w:rsidRDefault="00FB54F1" w:rsidP="007879D2">
            <w:pPr>
              <w:rPr>
                <w:rFonts w:eastAsiaTheme="minorHAnsi"/>
                <w:b/>
                <w:bCs/>
                <w:color w:val="000000"/>
                <w:sz w:val="22"/>
                <w:szCs w:val="22"/>
                <w:lang w:eastAsia="en-US"/>
              </w:rPr>
            </w:pPr>
            <w:r w:rsidRPr="00E64DBE">
              <w:rPr>
                <w:rFonts w:eastAsiaTheme="minorHAnsi"/>
                <w:b/>
                <w:bCs/>
                <w:color w:val="000000"/>
                <w:sz w:val="22"/>
                <w:szCs w:val="22"/>
                <w:lang w:eastAsia="en-US"/>
              </w:rPr>
              <w:t>Inkomna EU-dokument</w:t>
            </w:r>
          </w:p>
          <w:p w:rsidR="00FB54F1" w:rsidRPr="00E64DBE" w:rsidRDefault="00FB54F1" w:rsidP="007879D2">
            <w:pPr>
              <w:rPr>
                <w:rFonts w:eastAsiaTheme="minorHAnsi"/>
                <w:b/>
                <w:bCs/>
                <w:color w:val="000000"/>
                <w:sz w:val="22"/>
                <w:szCs w:val="22"/>
                <w:lang w:eastAsia="en-US"/>
              </w:rPr>
            </w:pPr>
          </w:p>
          <w:p w:rsidR="004770EC" w:rsidRPr="00E64DBE" w:rsidRDefault="004770EC" w:rsidP="004770EC">
            <w:pPr>
              <w:rPr>
                <w:sz w:val="22"/>
                <w:szCs w:val="22"/>
              </w:rPr>
            </w:pPr>
            <w:r w:rsidRPr="00E64DBE">
              <w:rPr>
                <w:sz w:val="22"/>
                <w:szCs w:val="22"/>
              </w:rPr>
              <w:t xml:space="preserve">Inkomna EU-dokument enligt bilaga </w:t>
            </w:r>
            <w:r w:rsidR="00A404CB" w:rsidRPr="00E64DBE">
              <w:rPr>
                <w:sz w:val="22"/>
                <w:szCs w:val="22"/>
              </w:rPr>
              <w:t>6</w:t>
            </w:r>
            <w:r w:rsidRPr="00E64DBE">
              <w:rPr>
                <w:sz w:val="22"/>
                <w:szCs w:val="22"/>
              </w:rPr>
              <w:t xml:space="preserve"> anmäldes och föranledde ingen vidare åtgärd.</w:t>
            </w:r>
          </w:p>
          <w:p w:rsidR="00FB54F1" w:rsidRPr="00E64DBE" w:rsidRDefault="00FB54F1" w:rsidP="007879D2">
            <w:pPr>
              <w:rPr>
                <w:rFonts w:eastAsiaTheme="minorHAnsi"/>
                <w:b/>
                <w:bCs/>
                <w:color w:val="000000"/>
                <w:sz w:val="22"/>
                <w:szCs w:val="22"/>
                <w:lang w:eastAsia="en-US"/>
              </w:rPr>
            </w:pPr>
          </w:p>
        </w:tc>
      </w:tr>
      <w:tr w:rsidR="00A404CB" w:rsidRPr="00E64DBE" w:rsidTr="00502E4A">
        <w:tc>
          <w:tcPr>
            <w:tcW w:w="567" w:type="dxa"/>
          </w:tcPr>
          <w:p w:rsidR="00A404CB" w:rsidRPr="00E64DBE" w:rsidRDefault="00A404CB" w:rsidP="00420346">
            <w:pPr>
              <w:rPr>
                <w:b/>
                <w:snapToGrid w:val="0"/>
                <w:sz w:val="22"/>
                <w:szCs w:val="22"/>
              </w:rPr>
            </w:pPr>
            <w:r w:rsidRPr="00E64DBE">
              <w:rPr>
                <w:b/>
                <w:snapToGrid w:val="0"/>
                <w:sz w:val="22"/>
                <w:szCs w:val="22"/>
              </w:rPr>
              <w:t>§ 7</w:t>
            </w:r>
          </w:p>
        </w:tc>
        <w:tc>
          <w:tcPr>
            <w:tcW w:w="7017" w:type="dxa"/>
            <w:gridSpan w:val="2"/>
          </w:tcPr>
          <w:p w:rsidR="00A404CB" w:rsidRPr="00E64DBE" w:rsidRDefault="00A404CB" w:rsidP="007879D2">
            <w:pPr>
              <w:rPr>
                <w:rFonts w:eastAsiaTheme="minorHAnsi"/>
                <w:b/>
                <w:bCs/>
                <w:color w:val="000000"/>
                <w:sz w:val="22"/>
                <w:szCs w:val="22"/>
                <w:lang w:eastAsia="en-US"/>
              </w:rPr>
            </w:pPr>
            <w:r w:rsidRPr="00E64DBE">
              <w:rPr>
                <w:rFonts w:eastAsiaTheme="minorHAnsi"/>
                <w:b/>
                <w:bCs/>
                <w:color w:val="000000"/>
                <w:sz w:val="22"/>
                <w:szCs w:val="22"/>
                <w:lang w:eastAsia="en-US"/>
              </w:rPr>
              <w:t>Livsmedelsstrategin och livsmedelsberedskap</w:t>
            </w:r>
            <w:r w:rsidRPr="00E64DBE">
              <w:rPr>
                <w:rFonts w:eastAsiaTheme="minorHAnsi"/>
                <w:b/>
                <w:bCs/>
                <w:color w:val="000000"/>
                <w:sz w:val="22"/>
                <w:szCs w:val="22"/>
                <w:lang w:eastAsia="en-US"/>
              </w:rPr>
              <w:br/>
            </w:r>
          </w:p>
          <w:p w:rsidR="00A404CB" w:rsidRPr="00E64DBE" w:rsidRDefault="00A404CB" w:rsidP="007879D2">
            <w:pPr>
              <w:rPr>
                <w:rFonts w:eastAsiaTheme="minorHAnsi"/>
                <w:bCs/>
                <w:color w:val="000000"/>
                <w:sz w:val="22"/>
                <w:szCs w:val="22"/>
                <w:lang w:eastAsia="en-US"/>
              </w:rPr>
            </w:pPr>
            <w:r w:rsidRPr="00E64DBE">
              <w:rPr>
                <w:rFonts w:eastAsiaTheme="minorHAnsi"/>
                <w:bCs/>
                <w:color w:val="000000"/>
                <w:sz w:val="22"/>
                <w:szCs w:val="22"/>
                <w:lang w:eastAsia="en-US"/>
              </w:rPr>
              <w:t xml:space="preserve">Utskottet beslutade att bjuda in Näringsdepartementet för att berätta om livsmedelsstrategin och livsmedelsberedskap. </w:t>
            </w:r>
            <w:r w:rsidRPr="00E64DBE">
              <w:rPr>
                <w:rFonts w:eastAsiaTheme="minorHAnsi"/>
                <w:bCs/>
                <w:color w:val="000000"/>
                <w:sz w:val="22"/>
                <w:szCs w:val="22"/>
                <w:lang w:eastAsia="en-US"/>
              </w:rPr>
              <w:br/>
            </w:r>
          </w:p>
        </w:tc>
      </w:tr>
      <w:tr w:rsidR="00420346" w:rsidRPr="00E64DBE" w:rsidTr="00502E4A">
        <w:tc>
          <w:tcPr>
            <w:tcW w:w="567" w:type="dxa"/>
          </w:tcPr>
          <w:p w:rsidR="00420346" w:rsidRPr="00E64DBE" w:rsidRDefault="00420346" w:rsidP="00420346">
            <w:pPr>
              <w:rPr>
                <w:b/>
                <w:snapToGrid w:val="0"/>
                <w:sz w:val="22"/>
                <w:szCs w:val="22"/>
              </w:rPr>
            </w:pPr>
            <w:r w:rsidRPr="00E64DBE">
              <w:rPr>
                <w:b/>
                <w:snapToGrid w:val="0"/>
                <w:sz w:val="22"/>
                <w:szCs w:val="22"/>
              </w:rPr>
              <w:t xml:space="preserve">§ </w:t>
            </w:r>
            <w:r w:rsidR="00A404CB" w:rsidRPr="00E64DBE">
              <w:rPr>
                <w:b/>
                <w:snapToGrid w:val="0"/>
                <w:sz w:val="22"/>
                <w:szCs w:val="22"/>
              </w:rPr>
              <w:t>8</w:t>
            </w:r>
          </w:p>
        </w:tc>
        <w:tc>
          <w:tcPr>
            <w:tcW w:w="7017" w:type="dxa"/>
            <w:gridSpan w:val="2"/>
          </w:tcPr>
          <w:p w:rsidR="00A404CB" w:rsidRPr="00E64DBE" w:rsidRDefault="00A404CB" w:rsidP="00A404CB">
            <w:pPr>
              <w:widowControl/>
              <w:autoSpaceDE w:val="0"/>
              <w:autoSpaceDN w:val="0"/>
              <w:adjustRightInd w:val="0"/>
              <w:spacing w:after="120"/>
              <w:rPr>
                <w:rFonts w:eastAsiaTheme="minorHAnsi"/>
                <w:color w:val="000000"/>
                <w:sz w:val="22"/>
                <w:szCs w:val="22"/>
                <w:lang w:eastAsia="en-US"/>
              </w:rPr>
            </w:pPr>
            <w:r w:rsidRPr="00E64DBE">
              <w:rPr>
                <w:rFonts w:eastAsiaTheme="minorHAnsi"/>
                <w:b/>
                <w:bCs/>
                <w:color w:val="000000"/>
                <w:sz w:val="22"/>
                <w:szCs w:val="22"/>
                <w:lang w:eastAsia="en-US"/>
              </w:rPr>
              <w:t xml:space="preserve">Fråga om utskottsinitiativ - Beredskap med anledning av risk för brist på </w:t>
            </w:r>
            <w:proofErr w:type="spellStart"/>
            <w:r w:rsidRPr="00E64DBE">
              <w:rPr>
                <w:rFonts w:eastAsiaTheme="minorHAnsi"/>
                <w:b/>
                <w:bCs/>
                <w:color w:val="000000"/>
                <w:sz w:val="22"/>
                <w:szCs w:val="22"/>
                <w:lang w:eastAsia="en-US"/>
              </w:rPr>
              <w:t>AdBlue</w:t>
            </w:r>
            <w:proofErr w:type="spellEnd"/>
            <w:r w:rsidRPr="00E64DBE">
              <w:rPr>
                <w:rFonts w:eastAsiaTheme="minorHAnsi"/>
                <w:b/>
                <w:bCs/>
                <w:color w:val="000000"/>
                <w:sz w:val="22"/>
                <w:szCs w:val="22"/>
                <w:lang w:eastAsia="en-US"/>
              </w:rPr>
              <w:t xml:space="preserve"> (SD)</w:t>
            </w:r>
            <w:r w:rsidRPr="00E64DBE">
              <w:rPr>
                <w:rFonts w:eastAsiaTheme="minorHAnsi"/>
                <w:color w:val="000000"/>
                <w:sz w:val="22"/>
                <w:szCs w:val="22"/>
                <w:lang w:eastAsia="en-US"/>
              </w:rPr>
              <w:t xml:space="preserve"> </w:t>
            </w:r>
            <w:r w:rsidRPr="00E64DBE">
              <w:rPr>
                <w:rFonts w:eastAsiaTheme="minorHAnsi"/>
                <w:color w:val="000000"/>
                <w:sz w:val="22"/>
                <w:szCs w:val="22"/>
                <w:lang w:eastAsia="en-US"/>
              </w:rPr>
              <w:br/>
            </w:r>
          </w:p>
          <w:p w:rsidR="00A404CB" w:rsidRPr="00E64DBE" w:rsidRDefault="00A404CB" w:rsidP="00A404CB">
            <w:pPr>
              <w:widowControl/>
              <w:autoSpaceDE w:val="0"/>
              <w:autoSpaceDN w:val="0"/>
              <w:adjustRightInd w:val="0"/>
              <w:spacing w:after="120"/>
              <w:rPr>
                <w:rFonts w:eastAsiaTheme="minorHAnsi"/>
                <w:color w:val="000000"/>
                <w:sz w:val="22"/>
                <w:szCs w:val="22"/>
                <w:lang w:eastAsia="en-US"/>
              </w:rPr>
            </w:pPr>
            <w:r w:rsidRPr="00E64DBE">
              <w:rPr>
                <w:rFonts w:eastAsiaTheme="minorHAnsi"/>
                <w:color w:val="000000"/>
                <w:sz w:val="22"/>
                <w:szCs w:val="22"/>
                <w:lang w:eastAsia="en-US"/>
              </w:rPr>
              <w:t xml:space="preserve">SD-ledamöterna föreslog att utskottet skulle ta ett initiativ om beredskap med anledning av risk för brist på </w:t>
            </w:r>
            <w:proofErr w:type="spellStart"/>
            <w:r w:rsidRPr="00E64DBE">
              <w:rPr>
                <w:rFonts w:eastAsiaTheme="minorHAnsi"/>
                <w:color w:val="000000"/>
                <w:sz w:val="22"/>
                <w:szCs w:val="22"/>
                <w:lang w:eastAsia="en-US"/>
              </w:rPr>
              <w:t>AdBlue</w:t>
            </w:r>
            <w:proofErr w:type="spellEnd"/>
            <w:r w:rsidR="00E223F6">
              <w:rPr>
                <w:rFonts w:eastAsiaTheme="minorHAnsi"/>
                <w:color w:val="000000"/>
                <w:sz w:val="22"/>
                <w:szCs w:val="22"/>
                <w:lang w:eastAsia="en-US"/>
              </w:rPr>
              <w:t xml:space="preserve"> (bilaga 7)</w:t>
            </w:r>
            <w:r w:rsidRPr="00E64DBE">
              <w:rPr>
                <w:rFonts w:eastAsiaTheme="minorHAnsi"/>
                <w:color w:val="000000"/>
                <w:sz w:val="22"/>
                <w:szCs w:val="22"/>
                <w:lang w:eastAsia="en-US"/>
              </w:rPr>
              <w:t xml:space="preserve">. </w:t>
            </w:r>
          </w:p>
          <w:p w:rsidR="00A404CB" w:rsidRPr="00E64DBE" w:rsidRDefault="00A404CB" w:rsidP="00A404CB">
            <w:pPr>
              <w:widowControl/>
              <w:autoSpaceDE w:val="0"/>
              <w:autoSpaceDN w:val="0"/>
              <w:adjustRightInd w:val="0"/>
              <w:spacing w:after="120"/>
              <w:rPr>
                <w:rFonts w:eastAsiaTheme="minorHAnsi"/>
                <w:bCs/>
                <w:color w:val="000000"/>
                <w:sz w:val="22"/>
                <w:szCs w:val="22"/>
                <w:lang w:eastAsia="en-US"/>
              </w:rPr>
            </w:pPr>
            <w:r w:rsidRPr="00E64DBE">
              <w:rPr>
                <w:rFonts w:eastAsiaTheme="minorHAnsi"/>
                <w:bCs/>
                <w:color w:val="000000"/>
                <w:sz w:val="22"/>
                <w:szCs w:val="22"/>
                <w:lang w:eastAsia="en-US"/>
              </w:rPr>
              <w:t xml:space="preserve">Ärendet bordlades. </w:t>
            </w:r>
          </w:p>
          <w:p w:rsidR="00462C9E" w:rsidRPr="00E64DBE" w:rsidRDefault="00462C9E" w:rsidP="00462C9E">
            <w:pPr>
              <w:rPr>
                <w:rFonts w:eastAsiaTheme="minorHAnsi"/>
                <w:b/>
                <w:bCs/>
                <w:color w:val="000000"/>
                <w:sz w:val="22"/>
                <w:szCs w:val="22"/>
                <w:lang w:eastAsia="en-US"/>
              </w:rPr>
            </w:pPr>
          </w:p>
        </w:tc>
      </w:tr>
      <w:tr w:rsidR="00420346" w:rsidRPr="00E64DBE" w:rsidTr="00502E4A">
        <w:tc>
          <w:tcPr>
            <w:tcW w:w="567" w:type="dxa"/>
          </w:tcPr>
          <w:p w:rsidR="00420346" w:rsidRPr="00E64DBE" w:rsidRDefault="00420346" w:rsidP="00420346">
            <w:pPr>
              <w:rPr>
                <w:b/>
                <w:snapToGrid w:val="0"/>
                <w:sz w:val="22"/>
                <w:szCs w:val="22"/>
              </w:rPr>
            </w:pPr>
            <w:r w:rsidRPr="00E64DBE">
              <w:rPr>
                <w:b/>
                <w:snapToGrid w:val="0"/>
                <w:sz w:val="22"/>
                <w:szCs w:val="22"/>
              </w:rPr>
              <w:t xml:space="preserve">§ </w:t>
            </w:r>
            <w:r w:rsidR="00A404CB" w:rsidRPr="00E64DBE">
              <w:rPr>
                <w:b/>
                <w:snapToGrid w:val="0"/>
                <w:sz w:val="22"/>
                <w:szCs w:val="22"/>
              </w:rPr>
              <w:t>9</w:t>
            </w:r>
          </w:p>
        </w:tc>
        <w:tc>
          <w:tcPr>
            <w:tcW w:w="7017" w:type="dxa"/>
            <w:gridSpan w:val="2"/>
          </w:tcPr>
          <w:p w:rsidR="00FB54F1" w:rsidRPr="00E64DBE" w:rsidRDefault="00FB54F1" w:rsidP="00FB54F1">
            <w:pPr>
              <w:rPr>
                <w:rFonts w:eastAsiaTheme="minorHAnsi"/>
                <w:bCs/>
                <w:color w:val="000000"/>
                <w:sz w:val="22"/>
                <w:szCs w:val="22"/>
                <w:lang w:eastAsia="en-US"/>
              </w:rPr>
            </w:pPr>
            <w:r w:rsidRPr="00E64DBE">
              <w:rPr>
                <w:b/>
                <w:bCs/>
                <w:color w:val="000000"/>
                <w:sz w:val="22"/>
                <w:szCs w:val="22"/>
              </w:rPr>
              <w:t>Nästa sammanträde</w:t>
            </w:r>
          </w:p>
          <w:p w:rsidR="00FB54F1" w:rsidRPr="00E64DBE" w:rsidRDefault="00FB54F1" w:rsidP="00FB54F1">
            <w:pPr>
              <w:rPr>
                <w:rFonts w:eastAsiaTheme="minorHAnsi"/>
                <w:bCs/>
                <w:color w:val="000000"/>
                <w:sz w:val="22"/>
                <w:szCs w:val="22"/>
                <w:lang w:eastAsia="en-US"/>
              </w:rPr>
            </w:pPr>
          </w:p>
          <w:p w:rsidR="00FB54F1" w:rsidRPr="00E64DBE" w:rsidRDefault="00FB54F1" w:rsidP="00FB54F1">
            <w:pPr>
              <w:rPr>
                <w:snapToGrid w:val="0"/>
                <w:sz w:val="22"/>
                <w:szCs w:val="22"/>
              </w:rPr>
            </w:pPr>
            <w:r w:rsidRPr="00E64DBE">
              <w:rPr>
                <w:snapToGrid w:val="0"/>
                <w:sz w:val="22"/>
                <w:szCs w:val="22"/>
              </w:rPr>
              <w:t>Nästa sammanträde äger rum tisdagen den 5 april 2022 kl. 09.00.</w:t>
            </w:r>
          </w:p>
          <w:p w:rsidR="00420346" w:rsidRPr="00E64DBE" w:rsidRDefault="00420346" w:rsidP="00420346">
            <w:pPr>
              <w:rPr>
                <w:rFonts w:eastAsiaTheme="minorHAnsi"/>
                <w:b/>
                <w:bCs/>
                <w:color w:val="000000"/>
                <w:sz w:val="22"/>
                <w:szCs w:val="22"/>
                <w:lang w:eastAsia="en-US"/>
              </w:rPr>
            </w:pPr>
            <w:r w:rsidRPr="00E64DBE">
              <w:rPr>
                <w:rFonts w:eastAsiaTheme="minorHAnsi"/>
                <w:color w:val="000000"/>
                <w:sz w:val="22"/>
                <w:szCs w:val="22"/>
                <w:lang w:eastAsia="en-US"/>
              </w:rPr>
              <w:t xml:space="preserve">                                                </w:t>
            </w:r>
          </w:p>
        </w:tc>
      </w:tr>
      <w:tr w:rsidR="004E7838" w:rsidRPr="00E64DBE" w:rsidTr="00502E4A">
        <w:trPr>
          <w:gridAfter w:val="1"/>
          <w:wAfter w:w="428" w:type="dxa"/>
        </w:trPr>
        <w:tc>
          <w:tcPr>
            <w:tcW w:w="7156" w:type="dxa"/>
            <w:gridSpan w:val="2"/>
          </w:tcPr>
          <w:p w:rsidR="004E7838" w:rsidRDefault="004E7838" w:rsidP="004E7838">
            <w:pPr>
              <w:rPr>
                <w:sz w:val="22"/>
                <w:szCs w:val="22"/>
              </w:rPr>
            </w:pPr>
          </w:p>
          <w:p w:rsidR="00382ED9" w:rsidRPr="00E64DBE" w:rsidRDefault="00382ED9" w:rsidP="004E7838">
            <w:pPr>
              <w:rPr>
                <w:sz w:val="22"/>
                <w:szCs w:val="22"/>
              </w:rPr>
            </w:pPr>
          </w:p>
          <w:p w:rsidR="004E7838" w:rsidRPr="00E64DBE" w:rsidRDefault="004E7838" w:rsidP="004E7838">
            <w:pPr>
              <w:rPr>
                <w:sz w:val="22"/>
                <w:szCs w:val="22"/>
              </w:rPr>
            </w:pPr>
            <w:r w:rsidRPr="00E64DBE">
              <w:rPr>
                <w:sz w:val="22"/>
                <w:szCs w:val="22"/>
              </w:rPr>
              <w:lastRenderedPageBreak/>
              <w:t>Vid protokollet</w:t>
            </w:r>
          </w:p>
          <w:p w:rsidR="00424117" w:rsidRPr="00E64DBE" w:rsidRDefault="00424117" w:rsidP="004E7838">
            <w:pPr>
              <w:rPr>
                <w:sz w:val="22"/>
                <w:szCs w:val="22"/>
              </w:rPr>
            </w:pPr>
          </w:p>
          <w:p w:rsidR="00424117" w:rsidRPr="00E64DBE" w:rsidRDefault="00424117" w:rsidP="004E7838">
            <w:pPr>
              <w:rPr>
                <w:sz w:val="22"/>
                <w:szCs w:val="22"/>
              </w:rPr>
            </w:pPr>
          </w:p>
          <w:p w:rsidR="004E7838" w:rsidRPr="00E64DBE" w:rsidRDefault="004E7838" w:rsidP="004E7838">
            <w:pPr>
              <w:rPr>
                <w:sz w:val="22"/>
                <w:szCs w:val="22"/>
              </w:rPr>
            </w:pPr>
          </w:p>
          <w:p w:rsidR="00424117" w:rsidRPr="00E64DBE" w:rsidRDefault="00424117" w:rsidP="004E7838">
            <w:pPr>
              <w:rPr>
                <w:sz w:val="22"/>
                <w:szCs w:val="22"/>
              </w:rPr>
            </w:pPr>
          </w:p>
          <w:p w:rsidR="00424117" w:rsidRPr="00E64DBE" w:rsidRDefault="00424117" w:rsidP="004E7838">
            <w:pPr>
              <w:rPr>
                <w:sz w:val="22"/>
                <w:szCs w:val="22"/>
              </w:rPr>
            </w:pPr>
          </w:p>
          <w:p w:rsidR="00424117" w:rsidRPr="00E64DBE" w:rsidRDefault="00424117" w:rsidP="004E7838">
            <w:pPr>
              <w:rPr>
                <w:sz w:val="22"/>
                <w:szCs w:val="22"/>
              </w:rPr>
            </w:pPr>
          </w:p>
          <w:p w:rsidR="00424117" w:rsidRPr="00E64DBE" w:rsidRDefault="00424117" w:rsidP="004E7838">
            <w:pPr>
              <w:rPr>
                <w:sz w:val="22"/>
                <w:szCs w:val="22"/>
              </w:rPr>
            </w:pPr>
          </w:p>
          <w:p w:rsidR="004E7838" w:rsidRPr="00E64DBE" w:rsidRDefault="004E7838" w:rsidP="004E7838">
            <w:pPr>
              <w:rPr>
                <w:sz w:val="22"/>
                <w:szCs w:val="22"/>
              </w:rPr>
            </w:pPr>
            <w:r w:rsidRPr="00E64DBE">
              <w:rPr>
                <w:sz w:val="22"/>
                <w:szCs w:val="22"/>
              </w:rPr>
              <w:t xml:space="preserve">Justeras den </w:t>
            </w:r>
            <w:r w:rsidR="00FB54F1" w:rsidRPr="00E64DBE">
              <w:rPr>
                <w:sz w:val="22"/>
                <w:szCs w:val="22"/>
              </w:rPr>
              <w:t>7 april</w:t>
            </w:r>
            <w:r w:rsidR="00085DFD" w:rsidRPr="00E64DBE">
              <w:rPr>
                <w:sz w:val="22"/>
                <w:szCs w:val="22"/>
              </w:rPr>
              <w:t xml:space="preserve"> </w:t>
            </w:r>
            <w:r w:rsidRPr="00E64DBE">
              <w:rPr>
                <w:sz w:val="22"/>
                <w:szCs w:val="22"/>
              </w:rPr>
              <w:t>2022</w:t>
            </w:r>
          </w:p>
          <w:p w:rsidR="00F2115D" w:rsidRPr="00E64DBE" w:rsidRDefault="00F2115D" w:rsidP="004E7838">
            <w:pPr>
              <w:rPr>
                <w:sz w:val="22"/>
                <w:szCs w:val="22"/>
              </w:rPr>
            </w:pPr>
          </w:p>
          <w:p w:rsidR="00F2115D" w:rsidRPr="00E64DBE" w:rsidRDefault="00F2115D" w:rsidP="004E7838">
            <w:pPr>
              <w:rPr>
                <w:sz w:val="22"/>
                <w:szCs w:val="22"/>
              </w:rPr>
            </w:pPr>
          </w:p>
          <w:p w:rsidR="00F2115D" w:rsidRPr="00E64DBE" w:rsidRDefault="00F2115D" w:rsidP="004E7838">
            <w:pPr>
              <w:rPr>
                <w:sz w:val="22"/>
                <w:szCs w:val="22"/>
              </w:rPr>
            </w:pPr>
          </w:p>
          <w:p w:rsidR="00F2115D" w:rsidRPr="00E64DBE" w:rsidRDefault="002819C0" w:rsidP="004E7838">
            <w:pPr>
              <w:rPr>
                <w:sz w:val="22"/>
                <w:szCs w:val="22"/>
              </w:rPr>
            </w:pPr>
            <w:r>
              <w:rPr>
                <w:sz w:val="22"/>
                <w:szCs w:val="22"/>
              </w:rPr>
              <w:t>Kristina Yn</w:t>
            </w:r>
            <w:r w:rsidR="0033480E">
              <w:rPr>
                <w:sz w:val="22"/>
                <w:szCs w:val="22"/>
              </w:rPr>
              <w:t>g</w:t>
            </w:r>
            <w:bookmarkStart w:id="0" w:name="_GoBack"/>
            <w:bookmarkEnd w:id="0"/>
            <w:r>
              <w:rPr>
                <w:sz w:val="22"/>
                <w:szCs w:val="22"/>
              </w:rPr>
              <w:t>we</w:t>
            </w:r>
          </w:p>
          <w:p w:rsidR="00F2115D" w:rsidRPr="00E64DBE" w:rsidRDefault="00F2115D" w:rsidP="004E7838">
            <w:pPr>
              <w:rPr>
                <w:sz w:val="22"/>
                <w:szCs w:val="22"/>
              </w:rPr>
            </w:pPr>
          </w:p>
          <w:p w:rsidR="004E7838" w:rsidRPr="00E64DBE" w:rsidRDefault="004E7838" w:rsidP="004E7838">
            <w:pPr>
              <w:rPr>
                <w:sz w:val="22"/>
                <w:szCs w:val="22"/>
              </w:rPr>
            </w:pPr>
          </w:p>
        </w:tc>
      </w:tr>
    </w:tbl>
    <w:p w:rsidR="00B96E81" w:rsidRPr="00E64DBE" w:rsidRDefault="00B96E81" w:rsidP="00532286">
      <w:pPr>
        <w:rPr>
          <w:sz w:val="22"/>
          <w:szCs w:val="22"/>
        </w:rPr>
        <w:sectPr w:rsidR="00B96E81" w:rsidRPr="00E64DBE"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E64DBE" w:rsidTr="00420346">
        <w:trPr>
          <w:gridAfter w:val="1"/>
          <w:wAfter w:w="142" w:type="dxa"/>
        </w:trPr>
        <w:tc>
          <w:tcPr>
            <w:tcW w:w="3969" w:type="dxa"/>
            <w:tcBorders>
              <w:top w:val="nil"/>
              <w:left w:val="nil"/>
              <w:bottom w:val="nil"/>
              <w:right w:val="nil"/>
            </w:tcBorders>
          </w:tcPr>
          <w:p w:rsidR="009823FA" w:rsidRPr="00E64DBE" w:rsidRDefault="009823FA" w:rsidP="005B6A05">
            <w:pPr>
              <w:rPr>
                <w:sz w:val="22"/>
                <w:szCs w:val="22"/>
              </w:rPr>
            </w:pPr>
            <w:bookmarkStart w:id="1" w:name="_Hlk94254676"/>
            <w:r w:rsidRPr="00E64DBE">
              <w:rPr>
                <w:sz w:val="22"/>
                <w:szCs w:val="22"/>
              </w:rPr>
              <w:lastRenderedPageBreak/>
              <w:br w:type="page"/>
            </w:r>
            <w:r w:rsidRPr="00E64DBE">
              <w:rPr>
                <w:sz w:val="22"/>
                <w:szCs w:val="22"/>
              </w:rPr>
              <w:br w:type="page"/>
              <w:t>MILJÖ- OCH JORDBRUKS- UTSKOTTET</w:t>
            </w:r>
          </w:p>
        </w:tc>
        <w:tc>
          <w:tcPr>
            <w:tcW w:w="3260" w:type="dxa"/>
            <w:gridSpan w:val="8"/>
            <w:tcBorders>
              <w:top w:val="nil"/>
              <w:left w:val="nil"/>
              <w:bottom w:val="nil"/>
              <w:right w:val="nil"/>
            </w:tcBorders>
          </w:tcPr>
          <w:p w:rsidR="009823FA" w:rsidRPr="00E64DBE" w:rsidRDefault="009823FA" w:rsidP="005B6A05">
            <w:pPr>
              <w:rPr>
                <w:b/>
                <w:sz w:val="22"/>
                <w:szCs w:val="22"/>
              </w:rPr>
            </w:pPr>
            <w:r w:rsidRPr="00E64DBE">
              <w:rPr>
                <w:b/>
                <w:sz w:val="22"/>
                <w:szCs w:val="22"/>
              </w:rPr>
              <w:t>NÄRVAROFÖRTECKNING</w:t>
            </w:r>
          </w:p>
        </w:tc>
        <w:tc>
          <w:tcPr>
            <w:tcW w:w="1843" w:type="dxa"/>
            <w:gridSpan w:val="5"/>
            <w:tcBorders>
              <w:top w:val="nil"/>
              <w:left w:val="nil"/>
              <w:bottom w:val="nil"/>
              <w:right w:val="nil"/>
            </w:tcBorders>
          </w:tcPr>
          <w:p w:rsidR="009823FA" w:rsidRPr="00E64DBE" w:rsidRDefault="009823FA" w:rsidP="005B6A05">
            <w:pPr>
              <w:rPr>
                <w:sz w:val="22"/>
                <w:szCs w:val="22"/>
              </w:rPr>
            </w:pPr>
            <w:r w:rsidRPr="00E64DBE">
              <w:rPr>
                <w:b/>
                <w:sz w:val="22"/>
                <w:szCs w:val="22"/>
              </w:rPr>
              <w:t xml:space="preserve">Bilaga 1 </w:t>
            </w:r>
            <w:r w:rsidRPr="00E64DBE">
              <w:rPr>
                <w:sz w:val="22"/>
                <w:szCs w:val="22"/>
              </w:rPr>
              <w:t xml:space="preserve">till </w:t>
            </w:r>
          </w:p>
          <w:p w:rsidR="009823FA" w:rsidRPr="00E64DBE" w:rsidRDefault="009823FA" w:rsidP="005B6A05">
            <w:pPr>
              <w:rPr>
                <w:sz w:val="22"/>
                <w:szCs w:val="22"/>
              </w:rPr>
            </w:pPr>
            <w:r w:rsidRPr="00E64DBE">
              <w:rPr>
                <w:sz w:val="22"/>
                <w:szCs w:val="22"/>
              </w:rPr>
              <w:t>prot. 20</w:t>
            </w:r>
            <w:r w:rsidR="007A1132" w:rsidRPr="00E64DBE">
              <w:rPr>
                <w:sz w:val="22"/>
                <w:szCs w:val="22"/>
              </w:rPr>
              <w:t>2</w:t>
            </w:r>
            <w:r w:rsidR="007F4080" w:rsidRPr="00E64DBE">
              <w:rPr>
                <w:sz w:val="22"/>
                <w:szCs w:val="22"/>
              </w:rPr>
              <w:t>1</w:t>
            </w:r>
            <w:r w:rsidRPr="00E64DBE">
              <w:rPr>
                <w:sz w:val="22"/>
                <w:szCs w:val="22"/>
              </w:rPr>
              <w:t>/</w:t>
            </w:r>
            <w:r w:rsidR="000E777E" w:rsidRPr="00E64DBE">
              <w:rPr>
                <w:sz w:val="22"/>
                <w:szCs w:val="22"/>
              </w:rPr>
              <w:t>2</w:t>
            </w:r>
            <w:r w:rsidR="007F4080" w:rsidRPr="00E64DBE">
              <w:rPr>
                <w:sz w:val="22"/>
                <w:szCs w:val="22"/>
              </w:rPr>
              <w:t>2</w:t>
            </w:r>
            <w:r w:rsidRPr="00E64DBE">
              <w:rPr>
                <w:sz w:val="22"/>
                <w:szCs w:val="22"/>
              </w:rPr>
              <w:t>:</w:t>
            </w:r>
            <w:r w:rsidR="00585C70" w:rsidRPr="00E64DBE">
              <w:rPr>
                <w:sz w:val="22"/>
                <w:szCs w:val="22"/>
              </w:rPr>
              <w:t>40</w:t>
            </w:r>
          </w:p>
        </w:tc>
      </w:tr>
      <w:tr w:rsidR="009823FA"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E64DBE" w:rsidRDefault="009823FA" w:rsidP="005B6A05">
            <w:pPr>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E64DBE" w:rsidRDefault="009823FA" w:rsidP="005B6A05">
            <w:pPr>
              <w:rPr>
                <w:sz w:val="22"/>
                <w:szCs w:val="22"/>
              </w:rPr>
            </w:pPr>
            <w:r w:rsidRPr="00E64DBE">
              <w:rPr>
                <w:sz w:val="22"/>
                <w:szCs w:val="22"/>
              </w:rPr>
              <w:t xml:space="preserve">§ </w:t>
            </w:r>
            <w:r w:rsidR="00FF4327" w:rsidRPr="00E64DBE">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E64DBE" w:rsidRDefault="009823FA" w:rsidP="005B6A05">
            <w:pPr>
              <w:rPr>
                <w:sz w:val="22"/>
                <w:szCs w:val="22"/>
              </w:rPr>
            </w:pPr>
            <w:r w:rsidRPr="00E64DBE">
              <w:rPr>
                <w:sz w:val="22"/>
                <w:szCs w:val="22"/>
              </w:rPr>
              <w:t xml:space="preserve"> </w:t>
            </w:r>
            <w:r w:rsidR="00B45F28" w:rsidRPr="00E64DBE">
              <w:rPr>
                <w:sz w:val="22"/>
                <w:szCs w:val="22"/>
              </w:rPr>
              <w:t xml:space="preserve">§ </w:t>
            </w:r>
            <w:r w:rsidR="00585C70" w:rsidRPr="00E64DBE">
              <w:rPr>
                <w:sz w:val="22"/>
                <w:szCs w:val="22"/>
              </w:rPr>
              <w:t>2 - 9</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E64DBE" w:rsidRDefault="009823FA" w:rsidP="005B6A05">
            <w:pPr>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E64DBE" w:rsidRDefault="009823FA" w:rsidP="005B6A05">
            <w:pPr>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E64DBE" w:rsidRDefault="009823FA" w:rsidP="005B6A05">
            <w:pPr>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E64DBE" w:rsidRDefault="009823FA" w:rsidP="005B6A05">
            <w:pPr>
              <w:rPr>
                <w:sz w:val="22"/>
                <w:szCs w:val="22"/>
                <w:highlight w:val="yellow"/>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V</w:t>
            </w: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E64DBE" w:rsidRDefault="00B40F4D" w:rsidP="005B6A05">
            <w:pPr>
              <w:rPr>
                <w:color w:val="000000"/>
                <w:sz w:val="22"/>
                <w:szCs w:val="22"/>
                <w:lang w:val="en-US"/>
              </w:rPr>
            </w:pPr>
            <w:r w:rsidRPr="00E64DBE">
              <w:rPr>
                <w:sz w:val="22"/>
                <w:szCs w:val="22"/>
                <w:lang w:eastAsia="en-US"/>
              </w:rPr>
              <w:t>Kristina Yngwe (C),</w:t>
            </w:r>
            <w:r w:rsidRPr="00E64DBE">
              <w:rPr>
                <w:color w:val="000000"/>
                <w:sz w:val="22"/>
                <w:szCs w:val="22"/>
                <w:lang w:val="en-US"/>
              </w:rPr>
              <w:t xml:space="preserve"> </w:t>
            </w:r>
            <w:proofErr w:type="spellStart"/>
            <w:r w:rsidRPr="00E64DBE">
              <w:rPr>
                <w:color w:val="000000"/>
                <w:sz w:val="22"/>
                <w:szCs w:val="22"/>
                <w:lang w:val="en-US"/>
              </w:rPr>
              <w:t>ordf</w:t>
            </w:r>
            <w:proofErr w:type="spellEnd"/>
            <w:r w:rsidRPr="00E64DBE">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eastAsia="en-US"/>
              </w:rPr>
            </w:pPr>
            <w:r w:rsidRPr="00E64DBE">
              <w:rPr>
                <w:sz w:val="22"/>
                <w:szCs w:val="22"/>
                <w:lang w:val="en-US" w:eastAsia="en-US"/>
              </w:rPr>
              <w:t xml:space="preserve">Jessica Rosencrantz (M), </w:t>
            </w:r>
            <w:proofErr w:type="spellStart"/>
            <w:r w:rsidRPr="00E64DBE">
              <w:rPr>
                <w:sz w:val="22"/>
                <w:szCs w:val="22"/>
                <w:lang w:val="en-US" w:eastAsia="en-US"/>
              </w:rPr>
              <w:t>andre</w:t>
            </w:r>
            <w:proofErr w:type="spellEnd"/>
            <w:r w:rsidRPr="00E64DBE">
              <w:rPr>
                <w:sz w:val="22"/>
                <w:szCs w:val="22"/>
                <w:lang w:val="en-US" w:eastAsia="en-US"/>
              </w:rPr>
              <w:t xml:space="preserve"> vice </w:t>
            </w:r>
            <w:proofErr w:type="spellStart"/>
            <w:r w:rsidRPr="00E64DBE">
              <w:rPr>
                <w:sz w:val="22"/>
                <w:szCs w:val="22"/>
                <w:lang w:val="en-US" w:eastAsia="en-US"/>
              </w:rPr>
              <w:t>ordf</w:t>
            </w:r>
            <w:proofErr w:type="spellEnd"/>
            <w:r w:rsidRPr="00E64DBE">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lang w:val="en-US"/>
              </w:rPr>
            </w:pPr>
            <w:r w:rsidRPr="00E64DB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lang w:val="en-US"/>
              </w:rPr>
            </w:pPr>
            <w:r w:rsidRPr="00E64DB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eastAsia="en-US"/>
              </w:rPr>
            </w:pPr>
            <w:r w:rsidRPr="00E64DBE">
              <w:rPr>
                <w:sz w:val="22"/>
                <w:szCs w:val="22"/>
                <w:lang w:val="en-US" w:eastAsia="en-US"/>
              </w:rPr>
              <w:t xml:space="preserve">Isak </w:t>
            </w:r>
            <w:proofErr w:type="gramStart"/>
            <w:r w:rsidRPr="00E64DBE">
              <w:rPr>
                <w:sz w:val="22"/>
                <w:szCs w:val="22"/>
                <w:lang w:val="en-US" w:eastAsia="en-US"/>
              </w:rPr>
              <w:t>From</w:t>
            </w:r>
            <w:proofErr w:type="gramEnd"/>
            <w:r w:rsidRPr="00E64DBE">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lang w:val="en-US"/>
              </w:rPr>
            </w:pPr>
            <w:r w:rsidRPr="00E64DB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lang w:val="en-US"/>
              </w:rPr>
            </w:pPr>
            <w:r w:rsidRPr="00E64DB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lang w:val="de-DE"/>
              </w:rPr>
            </w:pPr>
            <w:r w:rsidRPr="00E64DBE">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lang w:val="de-DE"/>
              </w:rPr>
            </w:pPr>
            <w:r w:rsidRPr="00E64DBE">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lang w:val="de-DE"/>
              </w:rPr>
            </w:pPr>
            <w:r w:rsidRPr="00E64DBE">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lang w:val="de-DE"/>
              </w:rPr>
            </w:pPr>
            <w:r w:rsidRPr="00E64DBE">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CA0AAD" w:rsidP="005B6A05">
            <w:pPr>
              <w:rPr>
                <w:sz w:val="22"/>
                <w:szCs w:val="22"/>
                <w:lang w:eastAsia="en-US"/>
              </w:rPr>
            </w:pPr>
            <w:r w:rsidRPr="00E64DBE">
              <w:rPr>
                <w:sz w:val="22"/>
                <w:szCs w:val="22"/>
                <w:lang w:eastAsia="en-US"/>
              </w:rPr>
              <w:t>Jakob Olofsgård</w:t>
            </w:r>
            <w:r w:rsidR="00B40F4D" w:rsidRPr="00E64DBE">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DC305F" w:rsidP="005B6A05">
            <w:pPr>
              <w:rPr>
                <w:sz w:val="22"/>
                <w:szCs w:val="22"/>
                <w:lang w:eastAsia="en-US"/>
              </w:rPr>
            </w:pPr>
            <w:r w:rsidRPr="00E64DBE">
              <w:rPr>
                <w:sz w:val="22"/>
                <w:szCs w:val="22"/>
                <w:lang w:val="en-US" w:eastAsia="en-US"/>
              </w:rPr>
              <w:t xml:space="preserve">Staffan Eklöf </w:t>
            </w:r>
            <w:r w:rsidR="00B40F4D" w:rsidRPr="00E64DBE">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b/>
                <w:i/>
                <w:sz w:val="22"/>
                <w:szCs w:val="22"/>
                <w:lang w:eastAsia="en-US"/>
              </w:rPr>
            </w:pPr>
            <w:r w:rsidRPr="00E64DBE">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6D5F8F" w:rsidP="005B6A05">
            <w:pPr>
              <w:rPr>
                <w:sz w:val="22"/>
                <w:szCs w:val="22"/>
                <w:lang w:eastAsia="en-US"/>
              </w:rPr>
            </w:pPr>
            <w:r w:rsidRPr="00E64DBE">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eastAsia="en-US"/>
              </w:rPr>
            </w:pPr>
            <w:r w:rsidRPr="00E64DBE">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lang w:val="en-GB"/>
              </w:rPr>
            </w:pPr>
            <w:r w:rsidRPr="00E64DBE">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lang w:val="en-GB"/>
              </w:rPr>
            </w:pPr>
            <w:r w:rsidRPr="00E64DBE">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eastAsia="en-US"/>
              </w:rPr>
            </w:pPr>
            <w:r w:rsidRPr="00E64DBE">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eastAsia="en-US"/>
              </w:rPr>
            </w:pPr>
            <w:r w:rsidRPr="00E64DBE">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eastAsia="en-US"/>
              </w:rPr>
            </w:pPr>
            <w:r w:rsidRPr="00E64DBE">
              <w:rPr>
                <w:sz w:val="22"/>
                <w:szCs w:val="22"/>
              </w:rPr>
              <w:t xml:space="preserve">Birger </w:t>
            </w:r>
            <w:r w:rsidRPr="00E64DBE">
              <w:rPr>
                <w:sz w:val="22"/>
                <w:szCs w:val="22"/>
                <w:lang w:eastAsia="en-US"/>
              </w:rPr>
              <w:t>Lahti</w:t>
            </w:r>
            <w:r w:rsidRPr="00E64DBE">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GB"/>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7C286F" w:rsidP="005B6A05">
            <w:pPr>
              <w:rPr>
                <w:sz w:val="22"/>
                <w:szCs w:val="22"/>
                <w:lang w:val="en-US" w:eastAsia="en-US"/>
              </w:rPr>
            </w:pPr>
            <w:r w:rsidRPr="00E64DBE">
              <w:rPr>
                <w:sz w:val="22"/>
                <w:szCs w:val="22"/>
                <w:lang w:val="en-US" w:eastAsia="en-US"/>
              </w:rPr>
              <w:t>Mats Nordberg</w:t>
            </w:r>
            <w:r w:rsidR="00B40F4D" w:rsidRPr="00E64DBE">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lang w:val="en-US"/>
              </w:rPr>
            </w:pPr>
            <w:r w:rsidRPr="00E64DB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lang w:val="en-US"/>
              </w:rPr>
            </w:pPr>
            <w:r w:rsidRPr="00E64DB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en-US" w:eastAsia="en-US"/>
              </w:rPr>
            </w:pPr>
            <w:r w:rsidRPr="00E64DBE">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5F28" w:rsidP="005B6A05">
            <w:pPr>
              <w:rPr>
                <w:sz w:val="22"/>
                <w:szCs w:val="22"/>
              </w:rPr>
            </w:pPr>
            <w:r w:rsidRPr="00E64D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585C70" w:rsidP="005B6A05">
            <w:pPr>
              <w:rPr>
                <w:sz w:val="22"/>
                <w:szCs w:val="22"/>
              </w:rPr>
            </w:pPr>
            <w:r w:rsidRPr="00E64D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val="de-DE"/>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lang w:eastAsia="en-US"/>
              </w:rPr>
            </w:pPr>
            <w:r w:rsidRPr="00E64DBE">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r w:rsidRPr="00E64DBE">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64DBE" w:rsidRDefault="006D5F8F" w:rsidP="005B6A05">
            <w:pPr>
              <w:rPr>
                <w:sz w:val="22"/>
                <w:szCs w:val="22"/>
              </w:rPr>
            </w:pPr>
            <w:r w:rsidRPr="00E64DBE">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64DBE" w:rsidRDefault="00B40F4D" w:rsidP="005B6A05">
            <w:pPr>
              <w:rPr>
                <w:sz w:val="22"/>
                <w:szCs w:val="22"/>
              </w:rPr>
            </w:pPr>
          </w:p>
        </w:tc>
      </w:tr>
      <w:tr w:rsidR="00783165"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r w:rsidRPr="00E64DBE">
              <w:rPr>
                <w:sz w:val="22"/>
                <w:szCs w:val="22"/>
              </w:rPr>
              <w:t xml:space="preserve">Helena </w:t>
            </w:r>
            <w:proofErr w:type="spellStart"/>
            <w:r w:rsidR="00BF17F3" w:rsidRPr="00E64DBE">
              <w:rPr>
                <w:sz w:val="22"/>
                <w:szCs w:val="22"/>
              </w:rPr>
              <w:t>Storckenfeldt</w:t>
            </w:r>
            <w:proofErr w:type="spellEnd"/>
            <w:r w:rsidRPr="00E64DBE">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E64DBE" w:rsidRDefault="00783165" w:rsidP="005B6A05">
            <w:pPr>
              <w:rPr>
                <w:sz w:val="22"/>
                <w:szCs w:val="22"/>
              </w:rPr>
            </w:pPr>
          </w:p>
        </w:tc>
      </w:tr>
      <w:tr w:rsidR="00A942DB"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r w:rsidRPr="00E64DBE">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E64DBE" w:rsidRDefault="00A942DB" w:rsidP="005B6A05">
            <w:pPr>
              <w:rPr>
                <w:sz w:val="22"/>
                <w:szCs w:val="22"/>
              </w:rPr>
            </w:pPr>
          </w:p>
        </w:tc>
      </w:tr>
      <w:tr w:rsidR="000E349B"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Pr="00E64DBE" w:rsidRDefault="000E349B" w:rsidP="005B6A05">
            <w:pPr>
              <w:rPr>
                <w:sz w:val="22"/>
                <w:szCs w:val="22"/>
              </w:rPr>
            </w:pPr>
            <w:r w:rsidRPr="00E64DBE">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E349B" w:rsidRPr="00E64DBE" w:rsidRDefault="00B45F28" w:rsidP="005B6A05">
            <w:pPr>
              <w:rPr>
                <w:sz w:val="22"/>
                <w:szCs w:val="22"/>
              </w:rPr>
            </w:pPr>
            <w:r w:rsidRPr="00E64DB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E64DBE" w:rsidRDefault="000E349B"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E64DBE" w:rsidRDefault="00585C70" w:rsidP="005B6A05">
            <w:pPr>
              <w:rPr>
                <w:sz w:val="22"/>
                <w:szCs w:val="22"/>
              </w:rPr>
            </w:pPr>
            <w:r w:rsidRPr="00E64D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0E349B" w:rsidRPr="00E64DBE" w:rsidRDefault="000E349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64DBE" w:rsidRDefault="000E349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64DBE" w:rsidRDefault="000E349B"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E64DBE" w:rsidRDefault="000E349B"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E64DBE" w:rsidRDefault="000E349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64DBE" w:rsidRDefault="000E349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64DBE" w:rsidRDefault="000E349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64DBE" w:rsidRDefault="000E349B"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E64DBE" w:rsidRDefault="000E349B" w:rsidP="005B6A05">
            <w:pPr>
              <w:rPr>
                <w:sz w:val="22"/>
                <w:szCs w:val="22"/>
              </w:rPr>
            </w:pPr>
          </w:p>
        </w:tc>
      </w:tr>
      <w:tr w:rsidR="00B45F28"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5F28" w:rsidRPr="00E64DBE" w:rsidRDefault="00585C70" w:rsidP="005B6A05">
            <w:pPr>
              <w:rPr>
                <w:sz w:val="22"/>
                <w:szCs w:val="22"/>
              </w:rPr>
            </w:pPr>
            <w:r w:rsidRPr="00E64DBE">
              <w:rPr>
                <w:sz w:val="22"/>
                <w:szCs w:val="22"/>
              </w:rPr>
              <w:t>Suzanne Svensson</w:t>
            </w:r>
            <w:r w:rsidR="00B45F28" w:rsidRPr="00E64DBE">
              <w:rPr>
                <w:sz w:val="22"/>
                <w:szCs w:val="22"/>
              </w:rPr>
              <w:t xml:space="preserve"> (</w:t>
            </w:r>
            <w:r w:rsidRPr="00E64DBE">
              <w:rPr>
                <w:sz w:val="22"/>
                <w:szCs w:val="22"/>
              </w:rPr>
              <w:t>S</w:t>
            </w:r>
            <w:r w:rsidR="00B45F28" w:rsidRPr="00E64DB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r w:rsidRPr="00E64DB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5F28" w:rsidRPr="00E64DBE" w:rsidRDefault="00B45F28" w:rsidP="005B6A05">
            <w:pPr>
              <w:rPr>
                <w:sz w:val="22"/>
                <w:szCs w:val="22"/>
              </w:rPr>
            </w:pP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E64DBE" w:rsidRDefault="00B40F4D" w:rsidP="005B6A05">
            <w:pPr>
              <w:rPr>
                <w:sz w:val="22"/>
                <w:szCs w:val="22"/>
              </w:rPr>
            </w:pPr>
            <w:r w:rsidRPr="00E64DBE">
              <w:rPr>
                <w:sz w:val="22"/>
                <w:szCs w:val="22"/>
              </w:rPr>
              <w:t>N = Närvarande</w:t>
            </w:r>
          </w:p>
        </w:tc>
        <w:tc>
          <w:tcPr>
            <w:tcW w:w="5245" w:type="dxa"/>
            <w:gridSpan w:val="14"/>
          </w:tcPr>
          <w:p w:rsidR="00B40F4D" w:rsidRPr="00E64DBE" w:rsidRDefault="00B40F4D" w:rsidP="005B6A05">
            <w:pPr>
              <w:rPr>
                <w:sz w:val="22"/>
                <w:szCs w:val="22"/>
              </w:rPr>
            </w:pPr>
            <w:r w:rsidRPr="00E64DBE">
              <w:rPr>
                <w:sz w:val="22"/>
                <w:szCs w:val="22"/>
              </w:rPr>
              <w:t>X = ledamöter som deltagit i handläggningen</w:t>
            </w:r>
          </w:p>
        </w:tc>
      </w:tr>
      <w:tr w:rsidR="00B40F4D" w:rsidRPr="00E64DBE"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E64DBE" w:rsidRDefault="00B40F4D" w:rsidP="005B6A05">
            <w:pPr>
              <w:rPr>
                <w:sz w:val="22"/>
                <w:szCs w:val="22"/>
              </w:rPr>
            </w:pPr>
            <w:r w:rsidRPr="00E64DBE">
              <w:rPr>
                <w:sz w:val="22"/>
                <w:szCs w:val="22"/>
              </w:rPr>
              <w:t>V = Votering</w:t>
            </w:r>
          </w:p>
        </w:tc>
        <w:tc>
          <w:tcPr>
            <w:tcW w:w="5245" w:type="dxa"/>
            <w:gridSpan w:val="14"/>
          </w:tcPr>
          <w:p w:rsidR="00B40F4D" w:rsidRPr="00E64DBE" w:rsidRDefault="00B40F4D" w:rsidP="005B6A05">
            <w:pPr>
              <w:rPr>
                <w:sz w:val="22"/>
                <w:szCs w:val="22"/>
              </w:rPr>
            </w:pPr>
            <w:r w:rsidRPr="00E64DBE">
              <w:rPr>
                <w:sz w:val="22"/>
                <w:szCs w:val="22"/>
              </w:rPr>
              <w:t>O = ledamöter som härutöver har varit närvarande</w:t>
            </w:r>
          </w:p>
        </w:tc>
      </w:tr>
      <w:bookmarkEnd w:id="1"/>
    </w:tbl>
    <w:p w:rsidR="00AF70B0" w:rsidRPr="00E64DBE" w:rsidRDefault="00AF70B0" w:rsidP="005B6A05">
      <w:pPr>
        <w:rPr>
          <w:sz w:val="22"/>
          <w:szCs w:val="22"/>
        </w:rPr>
      </w:pPr>
    </w:p>
    <w:p w:rsidR="00B21CA7" w:rsidRPr="00E64DBE" w:rsidRDefault="00B21CA7" w:rsidP="005B6A05">
      <w:pPr>
        <w:rPr>
          <w:sz w:val="22"/>
          <w:szCs w:val="22"/>
        </w:rPr>
      </w:pPr>
    </w:p>
    <w:p w:rsidR="00B21CA7" w:rsidRPr="00E64DBE" w:rsidRDefault="00B21CA7" w:rsidP="00B21CA7">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B21CA7" w:rsidRPr="00E64DBE" w:rsidTr="00B40718">
        <w:tc>
          <w:tcPr>
            <w:tcW w:w="6532" w:type="dxa"/>
          </w:tcPr>
          <w:p w:rsidR="00B21CA7" w:rsidRPr="00E64DBE" w:rsidRDefault="00B21CA7" w:rsidP="00B40718">
            <w:pPr>
              <w:tabs>
                <w:tab w:val="left" w:pos="1276"/>
              </w:tabs>
              <w:rPr>
                <w:sz w:val="22"/>
                <w:szCs w:val="22"/>
              </w:rPr>
            </w:pPr>
            <w:r w:rsidRPr="00E64DBE">
              <w:rPr>
                <w:sz w:val="22"/>
                <w:szCs w:val="22"/>
              </w:rPr>
              <w:br w:type="page"/>
              <w:t>MILJÖ- OCH JORDBRUKSUTSKOTTET</w:t>
            </w:r>
          </w:p>
        </w:tc>
        <w:tc>
          <w:tcPr>
            <w:tcW w:w="2206" w:type="dxa"/>
          </w:tcPr>
          <w:p w:rsidR="00B21CA7" w:rsidRPr="00E64DBE" w:rsidRDefault="00B21CA7" w:rsidP="00B40718">
            <w:pPr>
              <w:tabs>
                <w:tab w:val="left" w:pos="1276"/>
              </w:tabs>
              <w:rPr>
                <w:sz w:val="22"/>
                <w:szCs w:val="22"/>
              </w:rPr>
            </w:pPr>
          </w:p>
        </w:tc>
        <w:tc>
          <w:tcPr>
            <w:tcW w:w="2036" w:type="dxa"/>
          </w:tcPr>
          <w:p w:rsidR="00B21CA7" w:rsidRPr="00E64DBE" w:rsidRDefault="00B21CA7" w:rsidP="00B40718">
            <w:pPr>
              <w:tabs>
                <w:tab w:val="left" w:pos="1276"/>
              </w:tabs>
              <w:ind w:right="-212"/>
              <w:rPr>
                <w:b/>
                <w:sz w:val="22"/>
                <w:szCs w:val="22"/>
              </w:rPr>
            </w:pPr>
            <w:r w:rsidRPr="00E64DBE">
              <w:rPr>
                <w:b/>
                <w:sz w:val="22"/>
                <w:szCs w:val="22"/>
              </w:rPr>
              <w:t>Bilaga 2</w:t>
            </w:r>
          </w:p>
          <w:p w:rsidR="00B21CA7" w:rsidRPr="00E64DBE" w:rsidRDefault="00B21CA7" w:rsidP="00B40718">
            <w:pPr>
              <w:tabs>
                <w:tab w:val="left" w:pos="1276"/>
              </w:tabs>
              <w:ind w:right="-212"/>
              <w:rPr>
                <w:sz w:val="22"/>
                <w:szCs w:val="22"/>
              </w:rPr>
            </w:pPr>
            <w:r w:rsidRPr="00E64DBE">
              <w:rPr>
                <w:sz w:val="22"/>
                <w:szCs w:val="22"/>
              </w:rPr>
              <w:t>till protokoll</w:t>
            </w:r>
          </w:p>
          <w:p w:rsidR="00B21CA7" w:rsidRPr="00E64DBE" w:rsidRDefault="00B21CA7" w:rsidP="00B40718">
            <w:pPr>
              <w:tabs>
                <w:tab w:val="left" w:pos="1276"/>
              </w:tabs>
              <w:ind w:right="-212"/>
              <w:rPr>
                <w:b/>
                <w:sz w:val="22"/>
                <w:szCs w:val="22"/>
              </w:rPr>
            </w:pPr>
            <w:r w:rsidRPr="00E64DBE">
              <w:rPr>
                <w:sz w:val="22"/>
                <w:szCs w:val="22"/>
              </w:rPr>
              <w:t>2021/22:</w:t>
            </w:r>
            <w:r w:rsidR="004770EC" w:rsidRPr="00E64DBE">
              <w:rPr>
                <w:sz w:val="22"/>
                <w:szCs w:val="22"/>
              </w:rPr>
              <w:t>40</w:t>
            </w:r>
          </w:p>
        </w:tc>
      </w:tr>
    </w:tbl>
    <w:p w:rsidR="00B21CA7" w:rsidRPr="00E64DBE" w:rsidRDefault="00B21CA7" w:rsidP="00B21CA7">
      <w:pPr>
        <w:rPr>
          <w:b/>
          <w:bCs/>
          <w:sz w:val="22"/>
          <w:szCs w:val="22"/>
        </w:rPr>
      </w:pPr>
    </w:p>
    <w:p w:rsidR="00B21CA7" w:rsidRPr="00E64DBE" w:rsidRDefault="00B21CA7" w:rsidP="00B21CA7">
      <w:pPr>
        <w:rPr>
          <w:b/>
          <w:bCs/>
          <w:color w:val="000000"/>
          <w:sz w:val="22"/>
          <w:szCs w:val="22"/>
        </w:rPr>
      </w:pPr>
      <w:r w:rsidRPr="00E64DBE">
        <w:rPr>
          <w:b/>
          <w:bCs/>
          <w:color w:val="000000"/>
          <w:sz w:val="22"/>
          <w:szCs w:val="22"/>
        </w:rPr>
        <w:t xml:space="preserve">§1 Jordbruks- och fiskeråd </w:t>
      </w:r>
      <w:r w:rsidR="004770EC" w:rsidRPr="00E64DBE">
        <w:rPr>
          <w:b/>
          <w:bCs/>
          <w:color w:val="000000"/>
          <w:sz w:val="22"/>
          <w:szCs w:val="22"/>
        </w:rPr>
        <w:t>7 april</w:t>
      </w:r>
      <w:r w:rsidRPr="00E64DBE">
        <w:rPr>
          <w:b/>
          <w:bCs/>
          <w:color w:val="000000"/>
          <w:sz w:val="22"/>
          <w:szCs w:val="22"/>
        </w:rPr>
        <w:t xml:space="preserve"> 2022</w:t>
      </w:r>
    </w:p>
    <w:p w:rsidR="00F01DB1" w:rsidRPr="00E64DBE" w:rsidRDefault="00F01DB1" w:rsidP="00B21CA7">
      <w:pPr>
        <w:rPr>
          <w:b/>
          <w:bCs/>
          <w:color w:val="000000"/>
          <w:sz w:val="22"/>
          <w:szCs w:val="22"/>
        </w:rPr>
      </w:pPr>
    </w:p>
    <w:p w:rsidR="00F01DB1" w:rsidRPr="00E64DBE" w:rsidRDefault="00F01DB1" w:rsidP="00F01DB1">
      <w:pPr>
        <w:widowControl/>
        <w:autoSpaceDE w:val="0"/>
        <w:autoSpaceDN w:val="0"/>
        <w:adjustRightInd w:val="0"/>
        <w:rPr>
          <w:b/>
          <w:snapToGrid w:val="0"/>
          <w:sz w:val="22"/>
          <w:szCs w:val="22"/>
        </w:rPr>
      </w:pPr>
      <w:r w:rsidRPr="00E64DBE">
        <w:rPr>
          <w:b/>
          <w:snapToGrid w:val="0"/>
          <w:sz w:val="22"/>
          <w:szCs w:val="22"/>
        </w:rPr>
        <w:t xml:space="preserve">Rådets dagordningspunkt 3. </w:t>
      </w:r>
      <w:r w:rsidRPr="00E64DBE">
        <w:rPr>
          <w:b/>
          <w:snapToGrid w:val="0"/>
          <w:sz w:val="22"/>
          <w:szCs w:val="22"/>
        </w:rPr>
        <w:br/>
      </w:r>
      <w:r w:rsidRPr="00E64DBE">
        <w:rPr>
          <w:b/>
          <w:sz w:val="22"/>
          <w:szCs w:val="22"/>
        </w:rPr>
        <w:t xml:space="preserve">55 %-paketet: jordbruksaspekter i översynen av LULUCF-förordningen </w:t>
      </w:r>
    </w:p>
    <w:p w:rsidR="00F01DB1" w:rsidRPr="00E64DBE" w:rsidRDefault="00F01DB1" w:rsidP="00F01DB1">
      <w:pPr>
        <w:widowControl/>
        <w:autoSpaceDE w:val="0"/>
        <w:autoSpaceDN w:val="0"/>
        <w:adjustRightInd w:val="0"/>
        <w:rPr>
          <w:b/>
          <w:snapToGrid w:val="0"/>
          <w:sz w:val="22"/>
          <w:szCs w:val="22"/>
        </w:rPr>
      </w:pPr>
    </w:p>
    <w:p w:rsidR="00F01DB1" w:rsidRPr="00E64DBE" w:rsidRDefault="00F01DB1" w:rsidP="00F01DB1">
      <w:pPr>
        <w:widowControl/>
        <w:autoSpaceDE w:val="0"/>
        <w:autoSpaceDN w:val="0"/>
        <w:adjustRightInd w:val="0"/>
        <w:rPr>
          <w:bCs/>
          <w:color w:val="000000"/>
          <w:sz w:val="22"/>
          <w:szCs w:val="22"/>
        </w:rPr>
      </w:pPr>
      <w:r w:rsidRPr="00E64DBE">
        <w:rPr>
          <w:b/>
          <w:snapToGrid w:val="0"/>
          <w:sz w:val="22"/>
          <w:szCs w:val="22"/>
        </w:rPr>
        <w:t>Förslag till svensk ståndpunkt:</w:t>
      </w:r>
      <w:r w:rsidRPr="00E64DBE">
        <w:rPr>
          <w:b/>
          <w:snapToGrid w:val="0"/>
          <w:sz w:val="22"/>
          <w:szCs w:val="22"/>
        </w:rPr>
        <w:br/>
      </w:r>
      <w:r w:rsidRPr="00E64DBE">
        <w:rPr>
          <w:bCs/>
          <w:color w:val="000000"/>
          <w:sz w:val="22"/>
          <w:szCs w:val="22"/>
        </w:rPr>
        <w:t xml:space="preserve">Regeringen delar kommissionens bedömning att den negativa trenden med en minskad kolsänka inom EU:s LULUCF-sektor behöver motverkas som ett led i att nå det långsiktiga klimatneutralitetsmålet. Regeringen konstaterar vidare att de minskningar som gjorts på EU-nivå i skogarnas netto-kolinbindning det senaste decenniet inte främst beror på minskad kolinbindning i Sverige. Sverige bör därför inte få ett oproportionerligt högt åtagande för att kompensera för minskade upptag i andra länder. Regeringen anser också att målkonstruktionen bör utryckas i relativa mål i stället för ett absolut mål. Därtill bör medlemsstaternas åtaganden utöver nuvarande regelverk vara indikativa för att exempelvis beakta osäkerhet och variationer samt att relevanta åtgärder inte nödvändigtvis ger effekt redan till 2030. Regeringen anser att sektorns långsiktiga klimatnytta och långa ledtider bättre bör beaktas i förordningens utformning. </w:t>
      </w:r>
    </w:p>
    <w:p w:rsidR="00F01DB1" w:rsidRPr="00E64DBE" w:rsidRDefault="00F01DB1" w:rsidP="00F01DB1">
      <w:pPr>
        <w:widowControl/>
        <w:autoSpaceDE w:val="0"/>
        <w:autoSpaceDN w:val="0"/>
        <w:adjustRightInd w:val="0"/>
        <w:rPr>
          <w:bCs/>
          <w:color w:val="000000"/>
          <w:sz w:val="22"/>
          <w:szCs w:val="22"/>
        </w:rPr>
      </w:pPr>
    </w:p>
    <w:p w:rsidR="00F01DB1" w:rsidRPr="00E64DBE" w:rsidRDefault="00F01DB1" w:rsidP="00F01DB1">
      <w:pPr>
        <w:widowControl/>
        <w:autoSpaceDE w:val="0"/>
        <w:autoSpaceDN w:val="0"/>
        <w:adjustRightInd w:val="0"/>
        <w:rPr>
          <w:bCs/>
          <w:color w:val="000000"/>
          <w:sz w:val="22"/>
          <w:szCs w:val="22"/>
        </w:rPr>
      </w:pPr>
      <w:r w:rsidRPr="00E64DBE">
        <w:rPr>
          <w:bCs/>
          <w:color w:val="000000"/>
          <w:sz w:val="22"/>
          <w:szCs w:val="22"/>
        </w:rPr>
        <w:t xml:space="preserve">Givet de stora osäkerheterna och långa ledtider i sektorn är regeringen kritisk till bindande mål för ökade kolsänkor och dess föreslagna ansvarsfördelning. Lagstiftningen får inte utformas så att det kompenserar för lägre ambitioner i andra medlemsstater eller inom andra sektorer. Regeringen framhåller att ytterligare analys krävs på medlemsstatsnivå för vilka åtaganden som på ett samhällsekonomiskt effektivt sätt bidrar till klimatneutralitetsmålet 2050. </w:t>
      </w:r>
    </w:p>
    <w:p w:rsidR="00F01DB1" w:rsidRPr="00E64DBE" w:rsidRDefault="00F01DB1" w:rsidP="00F01DB1">
      <w:pPr>
        <w:widowControl/>
        <w:autoSpaceDE w:val="0"/>
        <w:autoSpaceDN w:val="0"/>
        <w:adjustRightInd w:val="0"/>
        <w:rPr>
          <w:bCs/>
          <w:color w:val="000000"/>
          <w:sz w:val="22"/>
          <w:szCs w:val="22"/>
        </w:rPr>
      </w:pPr>
    </w:p>
    <w:p w:rsidR="00F01DB1" w:rsidRPr="00E64DBE" w:rsidRDefault="00F01DB1" w:rsidP="00F01DB1">
      <w:pPr>
        <w:widowControl/>
        <w:autoSpaceDE w:val="0"/>
        <w:autoSpaceDN w:val="0"/>
        <w:adjustRightInd w:val="0"/>
        <w:rPr>
          <w:bCs/>
          <w:color w:val="000000"/>
          <w:sz w:val="22"/>
          <w:szCs w:val="22"/>
        </w:rPr>
      </w:pPr>
      <w:r w:rsidRPr="00E64DBE">
        <w:rPr>
          <w:bCs/>
          <w:color w:val="000000"/>
          <w:sz w:val="22"/>
          <w:szCs w:val="22"/>
        </w:rPr>
        <w:t xml:space="preserve">Regeringen konstaterar därtill att skogspolitiken är nationell kompetens och att utformning av nya förslag måste vara i linje med ett hållbart aktivt skogsbruk. Regeringen anser att det svenska åtagandet ska sänkas till en nivå som möjliggör det vi nationellt bedömer som en långsiktigt hållbar avverkningsnivå. </w:t>
      </w:r>
    </w:p>
    <w:p w:rsidR="00F01DB1" w:rsidRPr="00E64DBE" w:rsidRDefault="00F01DB1" w:rsidP="00F01DB1">
      <w:pPr>
        <w:widowControl/>
        <w:autoSpaceDE w:val="0"/>
        <w:autoSpaceDN w:val="0"/>
        <w:adjustRightInd w:val="0"/>
        <w:rPr>
          <w:bCs/>
          <w:color w:val="000000"/>
          <w:sz w:val="22"/>
          <w:szCs w:val="22"/>
        </w:rPr>
      </w:pPr>
    </w:p>
    <w:p w:rsidR="00F01DB1" w:rsidRPr="00E64DBE" w:rsidRDefault="00F01DB1" w:rsidP="00F01DB1">
      <w:pPr>
        <w:widowControl/>
        <w:autoSpaceDE w:val="0"/>
        <w:autoSpaceDN w:val="0"/>
        <w:adjustRightInd w:val="0"/>
        <w:rPr>
          <w:bCs/>
          <w:color w:val="000000"/>
          <w:sz w:val="22"/>
          <w:szCs w:val="22"/>
        </w:rPr>
      </w:pPr>
      <w:r w:rsidRPr="00E64DBE">
        <w:rPr>
          <w:bCs/>
          <w:color w:val="000000"/>
          <w:sz w:val="22"/>
          <w:szCs w:val="22"/>
        </w:rPr>
        <w:t xml:space="preserve">Regeringen anser vidare att infångning och permanent lagring av biogen koldioxid (bio-CCS) ska kunna tillgodoräknas som upptag inom LULUCF. Ekonomiska incitament för bio-CCS fram till 2030 bör inrättas inom EU ETS. </w:t>
      </w:r>
    </w:p>
    <w:p w:rsidR="00F01DB1" w:rsidRPr="00E64DBE" w:rsidRDefault="00F01DB1" w:rsidP="00F01DB1">
      <w:pPr>
        <w:widowControl/>
        <w:autoSpaceDE w:val="0"/>
        <w:autoSpaceDN w:val="0"/>
        <w:adjustRightInd w:val="0"/>
        <w:rPr>
          <w:bCs/>
          <w:color w:val="000000"/>
          <w:sz w:val="22"/>
          <w:szCs w:val="22"/>
        </w:rPr>
      </w:pPr>
    </w:p>
    <w:p w:rsidR="00F01DB1" w:rsidRPr="00E64DBE" w:rsidRDefault="00F01DB1" w:rsidP="00F01DB1">
      <w:pPr>
        <w:widowControl/>
        <w:autoSpaceDE w:val="0"/>
        <w:autoSpaceDN w:val="0"/>
        <w:adjustRightInd w:val="0"/>
        <w:rPr>
          <w:bCs/>
          <w:color w:val="000000"/>
          <w:sz w:val="22"/>
          <w:szCs w:val="22"/>
        </w:rPr>
      </w:pPr>
      <w:r w:rsidRPr="00E64DBE">
        <w:rPr>
          <w:bCs/>
          <w:color w:val="000000"/>
          <w:sz w:val="22"/>
          <w:szCs w:val="22"/>
        </w:rPr>
        <w:t xml:space="preserve">Regeringen ser betydande risker i att eftersträva klimatneutralitet i en specifik sektor på EU-nivå och framhåller att klimatneutralitetsmål för en utvidgad marksektor ska sättas på nationell nivå inom respektive medlemsstat i stället för på EU-nivå. Om klimatneutralitetsmålet sätts på EU-nivå är regeringen skeptisk mot en utvidgad marksektor. En ny sektorsindelning behöver analyseras noga och ska bidra till unionens långsiktiga mål, regeringen anser därför att vidare analys krävs. Regeringen bedömer därför att en utvidgad marksektor inte bör beslutas i den pågående revideringen av LULUCF-förordningen. </w:t>
      </w:r>
    </w:p>
    <w:p w:rsidR="00F01DB1" w:rsidRPr="00E64DBE" w:rsidRDefault="00F01DB1" w:rsidP="00F01DB1">
      <w:pPr>
        <w:rPr>
          <w:b/>
          <w:snapToGrid w:val="0"/>
          <w:sz w:val="22"/>
          <w:szCs w:val="22"/>
        </w:rPr>
      </w:pPr>
    </w:p>
    <w:p w:rsidR="00F01DB1" w:rsidRPr="00E64DBE" w:rsidRDefault="00F01DB1" w:rsidP="00F01DB1">
      <w:pPr>
        <w:rPr>
          <w:snapToGrid w:val="0"/>
          <w:sz w:val="22"/>
          <w:szCs w:val="22"/>
        </w:rPr>
      </w:pPr>
    </w:p>
    <w:p w:rsidR="00F01DB1" w:rsidRPr="00E64DBE" w:rsidRDefault="00F01DB1" w:rsidP="00F01DB1">
      <w:pPr>
        <w:rPr>
          <w:b/>
          <w:sz w:val="22"/>
          <w:szCs w:val="22"/>
        </w:rPr>
      </w:pPr>
      <w:r w:rsidRPr="00E64DBE">
        <w:rPr>
          <w:b/>
          <w:snapToGrid w:val="0"/>
          <w:sz w:val="22"/>
          <w:szCs w:val="22"/>
        </w:rPr>
        <w:t xml:space="preserve">Rådets dagordningspunkt 5. </w:t>
      </w:r>
      <w:r w:rsidRPr="00E64DBE">
        <w:rPr>
          <w:b/>
          <w:snapToGrid w:val="0"/>
          <w:sz w:val="22"/>
          <w:szCs w:val="22"/>
        </w:rPr>
        <w:br/>
      </w:r>
      <w:r w:rsidRPr="00E64DBE">
        <w:rPr>
          <w:b/>
          <w:sz w:val="22"/>
          <w:szCs w:val="22"/>
        </w:rPr>
        <w:t xml:space="preserve">Situationen på jordbruksmarknaderna, särskilt efter invasionen av Ukraina </w:t>
      </w:r>
    </w:p>
    <w:p w:rsidR="00F01DB1" w:rsidRPr="00E64DBE" w:rsidRDefault="00F01DB1" w:rsidP="00F01DB1">
      <w:pPr>
        <w:rPr>
          <w:b/>
          <w:snapToGrid w:val="0"/>
          <w:sz w:val="22"/>
          <w:szCs w:val="22"/>
        </w:rPr>
      </w:pPr>
    </w:p>
    <w:p w:rsidR="00F01DB1" w:rsidRPr="00E64DBE" w:rsidRDefault="00F01DB1" w:rsidP="00F01DB1">
      <w:pPr>
        <w:rPr>
          <w:sz w:val="22"/>
          <w:szCs w:val="22"/>
        </w:rPr>
      </w:pPr>
      <w:r w:rsidRPr="00E64DBE">
        <w:rPr>
          <w:b/>
          <w:snapToGrid w:val="0"/>
          <w:sz w:val="22"/>
          <w:szCs w:val="22"/>
        </w:rPr>
        <w:t>Förslag till svensk ståndpunkt:</w:t>
      </w:r>
      <w:r w:rsidRPr="00E64DBE">
        <w:rPr>
          <w:b/>
          <w:snapToGrid w:val="0"/>
          <w:sz w:val="22"/>
          <w:szCs w:val="22"/>
        </w:rPr>
        <w:br/>
      </w:r>
      <w:r w:rsidRPr="00E64DBE">
        <w:rPr>
          <w:sz w:val="22"/>
          <w:szCs w:val="22"/>
        </w:rPr>
        <w:t xml:space="preserve">Det är angeläget att EU:s livsmedelsproduktion i rådande läge fungerar och kan svara mot eventuella ökade behov till följd av krisen eller avbrott i leveranskedjor. </w:t>
      </w:r>
    </w:p>
    <w:p w:rsidR="00F01DB1" w:rsidRPr="00E64DBE" w:rsidRDefault="00F01DB1" w:rsidP="00F01DB1">
      <w:pPr>
        <w:rPr>
          <w:sz w:val="22"/>
          <w:szCs w:val="22"/>
        </w:rPr>
      </w:pPr>
    </w:p>
    <w:p w:rsidR="00F01DB1" w:rsidRPr="00E64DBE" w:rsidRDefault="00F01DB1" w:rsidP="00F01DB1">
      <w:pPr>
        <w:rPr>
          <w:sz w:val="22"/>
          <w:szCs w:val="22"/>
        </w:rPr>
      </w:pPr>
      <w:r w:rsidRPr="00E64DBE">
        <w:rPr>
          <w:sz w:val="22"/>
          <w:szCs w:val="22"/>
        </w:rPr>
        <w:t xml:space="preserve">Regeringen efterfrågar i detta läge väl avvägda åtgärder eller undantag från regelverk, för att motverka en negativ påverkan på livsmedelsförsörjningen i EU. Det är viktigt att analysera och ta ställning till eventuella åtgärder från fall till fall. </w:t>
      </w:r>
    </w:p>
    <w:p w:rsidR="00F01DB1" w:rsidRPr="00E64DBE" w:rsidRDefault="00F01DB1" w:rsidP="00B21CA7">
      <w:pPr>
        <w:rPr>
          <w:b/>
          <w:bCs/>
          <w:color w:val="000000"/>
          <w:sz w:val="22"/>
          <w:szCs w:val="22"/>
        </w:rPr>
      </w:pPr>
    </w:p>
    <w:p w:rsidR="00614F33" w:rsidRPr="00E64DBE" w:rsidRDefault="00614F33" w:rsidP="00614F33">
      <w:pPr>
        <w:rPr>
          <w:sz w:val="22"/>
          <w:szCs w:val="22"/>
        </w:rPr>
      </w:pPr>
      <w:r w:rsidRPr="00E64DBE">
        <w:rPr>
          <w:sz w:val="22"/>
          <w:szCs w:val="22"/>
        </w:rPr>
        <w:t xml:space="preserve">Generellt har marknadsorienteringen av GJP visat sig ändamålsenlig för att trygga livsmedelsförsörjningen och livsmedelssäkerheten. Den nu uppkomna situationen och dess påverkan på marknaden går utöver vad som kan anses vara normala variationer på en marknad. Det är avgörande att EU:s livsmedelsproduktion i rådande läge fungerar och kan svara mot eventuella ökade behov till följd av krisen eller avbrott i leveranskedjor. Regeringen anser det välkommet att kommissionen beslutat om ett nytt tillfälligt rättsligt ramverk som möjliggör att de medlemsstater som ser behov av det kan stödja lantbrukare som drabbas av de </w:t>
      </w:r>
      <w:r w:rsidRPr="00E64DBE">
        <w:rPr>
          <w:sz w:val="22"/>
          <w:szCs w:val="22"/>
        </w:rPr>
        <w:lastRenderedPageBreak/>
        <w:t xml:space="preserve">ekonomiska effekterna av kriget i 7 Ukraina och Rysslandssanktionerna för livsmedelskedjan, samtidigt som konkurrensen på den inre marknaden upprätthålls. </w:t>
      </w:r>
    </w:p>
    <w:p w:rsidR="00614F33" w:rsidRPr="00E64DBE" w:rsidRDefault="00614F33" w:rsidP="00614F33">
      <w:pPr>
        <w:rPr>
          <w:sz w:val="22"/>
          <w:szCs w:val="22"/>
        </w:rPr>
      </w:pPr>
    </w:p>
    <w:p w:rsidR="00614F33" w:rsidRPr="00E64DBE" w:rsidRDefault="00614F33" w:rsidP="00614F33">
      <w:pPr>
        <w:rPr>
          <w:sz w:val="22"/>
          <w:szCs w:val="22"/>
        </w:rPr>
      </w:pPr>
      <w:r w:rsidRPr="00E64DBE">
        <w:rPr>
          <w:sz w:val="22"/>
          <w:szCs w:val="22"/>
        </w:rPr>
        <w:t xml:space="preserve">I solidaritet med Ukraina behöver vi identifiera vad vi kan göra för att hjälpa till för att säkra Ukrainas livsmedelsförsörjning. Det är även viktigt att följa hur situationen påverkar livsmedelsförsörjningen i utvecklingsländer. </w:t>
      </w:r>
    </w:p>
    <w:p w:rsidR="00614F33" w:rsidRPr="00E64DBE" w:rsidRDefault="00614F33" w:rsidP="00614F33">
      <w:pPr>
        <w:rPr>
          <w:sz w:val="22"/>
          <w:szCs w:val="22"/>
        </w:rPr>
      </w:pPr>
    </w:p>
    <w:p w:rsidR="00614F33" w:rsidRPr="00E64DBE" w:rsidRDefault="00614F33" w:rsidP="00614F33">
      <w:pPr>
        <w:rPr>
          <w:sz w:val="22"/>
          <w:szCs w:val="22"/>
        </w:rPr>
      </w:pPr>
      <w:r w:rsidRPr="00E64DBE">
        <w:rPr>
          <w:sz w:val="22"/>
          <w:szCs w:val="22"/>
        </w:rPr>
        <w:t>Det är angeläget att nära följa utvecklingen på jordbruksmarknaderna med anledningen av Rysslands invasion av Ukraina. Transparent och uppdaterad marknadsinformation bidrar till en bättre fungerande marknad. Kommissionen har även en viktig roll i att övervaka att handeln fungerar.</w:t>
      </w:r>
    </w:p>
    <w:p w:rsidR="00614F33" w:rsidRPr="00E64DBE" w:rsidRDefault="00614F33" w:rsidP="00614F33">
      <w:pPr>
        <w:rPr>
          <w:b/>
          <w:snapToGrid w:val="0"/>
          <w:sz w:val="22"/>
          <w:szCs w:val="22"/>
        </w:rPr>
      </w:pPr>
    </w:p>
    <w:p w:rsidR="00614F33" w:rsidRPr="00E64DBE" w:rsidRDefault="00614F33" w:rsidP="00614F33">
      <w:pPr>
        <w:rPr>
          <w:b/>
          <w:snapToGrid w:val="0"/>
          <w:sz w:val="22"/>
          <w:szCs w:val="22"/>
        </w:rPr>
      </w:pPr>
    </w:p>
    <w:p w:rsidR="00614F33" w:rsidRPr="00E64DBE" w:rsidRDefault="00614F33" w:rsidP="00614F33">
      <w:pPr>
        <w:rPr>
          <w:b/>
          <w:snapToGrid w:val="0"/>
          <w:sz w:val="22"/>
          <w:szCs w:val="22"/>
        </w:rPr>
      </w:pPr>
      <w:r w:rsidRPr="00E64DBE">
        <w:rPr>
          <w:b/>
          <w:snapToGrid w:val="0"/>
          <w:sz w:val="22"/>
          <w:szCs w:val="22"/>
        </w:rPr>
        <w:t xml:space="preserve">Rådets dagordningspunkt 6. </w:t>
      </w:r>
      <w:r w:rsidRPr="00E64DBE">
        <w:rPr>
          <w:b/>
          <w:snapToGrid w:val="0"/>
          <w:sz w:val="22"/>
          <w:szCs w:val="22"/>
        </w:rPr>
        <w:br/>
      </w:r>
      <w:r w:rsidRPr="00E64DBE">
        <w:rPr>
          <w:b/>
          <w:sz w:val="22"/>
          <w:szCs w:val="22"/>
        </w:rPr>
        <w:t xml:space="preserve">Meddelande från kommissionen om att säkra livsmedelstryggheten och öka livsmedelssystemens </w:t>
      </w:r>
      <w:proofErr w:type="spellStart"/>
      <w:r w:rsidRPr="00E64DBE">
        <w:rPr>
          <w:b/>
          <w:sz w:val="22"/>
          <w:szCs w:val="22"/>
        </w:rPr>
        <w:t>resiliens</w:t>
      </w:r>
      <w:proofErr w:type="spellEnd"/>
      <w:r w:rsidRPr="00E64DBE">
        <w:rPr>
          <w:b/>
          <w:sz w:val="22"/>
          <w:szCs w:val="22"/>
        </w:rPr>
        <w:t xml:space="preserve"> </w:t>
      </w:r>
    </w:p>
    <w:p w:rsidR="00614F33" w:rsidRPr="00E64DBE" w:rsidRDefault="00614F33" w:rsidP="00614F33">
      <w:pPr>
        <w:rPr>
          <w:b/>
          <w:snapToGrid w:val="0"/>
          <w:sz w:val="22"/>
          <w:szCs w:val="22"/>
        </w:rPr>
      </w:pPr>
    </w:p>
    <w:p w:rsidR="00614F33" w:rsidRPr="00E64DBE" w:rsidRDefault="00614F33" w:rsidP="00614F33">
      <w:pPr>
        <w:rPr>
          <w:b/>
          <w:snapToGrid w:val="0"/>
          <w:sz w:val="22"/>
          <w:szCs w:val="22"/>
        </w:rPr>
      </w:pPr>
      <w:r w:rsidRPr="00E64DBE">
        <w:rPr>
          <w:b/>
          <w:snapToGrid w:val="0"/>
          <w:sz w:val="22"/>
          <w:szCs w:val="22"/>
        </w:rPr>
        <w:t>Förslag till svensk ståndpunkt:</w:t>
      </w:r>
      <w:r w:rsidRPr="00E64DBE">
        <w:rPr>
          <w:b/>
          <w:snapToGrid w:val="0"/>
          <w:sz w:val="22"/>
          <w:szCs w:val="22"/>
        </w:rPr>
        <w:br/>
      </w:r>
      <w:r w:rsidRPr="00E64DBE">
        <w:rPr>
          <w:sz w:val="22"/>
          <w:szCs w:val="22"/>
        </w:rPr>
        <w:t xml:space="preserve">Regeringen välkomnar kommissionens meddelande som lyfter flera viktiga aspekter kopplade till livsmedelsförsörjning och livsmedelssystemens motståndskraft. Regeringen anser att en fungerande handel, ett effektivt bistånd som långsiktigt främjar hållbar livsmedelsförsörjning och hållbara livsmedelssystem, behovsstyrda humanitära insatser och vikten av det multilaterala arbetet, bland annat genom FAO, är centrala aspekter för att hantera utmaningarna på global nivå. Det är positivt att meddelandet belyser den strategiska frågan om hållbarhet, och den fortsatta omställningen mot hållbara livsmedelssystem som ett led mot ökad motståndskraft. Regeringen framhåller vikten av en långsiktigt ökad hållbar produktion av bioenergi, livsmedel och fossilfria material från jord- och skogsbruket Regeringen efterfrågar samtidigt fortsatta analyser om påverkan på livsmedelsförsörjningen på kort och lång sikt av de insatser som anges i genomförandet av den gröna given. </w:t>
      </w:r>
    </w:p>
    <w:p w:rsidR="00614F33" w:rsidRPr="00E64DBE" w:rsidRDefault="00614F33" w:rsidP="00614F33">
      <w:pPr>
        <w:rPr>
          <w:b/>
          <w:snapToGrid w:val="0"/>
          <w:sz w:val="22"/>
          <w:szCs w:val="22"/>
        </w:rPr>
      </w:pPr>
    </w:p>
    <w:p w:rsidR="00614F33" w:rsidRPr="00E64DBE" w:rsidRDefault="00614F33" w:rsidP="00614F33">
      <w:pPr>
        <w:rPr>
          <w:b/>
          <w:sz w:val="22"/>
          <w:szCs w:val="22"/>
        </w:rPr>
      </w:pPr>
      <w:r w:rsidRPr="00E64DBE">
        <w:rPr>
          <w:b/>
          <w:snapToGrid w:val="0"/>
          <w:sz w:val="22"/>
          <w:szCs w:val="22"/>
        </w:rPr>
        <w:t xml:space="preserve">Rådets dagordningspunkt 7a. </w:t>
      </w:r>
      <w:r w:rsidRPr="00E64DBE">
        <w:rPr>
          <w:b/>
          <w:snapToGrid w:val="0"/>
          <w:sz w:val="22"/>
          <w:szCs w:val="22"/>
        </w:rPr>
        <w:br/>
      </w:r>
      <w:r w:rsidRPr="00E64DBE">
        <w:rPr>
          <w:b/>
          <w:sz w:val="22"/>
          <w:szCs w:val="22"/>
        </w:rPr>
        <w:t xml:space="preserve">Förordningen om geografiska beteckningar </w:t>
      </w:r>
    </w:p>
    <w:p w:rsidR="00614F33" w:rsidRPr="00E64DBE" w:rsidRDefault="00614F33" w:rsidP="00614F33">
      <w:pPr>
        <w:rPr>
          <w:b/>
          <w:snapToGrid w:val="0"/>
          <w:sz w:val="22"/>
          <w:szCs w:val="22"/>
        </w:rPr>
      </w:pPr>
    </w:p>
    <w:p w:rsidR="00614F33" w:rsidRPr="00E64DBE" w:rsidRDefault="00614F33" w:rsidP="00614F33">
      <w:pPr>
        <w:rPr>
          <w:snapToGrid w:val="0"/>
          <w:sz w:val="22"/>
          <w:szCs w:val="22"/>
        </w:rPr>
      </w:pPr>
      <w:r w:rsidRPr="00E64DBE">
        <w:rPr>
          <w:b/>
          <w:snapToGrid w:val="0"/>
          <w:sz w:val="22"/>
          <w:szCs w:val="22"/>
        </w:rPr>
        <w:t>Förslag till svensk ståndpunkt:</w:t>
      </w:r>
      <w:r w:rsidRPr="00E64DBE">
        <w:rPr>
          <w:b/>
          <w:snapToGrid w:val="0"/>
          <w:sz w:val="22"/>
          <w:szCs w:val="22"/>
        </w:rPr>
        <w:br/>
      </w:r>
      <w:r w:rsidRPr="00E64DBE">
        <w:rPr>
          <w:snapToGrid w:val="0"/>
          <w:sz w:val="22"/>
          <w:szCs w:val="22"/>
        </w:rPr>
        <w:t>Förslag till svensk ståndpunkt: Regeringen tar del av presentationen och noterar informationen. Regeringen är positiva till en förenkling och harmonisering av det nuvarande systemet. Vidare välkomnar regeringen ett ökat fokus på de miljömässiga och sociala aspekterna av hållbarhet för skyddade beteckningar.</w:t>
      </w: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Default="00614F33" w:rsidP="00B21CA7">
      <w:pPr>
        <w:rPr>
          <w:b/>
          <w:bCs/>
          <w:color w:val="000000"/>
          <w:sz w:val="22"/>
          <w:szCs w:val="22"/>
        </w:rPr>
      </w:pPr>
    </w:p>
    <w:p w:rsidR="00382ED9" w:rsidRDefault="00382ED9" w:rsidP="00B21CA7">
      <w:pPr>
        <w:rPr>
          <w:b/>
          <w:bCs/>
          <w:color w:val="000000"/>
          <w:sz w:val="22"/>
          <w:szCs w:val="22"/>
        </w:rPr>
      </w:pPr>
    </w:p>
    <w:p w:rsidR="00382ED9" w:rsidRDefault="00382ED9" w:rsidP="00B21CA7">
      <w:pPr>
        <w:rPr>
          <w:b/>
          <w:bCs/>
          <w:color w:val="000000"/>
          <w:sz w:val="22"/>
          <w:szCs w:val="22"/>
        </w:rPr>
      </w:pPr>
    </w:p>
    <w:p w:rsidR="00382ED9" w:rsidRDefault="00382ED9" w:rsidP="00B21CA7">
      <w:pPr>
        <w:rPr>
          <w:b/>
          <w:bCs/>
          <w:color w:val="000000"/>
          <w:sz w:val="22"/>
          <w:szCs w:val="22"/>
        </w:rPr>
      </w:pPr>
    </w:p>
    <w:p w:rsidR="00382ED9" w:rsidRDefault="00382ED9" w:rsidP="00B21CA7">
      <w:pPr>
        <w:rPr>
          <w:b/>
          <w:bCs/>
          <w:color w:val="000000"/>
          <w:sz w:val="22"/>
          <w:szCs w:val="22"/>
        </w:rPr>
      </w:pPr>
    </w:p>
    <w:p w:rsidR="00382ED9" w:rsidRDefault="00382ED9" w:rsidP="00B21CA7">
      <w:pPr>
        <w:rPr>
          <w:b/>
          <w:bCs/>
          <w:color w:val="000000"/>
          <w:sz w:val="22"/>
          <w:szCs w:val="22"/>
        </w:rPr>
      </w:pPr>
    </w:p>
    <w:p w:rsidR="00382ED9" w:rsidRDefault="00382ED9"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614F33" w:rsidRPr="00E64DBE" w:rsidRDefault="00614F33" w:rsidP="00B21CA7">
      <w:pPr>
        <w:rPr>
          <w:b/>
          <w:bCs/>
          <w:color w:val="000000"/>
          <w:sz w:val="22"/>
          <w:szCs w:val="22"/>
        </w:rPr>
      </w:pPr>
    </w:p>
    <w:p w:rsidR="00B21CA7" w:rsidRPr="00E64DBE" w:rsidRDefault="00B21CA7" w:rsidP="00B21CA7">
      <w:pPr>
        <w:widowControl/>
        <w:tabs>
          <w:tab w:val="left" w:pos="284"/>
        </w:tabs>
        <w:rPr>
          <w:rFonts w:eastAsiaTheme="minorHAnsi"/>
          <w:b/>
          <w:bCs/>
          <w:color w:val="000000"/>
          <w:sz w:val="22"/>
          <w:szCs w:val="22"/>
          <w:lang w:eastAsia="en-US"/>
        </w:rPr>
      </w:pPr>
    </w:p>
    <w:p w:rsidR="00B21CA7" w:rsidRPr="00E64DBE" w:rsidRDefault="00B21CA7" w:rsidP="00B21CA7">
      <w:pPr>
        <w:widowControl/>
        <w:rPr>
          <w:rFonts w:eastAsiaTheme="minorHAnsi"/>
          <w:b/>
          <w:bCs/>
          <w:color w:val="000000"/>
          <w:sz w:val="22"/>
          <w:szCs w:val="22"/>
          <w:lang w:eastAsia="en-US"/>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B21CA7" w:rsidRPr="00E64DBE" w:rsidTr="00B40718">
        <w:tc>
          <w:tcPr>
            <w:tcW w:w="6532" w:type="dxa"/>
          </w:tcPr>
          <w:p w:rsidR="00B21CA7" w:rsidRPr="00E64DBE" w:rsidRDefault="00B21CA7" w:rsidP="00B40718">
            <w:pPr>
              <w:tabs>
                <w:tab w:val="left" w:pos="1276"/>
              </w:tabs>
              <w:rPr>
                <w:sz w:val="22"/>
                <w:szCs w:val="22"/>
              </w:rPr>
            </w:pPr>
            <w:bookmarkStart w:id="2" w:name="_Hlk51092777"/>
            <w:r w:rsidRPr="00E64DBE">
              <w:rPr>
                <w:sz w:val="22"/>
                <w:szCs w:val="22"/>
              </w:rPr>
              <w:lastRenderedPageBreak/>
              <w:br w:type="page"/>
              <w:t>MILJÖ- OCH JORDBRUKSUTSKOTTET</w:t>
            </w:r>
          </w:p>
        </w:tc>
        <w:tc>
          <w:tcPr>
            <w:tcW w:w="2206" w:type="dxa"/>
          </w:tcPr>
          <w:p w:rsidR="00B21CA7" w:rsidRPr="00E64DBE" w:rsidRDefault="00B21CA7" w:rsidP="00B40718">
            <w:pPr>
              <w:tabs>
                <w:tab w:val="left" w:pos="1276"/>
              </w:tabs>
              <w:rPr>
                <w:sz w:val="22"/>
                <w:szCs w:val="22"/>
              </w:rPr>
            </w:pPr>
          </w:p>
        </w:tc>
        <w:tc>
          <w:tcPr>
            <w:tcW w:w="2036" w:type="dxa"/>
          </w:tcPr>
          <w:p w:rsidR="00B21CA7" w:rsidRPr="00E64DBE" w:rsidRDefault="00B21CA7" w:rsidP="00B40718">
            <w:pPr>
              <w:tabs>
                <w:tab w:val="left" w:pos="1276"/>
              </w:tabs>
              <w:ind w:right="-212"/>
              <w:rPr>
                <w:b/>
                <w:sz w:val="22"/>
                <w:szCs w:val="22"/>
              </w:rPr>
            </w:pPr>
            <w:r w:rsidRPr="00E64DBE">
              <w:rPr>
                <w:b/>
                <w:sz w:val="22"/>
                <w:szCs w:val="22"/>
              </w:rPr>
              <w:t>Bilaga 3</w:t>
            </w:r>
          </w:p>
          <w:p w:rsidR="00B21CA7" w:rsidRPr="00E64DBE" w:rsidRDefault="00B21CA7" w:rsidP="00B40718">
            <w:pPr>
              <w:tabs>
                <w:tab w:val="left" w:pos="1276"/>
              </w:tabs>
              <w:ind w:right="-212"/>
              <w:rPr>
                <w:sz w:val="22"/>
                <w:szCs w:val="22"/>
              </w:rPr>
            </w:pPr>
            <w:r w:rsidRPr="00E64DBE">
              <w:rPr>
                <w:sz w:val="22"/>
                <w:szCs w:val="22"/>
              </w:rPr>
              <w:t>till protokoll</w:t>
            </w:r>
          </w:p>
          <w:p w:rsidR="00B21CA7" w:rsidRPr="00E64DBE" w:rsidRDefault="00B21CA7" w:rsidP="00B40718">
            <w:pPr>
              <w:tabs>
                <w:tab w:val="left" w:pos="1276"/>
              </w:tabs>
              <w:ind w:right="-212"/>
              <w:rPr>
                <w:b/>
                <w:sz w:val="22"/>
                <w:szCs w:val="22"/>
              </w:rPr>
            </w:pPr>
            <w:r w:rsidRPr="00E64DBE">
              <w:rPr>
                <w:sz w:val="22"/>
                <w:szCs w:val="22"/>
              </w:rPr>
              <w:t>2021/22:</w:t>
            </w:r>
            <w:r w:rsidR="004770EC" w:rsidRPr="00E64DBE">
              <w:rPr>
                <w:sz w:val="22"/>
                <w:szCs w:val="22"/>
              </w:rPr>
              <w:t>40</w:t>
            </w:r>
          </w:p>
        </w:tc>
      </w:tr>
      <w:tr w:rsidR="00B21CA7" w:rsidRPr="00E64DBE" w:rsidTr="00B40718">
        <w:tc>
          <w:tcPr>
            <w:tcW w:w="6532" w:type="dxa"/>
          </w:tcPr>
          <w:p w:rsidR="00B21CA7" w:rsidRPr="00E64DBE" w:rsidRDefault="00B21CA7" w:rsidP="00B40718">
            <w:pPr>
              <w:tabs>
                <w:tab w:val="left" w:pos="1276"/>
              </w:tabs>
              <w:rPr>
                <w:sz w:val="22"/>
                <w:szCs w:val="22"/>
              </w:rPr>
            </w:pPr>
          </w:p>
        </w:tc>
        <w:tc>
          <w:tcPr>
            <w:tcW w:w="2206" w:type="dxa"/>
          </w:tcPr>
          <w:p w:rsidR="00B21CA7" w:rsidRPr="00E64DBE" w:rsidRDefault="00B21CA7" w:rsidP="00B40718">
            <w:pPr>
              <w:tabs>
                <w:tab w:val="left" w:pos="1276"/>
              </w:tabs>
              <w:rPr>
                <w:sz w:val="22"/>
                <w:szCs w:val="22"/>
              </w:rPr>
            </w:pPr>
          </w:p>
        </w:tc>
        <w:tc>
          <w:tcPr>
            <w:tcW w:w="2036" w:type="dxa"/>
          </w:tcPr>
          <w:p w:rsidR="00B21CA7" w:rsidRPr="00E64DBE" w:rsidRDefault="00B21CA7" w:rsidP="00B40718">
            <w:pPr>
              <w:tabs>
                <w:tab w:val="left" w:pos="1276"/>
              </w:tabs>
              <w:ind w:right="-212"/>
              <w:rPr>
                <w:b/>
                <w:sz w:val="22"/>
                <w:szCs w:val="22"/>
              </w:rPr>
            </w:pPr>
          </w:p>
        </w:tc>
      </w:tr>
      <w:bookmarkEnd w:id="2"/>
    </w:tbl>
    <w:p w:rsidR="00F01DB1" w:rsidRPr="00E64DBE" w:rsidRDefault="00F01DB1" w:rsidP="00F01DB1">
      <w:pPr>
        <w:rPr>
          <w:sz w:val="22"/>
          <w:szCs w:val="22"/>
        </w:rPr>
      </w:pPr>
    </w:p>
    <w:p w:rsidR="00614F33" w:rsidRPr="00E64DBE" w:rsidRDefault="00614F33" w:rsidP="00614F33">
      <w:pPr>
        <w:widowControl/>
        <w:autoSpaceDE w:val="0"/>
        <w:autoSpaceDN w:val="0"/>
        <w:adjustRightInd w:val="0"/>
        <w:rPr>
          <w:b/>
          <w:snapToGrid w:val="0"/>
          <w:sz w:val="22"/>
          <w:szCs w:val="22"/>
        </w:rPr>
      </w:pPr>
      <w:r w:rsidRPr="00E64DBE">
        <w:rPr>
          <w:b/>
          <w:snapToGrid w:val="0"/>
          <w:sz w:val="22"/>
          <w:szCs w:val="22"/>
        </w:rPr>
        <w:t xml:space="preserve">Rådets dagordningspunkt 3. </w:t>
      </w:r>
      <w:r w:rsidRPr="00E64DBE">
        <w:rPr>
          <w:b/>
          <w:snapToGrid w:val="0"/>
          <w:sz w:val="22"/>
          <w:szCs w:val="22"/>
        </w:rPr>
        <w:br/>
      </w:r>
      <w:r w:rsidRPr="00E64DBE">
        <w:rPr>
          <w:b/>
          <w:sz w:val="22"/>
          <w:szCs w:val="22"/>
        </w:rPr>
        <w:t>55 %-paketet: jordbruksaspekter i översynen av LULUCF</w:t>
      </w:r>
    </w:p>
    <w:p w:rsidR="00614F33" w:rsidRPr="00E64DBE" w:rsidRDefault="00614F33" w:rsidP="00614F33">
      <w:pPr>
        <w:tabs>
          <w:tab w:val="left" w:pos="1701"/>
        </w:tabs>
        <w:rPr>
          <w:b/>
          <w:bCs/>
          <w:color w:val="000000"/>
          <w:sz w:val="22"/>
          <w:szCs w:val="22"/>
        </w:rPr>
      </w:pPr>
    </w:p>
    <w:p w:rsidR="00614F33" w:rsidRPr="00E64DBE" w:rsidRDefault="00614F33" w:rsidP="00614F33">
      <w:pPr>
        <w:rPr>
          <w:b/>
          <w:snapToGrid w:val="0"/>
          <w:sz w:val="22"/>
          <w:szCs w:val="22"/>
        </w:rPr>
      </w:pPr>
    </w:p>
    <w:p w:rsidR="00614F33" w:rsidRPr="00E64DBE" w:rsidRDefault="00614F33" w:rsidP="00614F33">
      <w:pPr>
        <w:tabs>
          <w:tab w:val="left" w:pos="1701"/>
        </w:tabs>
        <w:rPr>
          <w:b/>
          <w:bCs/>
          <w:color w:val="000000"/>
          <w:sz w:val="22"/>
          <w:szCs w:val="22"/>
        </w:rPr>
      </w:pPr>
      <w:r w:rsidRPr="00E64DBE">
        <w:rPr>
          <w:b/>
          <w:sz w:val="22"/>
          <w:szCs w:val="22"/>
        </w:rPr>
        <w:t>M-, SD-, C- och KD-</w:t>
      </w:r>
      <w:r w:rsidRPr="00E64DBE">
        <w:rPr>
          <w:b/>
          <w:bCs/>
          <w:color w:val="000000"/>
          <w:sz w:val="22"/>
          <w:szCs w:val="22"/>
        </w:rPr>
        <w:t>ledamöterna anmälde följande avvikande ståndpunkt:</w:t>
      </w:r>
    </w:p>
    <w:p w:rsidR="00614F33" w:rsidRPr="00E64DBE" w:rsidRDefault="00614F33" w:rsidP="00614F33">
      <w:pPr>
        <w:rPr>
          <w:sz w:val="22"/>
          <w:szCs w:val="22"/>
        </w:rPr>
      </w:pPr>
      <w:r w:rsidRPr="00E64DBE">
        <w:rPr>
          <w:b/>
          <w:sz w:val="22"/>
          <w:szCs w:val="22"/>
        </w:rPr>
        <w:br/>
        <w:t>Förslag till svensk ståndpunkt</w:t>
      </w:r>
      <w:r w:rsidRPr="00E64DBE">
        <w:rPr>
          <w:sz w:val="22"/>
          <w:szCs w:val="22"/>
        </w:rPr>
        <w:t xml:space="preserve">: Regeringen delar kommissionens bedömning att den negativa trenden med en minskad kolsänka inom EU:s LULUCF-sektor behöver motverkas som ett led i att nå det långsiktiga klimatneutralitetsmålet. Regeringen konstaterar vidare att de minskningar som gjorts på EU-nivå i skogarnas netto-kolinbindning det senaste decenniet inte </w:t>
      </w:r>
      <w:r w:rsidRPr="00E64DBE">
        <w:rPr>
          <w:strike/>
          <w:sz w:val="22"/>
          <w:szCs w:val="22"/>
        </w:rPr>
        <w:t>främst</w:t>
      </w:r>
      <w:r w:rsidRPr="00E64DBE">
        <w:rPr>
          <w:sz w:val="22"/>
          <w:szCs w:val="22"/>
        </w:rPr>
        <w:t xml:space="preserve"> beror på minskad kolinbindning i Sverige. Sverige bör därför inte </w:t>
      </w:r>
      <w:r w:rsidRPr="00E64DBE">
        <w:rPr>
          <w:strike/>
          <w:sz w:val="22"/>
          <w:szCs w:val="22"/>
        </w:rPr>
        <w:t>få</w:t>
      </w:r>
      <w:r w:rsidRPr="00E64DBE">
        <w:rPr>
          <w:sz w:val="22"/>
          <w:szCs w:val="22"/>
        </w:rPr>
        <w:t xml:space="preserve"> </w:t>
      </w:r>
      <w:r w:rsidRPr="00E64DBE">
        <w:rPr>
          <w:sz w:val="22"/>
          <w:szCs w:val="22"/>
          <w:u w:val="single"/>
        </w:rPr>
        <w:t>åläggas</w:t>
      </w:r>
      <w:r w:rsidRPr="00E64DBE">
        <w:rPr>
          <w:sz w:val="22"/>
          <w:szCs w:val="22"/>
        </w:rPr>
        <w:t xml:space="preserve"> ett oproportionerligt högt åtagande för att kompensera för minskade upptag i andra länder.</w:t>
      </w:r>
    </w:p>
    <w:p w:rsidR="00614F33" w:rsidRPr="00E64DBE" w:rsidRDefault="00614F33" w:rsidP="00614F33">
      <w:pPr>
        <w:rPr>
          <w:sz w:val="22"/>
          <w:szCs w:val="22"/>
        </w:rPr>
      </w:pPr>
    </w:p>
    <w:p w:rsidR="00614F33" w:rsidRPr="00E64DBE" w:rsidRDefault="00614F33" w:rsidP="00614F33">
      <w:pPr>
        <w:rPr>
          <w:sz w:val="22"/>
          <w:szCs w:val="22"/>
        </w:rPr>
      </w:pPr>
      <w:r w:rsidRPr="00E64DBE">
        <w:rPr>
          <w:sz w:val="22"/>
          <w:szCs w:val="22"/>
          <w:u w:val="single"/>
        </w:rPr>
        <w:t>Ett aktivt skogsbruk med hög tillväxt och användning av produkter från förnybar råvara ger högsta långsiktiga klimatnytta från skogen och kortsiktiga bindande mål för ökade kolsänkor är kontraproduktivt som klimatåtgärd.</w:t>
      </w:r>
      <w:r w:rsidRPr="00E64DBE">
        <w:rPr>
          <w:sz w:val="22"/>
          <w:szCs w:val="22"/>
        </w:rPr>
        <w:t xml:space="preserve"> Regeringen anser </w:t>
      </w:r>
      <w:r w:rsidRPr="00E64DBE">
        <w:rPr>
          <w:strike/>
          <w:sz w:val="22"/>
          <w:szCs w:val="22"/>
        </w:rPr>
        <w:t>också</w:t>
      </w:r>
      <w:r w:rsidRPr="00E64DBE">
        <w:rPr>
          <w:sz w:val="22"/>
          <w:szCs w:val="22"/>
        </w:rPr>
        <w:t xml:space="preserve"> att målkonstruktionen bör utryckas i relativa mål i stället för ett absolut mål. Därtill bör medlemsstaternas åtaganden utöver nuvarande regelverk vara indikativa </w:t>
      </w:r>
      <w:r w:rsidRPr="00E64DBE">
        <w:rPr>
          <w:sz w:val="22"/>
          <w:szCs w:val="22"/>
          <w:u w:val="single"/>
        </w:rPr>
        <w:t>för att säkerställa medlemsländernas möjlighet att utveckla bioekonomin och vara i linje med EU:s klimatlags målsättning om att minska de fossila utsläppen. Dessutom skapar indikativa mål möjlighet att</w:t>
      </w:r>
      <w:r w:rsidRPr="00E64DBE">
        <w:rPr>
          <w:sz w:val="22"/>
          <w:szCs w:val="22"/>
        </w:rPr>
        <w:t xml:space="preserve"> </w:t>
      </w:r>
      <w:r w:rsidRPr="00E64DBE">
        <w:rPr>
          <w:strike/>
          <w:sz w:val="22"/>
          <w:szCs w:val="22"/>
        </w:rPr>
        <w:t>för att exempelvis</w:t>
      </w:r>
      <w:r w:rsidRPr="00E64DBE">
        <w:rPr>
          <w:sz w:val="22"/>
          <w:szCs w:val="22"/>
        </w:rPr>
        <w:t xml:space="preserve"> beakta osäkerhet och variationer samt att relevanta åtgärder inte nödvändigtvis ger effekt redan till 2030. Regeringen anser att sektorns långsiktiga klimatnytta och långa ledtider bättre bör beaktas i förordningens utformning. </w:t>
      </w:r>
    </w:p>
    <w:p w:rsidR="00614F33" w:rsidRPr="00E64DBE" w:rsidRDefault="00614F33" w:rsidP="00614F33">
      <w:pPr>
        <w:rPr>
          <w:sz w:val="22"/>
          <w:szCs w:val="22"/>
        </w:rPr>
      </w:pPr>
    </w:p>
    <w:p w:rsidR="00614F33" w:rsidRPr="00E64DBE" w:rsidRDefault="00614F33" w:rsidP="00614F33">
      <w:pPr>
        <w:rPr>
          <w:sz w:val="22"/>
          <w:szCs w:val="22"/>
        </w:rPr>
      </w:pPr>
      <w:r w:rsidRPr="00E64DBE">
        <w:rPr>
          <w:sz w:val="22"/>
          <w:szCs w:val="22"/>
        </w:rPr>
        <w:t xml:space="preserve">Givet </w:t>
      </w:r>
      <w:r w:rsidRPr="00E64DBE">
        <w:rPr>
          <w:sz w:val="22"/>
          <w:szCs w:val="22"/>
          <w:u w:val="single"/>
        </w:rPr>
        <w:t>behovet av ett aktivt skogsbruk med en hög tillväxt och en omställning till en bioekonomi samt</w:t>
      </w:r>
      <w:r w:rsidRPr="00E64DBE">
        <w:rPr>
          <w:sz w:val="22"/>
          <w:szCs w:val="22"/>
        </w:rPr>
        <w:t xml:space="preserve"> de stora osäkerheterna och långa ledtider i sektorn är regeringen kritisk till bindande mål för ökade kolsänkor och dess föreslagna ansvarsfördelning. Lagstiftningen får inte utformas så att </w:t>
      </w:r>
      <w:r w:rsidRPr="00E64DBE">
        <w:rPr>
          <w:sz w:val="22"/>
          <w:szCs w:val="22"/>
          <w:u w:val="single"/>
        </w:rPr>
        <w:t>ökad kolsänka i svensk skog</w:t>
      </w:r>
      <w:r w:rsidRPr="00E64DBE">
        <w:rPr>
          <w:sz w:val="22"/>
          <w:szCs w:val="22"/>
        </w:rPr>
        <w:t xml:space="preserve"> </w:t>
      </w:r>
      <w:r w:rsidRPr="00E64DBE">
        <w:rPr>
          <w:strike/>
          <w:sz w:val="22"/>
          <w:szCs w:val="22"/>
        </w:rPr>
        <w:t>det</w:t>
      </w:r>
      <w:r w:rsidRPr="00E64DBE">
        <w:rPr>
          <w:sz w:val="22"/>
          <w:szCs w:val="22"/>
        </w:rPr>
        <w:t xml:space="preserve"> kompenserar för lägre ambitioner i andra medlemsstater eller inom andra sektorer. Regeringen framhåller att ytterligare analys krävs på medlemsstatsnivå för vilka åtaganden som på ett samhällsekonomiskt effektivt sätt bidrar till klimatneutralitetsmålet 2050. </w:t>
      </w:r>
      <w:r w:rsidRPr="00E64DBE">
        <w:rPr>
          <w:sz w:val="22"/>
          <w:szCs w:val="22"/>
          <w:u w:val="single"/>
        </w:rPr>
        <w:t>Vidare anser regeringen att det geo-politiskt osäkra läget ytterligare tydliggör behovet av säkerställd tillgång till inhemsk förnybar råvara.</w:t>
      </w:r>
      <w:r w:rsidRPr="00E64DBE">
        <w:rPr>
          <w:sz w:val="22"/>
          <w:szCs w:val="22"/>
        </w:rPr>
        <w:t xml:space="preserve"> </w:t>
      </w:r>
    </w:p>
    <w:p w:rsidR="00614F33" w:rsidRPr="00E64DBE" w:rsidRDefault="00614F33" w:rsidP="00614F33">
      <w:pPr>
        <w:rPr>
          <w:sz w:val="22"/>
          <w:szCs w:val="22"/>
        </w:rPr>
      </w:pPr>
    </w:p>
    <w:p w:rsidR="00614F33" w:rsidRPr="00E64DBE" w:rsidRDefault="00614F33" w:rsidP="00614F33">
      <w:pPr>
        <w:rPr>
          <w:sz w:val="22"/>
          <w:szCs w:val="22"/>
        </w:rPr>
      </w:pPr>
      <w:r w:rsidRPr="00E64DBE">
        <w:rPr>
          <w:sz w:val="22"/>
          <w:szCs w:val="22"/>
        </w:rPr>
        <w:t xml:space="preserve">Regeringen konstaterar därtill att skogspolitiken är nationell kompetens och att utformning av nya förslag måste vara i linje med ett hållbart aktivt skogsbruk. Regeringen anser att det svenska åtagandet ska sänkas till en nivå som möjliggör det vi nationellt bedömer som en långsiktigt hållbar avverkningsnivå. </w:t>
      </w:r>
    </w:p>
    <w:p w:rsidR="00614F33" w:rsidRPr="00E64DBE" w:rsidRDefault="00614F33" w:rsidP="00614F33">
      <w:pPr>
        <w:rPr>
          <w:sz w:val="22"/>
          <w:szCs w:val="22"/>
        </w:rPr>
      </w:pPr>
    </w:p>
    <w:p w:rsidR="00614F33" w:rsidRPr="00E64DBE" w:rsidRDefault="00614F33" w:rsidP="00614F33">
      <w:pPr>
        <w:rPr>
          <w:sz w:val="22"/>
          <w:szCs w:val="22"/>
        </w:rPr>
      </w:pPr>
      <w:r w:rsidRPr="00E64DBE">
        <w:rPr>
          <w:sz w:val="22"/>
          <w:szCs w:val="22"/>
        </w:rPr>
        <w:t xml:space="preserve">Regeringen anser vidare att infångning och permanent lagring av biogen koldioxid (bio-CCS) ska kunna tillgodoräknas som upptag inom LULUCF. Ekonomiska incitament för bio-CCS fram till 2030 bör inrättas inom EU ETS. </w:t>
      </w:r>
    </w:p>
    <w:p w:rsidR="00614F33" w:rsidRPr="00E64DBE" w:rsidRDefault="00614F33" w:rsidP="00614F33">
      <w:pPr>
        <w:rPr>
          <w:sz w:val="22"/>
          <w:szCs w:val="22"/>
        </w:rPr>
      </w:pPr>
    </w:p>
    <w:p w:rsidR="00614F33" w:rsidRPr="00E64DBE" w:rsidRDefault="00614F33" w:rsidP="00614F33">
      <w:pPr>
        <w:rPr>
          <w:sz w:val="22"/>
          <w:szCs w:val="22"/>
        </w:rPr>
      </w:pPr>
      <w:r w:rsidRPr="00E64DBE">
        <w:rPr>
          <w:sz w:val="22"/>
          <w:szCs w:val="22"/>
        </w:rPr>
        <w:t xml:space="preserve">Regeringen ser betydande risker i att eftersträva klimatneutralitet i en specifik sektor på EU-nivå och framhåller att klimatneutralitetsmål för en utvidgad marksektor ska sättas på nationell nivå inom respektive medlemsstat i stället för på EU-nivå. Om klimatneutralitetsmålet sätts på EU-nivå är regeringen </w:t>
      </w:r>
      <w:r w:rsidRPr="00E64DBE">
        <w:rPr>
          <w:strike/>
          <w:sz w:val="22"/>
          <w:szCs w:val="22"/>
        </w:rPr>
        <w:t>skeptisk</w:t>
      </w:r>
      <w:r w:rsidRPr="00E64DBE">
        <w:rPr>
          <w:sz w:val="22"/>
          <w:szCs w:val="22"/>
        </w:rPr>
        <w:t xml:space="preserve"> </w:t>
      </w:r>
      <w:r w:rsidRPr="00E64DBE">
        <w:rPr>
          <w:sz w:val="22"/>
          <w:szCs w:val="22"/>
          <w:u w:val="single"/>
        </w:rPr>
        <w:t>kritisk</w:t>
      </w:r>
      <w:r w:rsidRPr="00E64DBE">
        <w:rPr>
          <w:sz w:val="22"/>
          <w:szCs w:val="22"/>
        </w:rPr>
        <w:t xml:space="preserve"> mot en utvidgad marksektor. En ny sektorsindelning behöver analyseras noga och ska bidra till unionens långsiktiga mål, regeringen anser därför att vidare analys krävs. Regeringen bedömer därför att en utvidgad marksektor inte bör beslutas i den pågående revideringen av LULUCF-förordningen.</w:t>
      </w:r>
    </w:p>
    <w:p w:rsidR="00F01DB1" w:rsidRPr="00E64DBE" w:rsidRDefault="00F01DB1" w:rsidP="00F01DB1">
      <w:pPr>
        <w:rPr>
          <w:sz w:val="22"/>
          <w:szCs w:val="22"/>
        </w:rPr>
      </w:pPr>
    </w:p>
    <w:p w:rsidR="00F01DB1" w:rsidRPr="00E64DBE" w:rsidRDefault="00F01DB1" w:rsidP="00F01DB1">
      <w:pPr>
        <w:rPr>
          <w:sz w:val="22"/>
          <w:szCs w:val="22"/>
        </w:rPr>
      </w:pPr>
    </w:p>
    <w:p w:rsidR="00614F33" w:rsidRPr="00E64DBE" w:rsidRDefault="00614F33" w:rsidP="00614F33">
      <w:pPr>
        <w:tabs>
          <w:tab w:val="left" w:pos="1701"/>
        </w:tabs>
        <w:rPr>
          <w:b/>
          <w:bCs/>
          <w:color w:val="000000"/>
          <w:sz w:val="22"/>
          <w:szCs w:val="22"/>
        </w:rPr>
      </w:pPr>
      <w:r w:rsidRPr="00E64DBE">
        <w:rPr>
          <w:b/>
          <w:sz w:val="22"/>
          <w:szCs w:val="22"/>
        </w:rPr>
        <w:t>V-</w:t>
      </w:r>
      <w:r w:rsidRPr="00E64DBE">
        <w:rPr>
          <w:b/>
          <w:bCs/>
          <w:color w:val="000000"/>
          <w:sz w:val="22"/>
          <w:szCs w:val="22"/>
        </w:rPr>
        <w:t>ledamoten anmälde följande avvikande ståndpunkt:</w:t>
      </w:r>
    </w:p>
    <w:p w:rsidR="00614F33" w:rsidRPr="00E64DBE" w:rsidRDefault="00614F33" w:rsidP="00614F33">
      <w:pPr>
        <w:rPr>
          <w:sz w:val="22"/>
          <w:szCs w:val="22"/>
        </w:rPr>
      </w:pPr>
      <w:r w:rsidRPr="00E64DBE">
        <w:rPr>
          <w:rStyle w:val="normaltextrun"/>
          <w:sz w:val="22"/>
          <w:szCs w:val="22"/>
        </w:rPr>
        <w:br/>
      </w:r>
      <w:r w:rsidRPr="00E64DBE">
        <w:rPr>
          <w:sz w:val="22"/>
          <w:szCs w:val="22"/>
        </w:rPr>
        <w:t>Vi välkomnar den ökade ambitionen för LULUCF förordningen och vi delar inte regeringens ståndpunkt att de åtaganden som läggs på Sverige skulle vara för höga, i den omställning som görs behöver alla länder bidra med det de kan bäst och Sverige har en stor möjlighet att bidra till en ökad kolinlagring.  </w:t>
      </w:r>
    </w:p>
    <w:p w:rsidR="00614F33" w:rsidRPr="00E64DBE" w:rsidRDefault="00614F33" w:rsidP="00614F33">
      <w:pPr>
        <w:rPr>
          <w:sz w:val="22"/>
          <w:szCs w:val="22"/>
        </w:rPr>
      </w:pPr>
    </w:p>
    <w:p w:rsidR="00614F33" w:rsidRPr="00E64DBE" w:rsidRDefault="00614F33" w:rsidP="00614F33">
      <w:pPr>
        <w:rPr>
          <w:sz w:val="22"/>
          <w:szCs w:val="22"/>
        </w:rPr>
      </w:pPr>
      <w:r w:rsidRPr="00E64DBE">
        <w:rPr>
          <w:sz w:val="22"/>
          <w:szCs w:val="22"/>
        </w:rPr>
        <w:t>Tillskillnad från regeringen är Vänsterpartiet också positiva till ett bindande mål för ökade kolsänkor.  </w:t>
      </w:r>
      <w:r w:rsidRPr="00E64DBE">
        <w:rPr>
          <w:sz w:val="22"/>
          <w:szCs w:val="22"/>
        </w:rPr>
        <w:br/>
        <w:t xml:space="preserve">När det nu talas om jordbruksaspekterna i översynen av LULUCF har tillägg till regeringens ståndpunkt </w:t>
      </w:r>
      <w:r w:rsidRPr="00E64DBE">
        <w:rPr>
          <w:sz w:val="22"/>
          <w:szCs w:val="22"/>
        </w:rPr>
        <w:lastRenderedPageBreak/>
        <w:t>gjorts som Vänsterpartiet också motsätter sig.  </w:t>
      </w:r>
    </w:p>
    <w:p w:rsidR="00614F33" w:rsidRPr="00E64DBE" w:rsidRDefault="00614F33" w:rsidP="00614F33">
      <w:pPr>
        <w:rPr>
          <w:sz w:val="22"/>
          <w:szCs w:val="22"/>
        </w:rPr>
      </w:pPr>
      <w:r w:rsidRPr="00E64DBE">
        <w:rPr>
          <w:sz w:val="22"/>
          <w:szCs w:val="22"/>
        </w:rPr>
        <w:t>Vi delar inte ståndpunkten att kortsiktiga bindande mål för ökade kolsänkor är kontraproduktivt som klimatåtgärd och att en hög tillväxt skulle vara den bästa vägen för klimatet.  </w:t>
      </w:r>
    </w:p>
    <w:p w:rsidR="00614F33" w:rsidRPr="00E64DBE" w:rsidRDefault="00614F33" w:rsidP="00614F33">
      <w:pPr>
        <w:rPr>
          <w:sz w:val="22"/>
          <w:szCs w:val="22"/>
        </w:rPr>
      </w:pPr>
      <w:r w:rsidRPr="00E64DBE">
        <w:rPr>
          <w:sz w:val="22"/>
          <w:szCs w:val="22"/>
        </w:rPr>
        <w:t>Vänsterpartiet vill se ett aktivt skogsbruk men det måste ske hållbart och inom naturensramar, vi delar inte regeringens ståndpunkt med de föreslagna ändringarna att ett ökat skogsbruk med dagens skogsbruksmetoder är en klimatåtgärd.  </w:t>
      </w:r>
    </w:p>
    <w:p w:rsidR="00614F33" w:rsidRPr="00E64DBE" w:rsidRDefault="00614F33" w:rsidP="00614F33">
      <w:pPr>
        <w:rPr>
          <w:sz w:val="22"/>
          <w:szCs w:val="22"/>
        </w:rPr>
      </w:pPr>
    </w:p>
    <w:p w:rsidR="00614F33" w:rsidRPr="00E64DBE" w:rsidRDefault="00614F33" w:rsidP="00614F33">
      <w:pPr>
        <w:rPr>
          <w:sz w:val="22"/>
          <w:szCs w:val="22"/>
        </w:rPr>
      </w:pPr>
      <w:r w:rsidRPr="00E64DBE">
        <w:rPr>
          <w:sz w:val="22"/>
          <w:szCs w:val="22"/>
        </w:rPr>
        <w:t>Vi anser också att regeringen i sin ståndpunkt tydligare behöver ha med att målet är ett hållbart skogsbruk i hela EU, inkl. Sverige.  </w:t>
      </w:r>
    </w:p>
    <w:p w:rsidR="00614F33" w:rsidRPr="00E64DBE" w:rsidRDefault="00614F33" w:rsidP="00614F33">
      <w:pPr>
        <w:rPr>
          <w:sz w:val="22"/>
          <w:szCs w:val="22"/>
        </w:rPr>
      </w:pPr>
    </w:p>
    <w:p w:rsidR="00614F33" w:rsidRPr="00E64DBE" w:rsidRDefault="00614F33" w:rsidP="00614F33">
      <w:pPr>
        <w:tabs>
          <w:tab w:val="left" w:pos="1701"/>
        </w:tabs>
        <w:rPr>
          <w:b/>
          <w:bCs/>
          <w:color w:val="000000"/>
          <w:sz w:val="22"/>
          <w:szCs w:val="22"/>
        </w:rPr>
      </w:pPr>
      <w:r w:rsidRPr="00E64DBE">
        <w:rPr>
          <w:b/>
          <w:sz w:val="22"/>
          <w:szCs w:val="22"/>
        </w:rPr>
        <w:t>MP-</w:t>
      </w:r>
      <w:r w:rsidRPr="00E64DBE">
        <w:rPr>
          <w:b/>
          <w:bCs/>
          <w:color w:val="000000"/>
          <w:sz w:val="22"/>
          <w:szCs w:val="22"/>
        </w:rPr>
        <w:t>ledamoten anmälde följande avvikande ståndpunkt:</w:t>
      </w:r>
    </w:p>
    <w:p w:rsidR="00614F33" w:rsidRPr="00E64DBE" w:rsidRDefault="00614F33" w:rsidP="00614F33">
      <w:pPr>
        <w:rPr>
          <w:sz w:val="22"/>
          <w:szCs w:val="22"/>
        </w:rPr>
      </w:pPr>
    </w:p>
    <w:p w:rsidR="00614F33" w:rsidRPr="00E64DBE" w:rsidRDefault="00614F33" w:rsidP="00614F33">
      <w:pPr>
        <w:rPr>
          <w:strike/>
          <w:sz w:val="22"/>
          <w:szCs w:val="22"/>
        </w:rPr>
      </w:pPr>
      <w:r w:rsidRPr="00E64DBE">
        <w:rPr>
          <w:color w:val="FF0000"/>
          <w:sz w:val="22"/>
          <w:szCs w:val="22"/>
        </w:rPr>
        <w:t xml:space="preserve">Regeringen delar kommissionens bedömning. </w:t>
      </w:r>
      <w:r w:rsidRPr="00E64DBE">
        <w:rPr>
          <w:strike/>
          <w:sz w:val="22"/>
          <w:szCs w:val="22"/>
        </w:rPr>
        <w:t xml:space="preserve">att den negativa trenden med </w:t>
      </w:r>
    </w:p>
    <w:p w:rsidR="00614F33" w:rsidRPr="00E64DBE" w:rsidRDefault="00614F33" w:rsidP="00614F33">
      <w:pPr>
        <w:rPr>
          <w:strike/>
          <w:sz w:val="22"/>
          <w:szCs w:val="22"/>
        </w:rPr>
      </w:pPr>
      <w:r w:rsidRPr="00E64DBE">
        <w:rPr>
          <w:strike/>
          <w:sz w:val="22"/>
          <w:szCs w:val="22"/>
        </w:rPr>
        <w:t xml:space="preserve">en minskad kolsänka inom EU:s LULUCF-sektor behöver motverkas som </w:t>
      </w:r>
    </w:p>
    <w:p w:rsidR="00614F33" w:rsidRPr="00E64DBE" w:rsidRDefault="00614F33" w:rsidP="00614F33">
      <w:pPr>
        <w:rPr>
          <w:strike/>
          <w:sz w:val="22"/>
          <w:szCs w:val="22"/>
        </w:rPr>
      </w:pPr>
      <w:r w:rsidRPr="00E64DBE">
        <w:rPr>
          <w:strike/>
          <w:sz w:val="22"/>
          <w:szCs w:val="22"/>
        </w:rPr>
        <w:t xml:space="preserve">ett led i att nå det långsiktiga klimatneutralitetsmålet. Regeringen konstaterar </w:t>
      </w:r>
    </w:p>
    <w:p w:rsidR="00614F33" w:rsidRPr="00E64DBE" w:rsidRDefault="00614F33" w:rsidP="00614F33">
      <w:pPr>
        <w:rPr>
          <w:strike/>
          <w:sz w:val="22"/>
          <w:szCs w:val="22"/>
        </w:rPr>
      </w:pPr>
      <w:r w:rsidRPr="00E64DBE">
        <w:rPr>
          <w:strike/>
          <w:sz w:val="22"/>
          <w:szCs w:val="22"/>
        </w:rPr>
        <w:t xml:space="preserve">vidare att de minskningar som gjorts på EU-nivå i skogarnas nettokolinbindning det senaste decenniet inte främst beror på minskad </w:t>
      </w:r>
    </w:p>
    <w:p w:rsidR="00614F33" w:rsidRPr="00E64DBE" w:rsidRDefault="00614F33" w:rsidP="00614F33">
      <w:pPr>
        <w:rPr>
          <w:strike/>
          <w:sz w:val="22"/>
          <w:szCs w:val="22"/>
        </w:rPr>
      </w:pPr>
      <w:r w:rsidRPr="00E64DBE">
        <w:rPr>
          <w:strike/>
          <w:sz w:val="22"/>
          <w:szCs w:val="22"/>
        </w:rPr>
        <w:t xml:space="preserve">kolinbindning i Sverige. Sverige bör därför inte få ett oproportionerligt högt </w:t>
      </w:r>
    </w:p>
    <w:p w:rsidR="00614F33" w:rsidRPr="00E64DBE" w:rsidRDefault="00614F33" w:rsidP="00614F33">
      <w:pPr>
        <w:rPr>
          <w:strike/>
          <w:sz w:val="22"/>
          <w:szCs w:val="22"/>
        </w:rPr>
      </w:pPr>
      <w:r w:rsidRPr="00E64DBE">
        <w:rPr>
          <w:strike/>
          <w:sz w:val="22"/>
          <w:szCs w:val="22"/>
        </w:rPr>
        <w:t xml:space="preserve">åtagande för att kompensera för minskade upptag i andra länder. Regeringen </w:t>
      </w:r>
    </w:p>
    <w:p w:rsidR="00614F33" w:rsidRPr="00E64DBE" w:rsidRDefault="00614F33" w:rsidP="00614F33">
      <w:pPr>
        <w:rPr>
          <w:strike/>
          <w:sz w:val="22"/>
          <w:szCs w:val="22"/>
        </w:rPr>
      </w:pPr>
      <w:r w:rsidRPr="00E64DBE">
        <w:rPr>
          <w:strike/>
          <w:sz w:val="22"/>
          <w:szCs w:val="22"/>
        </w:rPr>
        <w:t xml:space="preserve">anser också att målkonstruktionen bör utryckas i relativa mål i stället för ett </w:t>
      </w:r>
    </w:p>
    <w:p w:rsidR="00614F33" w:rsidRPr="00E64DBE" w:rsidRDefault="00614F33" w:rsidP="00614F33">
      <w:pPr>
        <w:rPr>
          <w:strike/>
          <w:sz w:val="22"/>
          <w:szCs w:val="22"/>
        </w:rPr>
      </w:pPr>
      <w:r w:rsidRPr="00E64DBE">
        <w:rPr>
          <w:strike/>
          <w:sz w:val="22"/>
          <w:szCs w:val="22"/>
        </w:rPr>
        <w:t xml:space="preserve">absolut mål. Därtill bör medlemsstaternas åtaganden utöver nuvarande </w:t>
      </w:r>
    </w:p>
    <w:p w:rsidR="00614F33" w:rsidRPr="00E64DBE" w:rsidRDefault="00614F33" w:rsidP="00614F33">
      <w:pPr>
        <w:rPr>
          <w:strike/>
          <w:sz w:val="22"/>
          <w:szCs w:val="22"/>
        </w:rPr>
      </w:pPr>
      <w:r w:rsidRPr="00E64DBE">
        <w:rPr>
          <w:strike/>
          <w:sz w:val="22"/>
          <w:szCs w:val="22"/>
        </w:rPr>
        <w:t xml:space="preserve">regelverk vara indikativa för att exempelvis beakta osäkerhet och variationer </w:t>
      </w:r>
    </w:p>
    <w:p w:rsidR="00614F33" w:rsidRPr="00E64DBE" w:rsidRDefault="00614F33" w:rsidP="00614F33">
      <w:pPr>
        <w:rPr>
          <w:strike/>
          <w:sz w:val="22"/>
          <w:szCs w:val="22"/>
        </w:rPr>
      </w:pPr>
      <w:r w:rsidRPr="00E64DBE">
        <w:rPr>
          <w:strike/>
          <w:sz w:val="22"/>
          <w:szCs w:val="22"/>
        </w:rPr>
        <w:t>samt att relevanta åtgärder inte nödvändigtvis ger effekt redan till 2030.</w:t>
      </w:r>
    </w:p>
    <w:p w:rsidR="00614F33" w:rsidRPr="00E64DBE" w:rsidRDefault="00614F33" w:rsidP="00614F33">
      <w:pPr>
        <w:rPr>
          <w:strike/>
          <w:sz w:val="22"/>
          <w:szCs w:val="22"/>
        </w:rPr>
      </w:pPr>
      <w:r w:rsidRPr="00E64DBE">
        <w:rPr>
          <w:strike/>
          <w:sz w:val="22"/>
          <w:szCs w:val="22"/>
        </w:rPr>
        <w:t>Regeringen anser att sektorns långsiktiga klimatnytta och långa ledtider</w:t>
      </w:r>
    </w:p>
    <w:p w:rsidR="00614F33" w:rsidRPr="00E64DBE" w:rsidRDefault="00614F33" w:rsidP="00614F33">
      <w:pPr>
        <w:rPr>
          <w:strike/>
          <w:sz w:val="22"/>
          <w:szCs w:val="22"/>
        </w:rPr>
      </w:pPr>
      <w:r w:rsidRPr="00E64DBE">
        <w:rPr>
          <w:strike/>
          <w:sz w:val="22"/>
          <w:szCs w:val="22"/>
        </w:rPr>
        <w:t>bättre bör beaktas i förordningens utformning.</w:t>
      </w:r>
    </w:p>
    <w:p w:rsidR="00614F33" w:rsidRPr="00E64DBE" w:rsidRDefault="00614F33" w:rsidP="00614F33">
      <w:pPr>
        <w:rPr>
          <w:strike/>
          <w:sz w:val="22"/>
          <w:szCs w:val="22"/>
        </w:rPr>
      </w:pPr>
      <w:r w:rsidRPr="00E64DBE">
        <w:rPr>
          <w:strike/>
          <w:sz w:val="22"/>
          <w:szCs w:val="22"/>
        </w:rPr>
        <w:t xml:space="preserve">Givet de stora osäkerheterna och långa ledtider i sektorn är regeringen kritisk </w:t>
      </w:r>
    </w:p>
    <w:p w:rsidR="00614F33" w:rsidRPr="00E64DBE" w:rsidRDefault="00614F33" w:rsidP="00614F33">
      <w:pPr>
        <w:rPr>
          <w:strike/>
          <w:sz w:val="22"/>
          <w:szCs w:val="22"/>
        </w:rPr>
      </w:pPr>
      <w:r w:rsidRPr="00E64DBE">
        <w:rPr>
          <w:strike/>
          <w:sz w:val="22"/>
          <w:szCs w:val="22"/>
        </w:rPr>
        <w:t xml:space="preserve">till bindande mål för ökade kolsänkor och dess föreslagna ansvarsfördelning. </w:t>
      </w:r>
    </w:p>
    <w:p w:rsidR="00614F33" w:rsidRPr="00E64DBE" w:rsidRDefault="00614F33" w:rsidP="00614F33">
      <w:pPr>
        <w:rPr>
          <w:strike/>
          <w:sz w:val="22"/>
          <w:szCs w:val="22"/>
        </w:rPr>
      </w:pPr>
      <w:r w:rsidRPr="00E64DBE">
        <w:rPr>
          <w:strike/>
          <w:sz w:val="22"/>
          <w:szCs w:val="22"/>
        </w:rPr>
        <w:t xml:space="preserve">Lagstiftningen får inte utformas så att det kompenserar för lägre ambitioner i </w:t>
      </w:r>
    </w:p>
    <w:p w:rsidR="00614F33" w:rsidRPr="00E64DBE" w:rsidRDefault="00614F33" w:rsidP="00614F33">
      <w:pPr>
        <w:rPr>
          <w:strike/>
          <w:sz w:val="22"/>
          <w:szCs w:val="22"/>
        </w:rPr>
      </w:pPr>
      <w:r w:rsidRPr="00E64DBE">
        <w:rPr>
          <w:strike/>
          <w:sz w:val="22"/>
          <w:szCs w:val="22"/>
        </w:rPr>
        <w:t xml:space="preserve">andra medlemsstater eller inom andra sektorer. Regeringen framhåller att </w:t>
      </w:r>
    </w:p>
    <w:p w:rsidR="00614F33" w:rsidRPr="00E64DBE" w:rsidRDefault="00614F33" w:rsidP="00614F33">
      <w:pPr>
        <w:rPr>
          <w:strike/>
          <w:sz w:val="22"/>
          <w:szCs w:val="22"/>
        </w:rPr>
      </w:pPr>
      <w:r w:rsidRPr="00E64DBE">
        <w:rPr>
          <w:strike/>
          <w:sz w:val="22"/>
          <w:szCs w:val="22"/>
        </w:rPr>
        <w:t xml:space="preserve">ytterligare analys krävs på medlemsstatsnivå för vilka åtaganden som på ett </w:t>
      </w:r>
    </w:p>
    <w:p w:rsidR="00614F33" w:rsidRPr="00E64DBE" w:rsidRDefault="00614F33" w:rsidP="00614F33">
      <w:pPr>
        <w:rPr>
          <w:strike/>
          <w:sz w:val="22"/>
          <w:szCs w:val="22"/>
        </w:rPr>
      </w:pPr>
      <w:r w:rsidRPr="00E64DBE">
        <w:rPr>
          <w:strike/>
          <w:sz w:val="22"/>
          <w:szCs w:val="22"/>
        </w:rPr>
        <w:t xml:space="preserve">samhällsekonomiskt effektivt sätt bidrar till klimatneutralitetsmålet 2050. </w:t>
      </w:r>
    </w:p>
    <w:p w:rsidR="00614F33" w:rsidRPr="00E64DBE" w:rsidRDefault="00614F33" w:rsidP="00614F33">
      <w:pPr>
        <w:rPr>
          <w:strike/>
          <w:sz w:val="22"/>
          <w:szCs w:val="22"/>
        </w:rPr>
      </w:pPr>
      <w:r w:rsidRPr="00E64DBE">
        <w:rPr>
          <w:strike/>
          <w:sz w:val="22"/>
          <w:szCs w:val="22"/>
        </w:rPr>
        <w:t xml:space="preserve">Regeringen konstaterar därtill att skogspolitiken är nationell kompetens och </w:t>
      </w:r>
    </w:p>
    <w:p w:rsidR="00614F33" w:rsidRPr="00E64DBE" w:rsidRDefault="00614F33" w:rsidP="00614F33">
      <w:pPr>
        <w:rPr>
          <w:strike/>
          <w:sz w:val="22"/>
          <w:szCs w:val="22"/>
        </w:rPr>
      </w:pPr>
      <w:r w:rsidRPr="00E64DBE">
        <w:rPr>
          <w:strike/>
          <w:sz w:val="22"/>
          <w:szCs w:val="22"/>
        </w:rPr>
        <w:t xml:space="preserve">att utformning av nya förslag måste vara i linje med ett hållbart aktivt </w:t>
      </w:r>
    </w:p>
    <w:p w:rsidR="00614F33" w:rsidRPr="00E64DBE" w:rsidRDefault="00614F33" w:rsidP="00614F33">
      <w:pPr>
        <w:rPr>
          <w:strike/>
          <w:sz w:val="22"/>
          <w:szCs w:val="22"/>
        </w:rPr>
      </w:pPr>
      <w:r w:rsidRPr="00E64DBE">
        <w:rPr>
          <w:strike/>
          <w:sz w:val="22"/>
          <w:szCs w:val="22"/>
        </w:rPr>
        <w:t xml:space="preserve">skogsbruk. Regeringen anser att det svenska åtagandet ska sänkas till en nivå </w:t>
      </w:r>
    </w:p>
    <w:p w:rsidR="00614F33" w:rsidRPr="00E64DBE" w:rsidRDefault="00614F33" w:rsidP="00614F33">
      <w:pPr>
        <w:rPr>
          <w:strike/>
          <w:sz w:val="22"/>
          <w:szCs w:val="22"/>
        </w:rPr>
      </w:pPr>
      <w:r w:rsidRPr="00E64DBE">
        <w:rPr>
          <w:strike/>
          <w:sz w:val="22"/>
          <w:szCs w:val="22"/>
        </w:rPr>
        <w:t xml:space="preserve">som möjliggör det vi nationellt bedömer som en långsiktigt hållbar </w:t>
      </w:r>
    </w:p>
    <w:p w:rsidR="00614F33" w:rsidRPr="00E64DBE" w:rsidRDefault="00614F33" w:rsidP="00614F33">
      <w:pPr>
        <w:rPr>
          <w:strike/>
          <w:sz w:val="22"/>
          <w:szCs w:val="22"/>
        </w:rPr>
      </w:pPr>
      <w:r w:rsidRPr="00E64DBE">
        <w:rPr>
          <w:strike/>
          <w:sz w:val="22"/>
          <w:szCs w:val="22"/>
        </w:rPr>
        <w:t>avverkningsnivå.</w:t>
      </w:r>
    </w:p>
    <w:p w:rsidR="00614F33" w:rsidRPr="00E64DBE" w:rsidRDefault="00614F33" w:rsidP="00614F33">
      <w:pPr>
        <w:rPr>
          <w:strike/>
          <w:sz w:val="22"/>
          <w:szCs w:val="22"/>
        </w:rPr>
      </w:pPr>
      <w:r w:rsidRPr="00E64DBE">
        <w:rPr>
          <w:strike/>
          <w:sz w:val="22"/>
          <w:szCs w:val="22"/>
        </w:rPr>
        <w:t xml:space="preserve">Regeringen anser vidare att infångning och permanent lagring av biogen </w:t>
      </w:r>
    </w:p>
    <w:p w:rsidR="00614F33" w:rsidRPr="00E64DBE" w:rsidRDefault="00614F33" w:rsidP="00614F33">
      <w:pPr>
        <w:rPr>
          <w:strike/>
          <w:sz w:val="22"/>
          <w:szCs w:val="22"/>
        </w:rPr>
      </w:pPr>
      <w:r w:rsidRPr="00E64DBE">
        <w:rPr>
          <w:strike/>
          <w:sz w:val="22"/>
          <w:szCs w:val="22"/>
        </w:rPr>
        <w:t xml:space="preserve">koldioxid (bio-CCS) ska kunna tillgodoräknas som upptag inom LULUCF. </w:t>
      </w:r>
    </w:p>
    <w:p w:rsidR="00614F33" w:rsidRPr="00E64DBE" w:rsidRDefault="00614F33" w:rsidP="00614F33">
      <w:pPr>
        <w:rPr>
          <w:strike/>
          <w:sz w:val="22"/>
          <w:szCs w:val="22"/>
        </w:rPr>
      </w:pPr>
      <w:r w:rsidRPr="00E64DBE">
        <w:rPr>
          <w:strike/>
          <w:sz w:val="22"/>
          <w:szCs w:val="22"/>
        </w:rPr>
        <w:t xml:space="preserve">Ekonomiska incitament för bio-CCS fram till 2030 bör inrättas inom EU </w:t>
      </w:r>
    </w:p>
    <w:p w:rsidR="00614F33" w:rsidRPr="00E64DBE" w:rsidRDefault="00614F33" w:rsidP="00614F33">
      <w:pPr>
        <w:rPr>
          <w:strike/>
          <w:sz w:val="22"/>
          <w:szCs w:val="22"/>
        </w:rPr>
      </w:pPr>
      <w:r w:rsidRPr="00E64DBE">
        <w:rPr>
          <w:strike/>
          <w:sz w:val="22"/>
          <w:szCs w:val="22"/>
        </w:rPr>
        <w:t xml:space="preserve">ETS. </w:t>
      </w:r>
    </w:p>
    <w:p w:rsidR="00614F33" w:rsidRPr="00E64DBE" w:rsidRDefault="00614F33" w:rsidP="00614F33">
      <w:pPr>
        <w:rPr>
          <w:strike/>
          <w:sz w:val="22"/>
          <w:szCs w:val="22"/>
        </w:rPr>
      </w:pPr>
      <w:r w:rsidRPr="00E64DBE">
        <w:rPr>
          <w:sz w:val="22"/>
          <w:szCs w:val="22"/>
        </w:rPr>
        <w:t xml:space="preserve">Regeringen ser </w:t>
      </w:r>
      <w:r w:rsidRPr="00E64DBE">
        <w:rPr>
          <w:strike/>
          <w:sz w:val="22"/>
          <w:szCs w:val="22"/>
        </w:rPr>
        <w:t xml:space="preserve">betydande risker i att eftersträva klimatneutralitet i en specifik </w:t>
      </w:r>
    </w:p>
    <w:p w:rsidR="005E453F" w:rsidRPr="00E64DBE" w:rsidRDefault="00614F33" w:rsidP="005E453F">
      <w:pPr>
        <w:rPr>
          <w:strike/>
          <w:sz w:val="22"/>
          <w:szCs w:val="22"/>
        </w:rPr>
      </w:pPr>
      <w:r w:rsidRPr="00E64DBE">
        <w:rPr>
          <w:strike/>
          <w:sz w:val="22"/>
          <w:szCs w:val="22"/>
        </w:rPr>
        <w:t xml:space="preserve">sektor på EU-nivå och framhåller att klimatneutralitetsmål för en utvidgad </w:t>
      </w:r>
      <w:r w:rsidR="005E453F" w:rsidRPr="00E64DBE">
        <w:rPr>
          <w:strike/>
          <w:sz w:val="22"/>
          <w:szCs w:val="22"/>
        </w:rPr>
        <w:t xml:space="preserve">marksektor ska sättas på nationell nivå inom respektive medlemsstat i stället </w:t>
      </w:r>
    </w:p>
    <w:p w:rsidR="005E453F" w:rsidRPr="00E64DBE" w:rsidRDefault="005E453F" w:rsidP="005E453F">
      <w:pPr>
        <w:rPr>
          <w:strike/>
          <w:sz w:val="22"/>
          <w:szCs w:val="22"/>
        </w:rPr>
      </w:pPr>
      <w:r w:rsidRPr="00E64DBE">
        <w:rPr>
          <w:strike/>
          <w:sz w:val="22"/>
          <w:szCs w:val="22"/>
        </w:rPr>
        <w:t xml:space="preserve">för på EU-nivå. Om klimatneutralitetsmålet sätts på EU-nivå är regeringen </w:t>
      </w:r>
    </w:p>
    <w:p w:rsidR="005E453F" w:rsidRPr="00E64DBE" w:rsidRDefault="005E453F" w:rsidP="005E453F">
      <w:pPr>
        <w:rPr>
          <w:strike/>
          <w:sz w:val="22"/>
          <w:szCs w:val="22"/>
        </w:rPr>
      </w:pPr>
      <w:r w:rsidRPr="00E64DBE">
        <w:rPr>
          <w:strike/>
          <w:sz w:val="22"/>
          <w:szCs w:val="22"/>
        </w:rPr>
        <w:t xml:space="preserve">skeptisk mot en utvidgad marksektor. En ny sektorsindelning behöver </w:t>
      </w:r>
    </w:p>
    <w:p w:rsidR="005E453F" w:rsidRPr="00E64DBE" w:rsidRDefault="005E453F" w:rsidP="005E453F">
      <w:pPr>
        <w:rPr>
          <w:strike/>
          <w:sz w:val="22"/>
          <w:szCs w:val="22"/>
        </w:rPr>
      </w:pPr>
      <w:r w:rsidRPr="00E64DBE">
        <w:rPr>
          <w:strike/>
          <w:sz w:val="22"/>
          <w:szCs w:val="22"/>
        </w:rPr>
        <w:t xml:space="preserve">analyseras noga och ska bidra till unionens långsiktiga mål, regeringen anser </w:t>
      </w:r>
    </w:p>
    <w:p w:rsidR="005E453F" w:rsidRPr="00E64DBE" w:rsidRDefault="005E453F" w:rsidP="005E453F">
      <w:pPr>
        <w:rPr>
          <w:strike/>
          <w:sz w:val="22"/>
          <w:szCs w:val="22"/>
        </w:rPr>
      </w:pPr>
      <w:r w:rsidRPr="00E64DBE">
        <w:rPr>
          <w:strike/>
          <w:sz w:val="22"/>
          <w:szCs w:val="22"/>
        </w:rPr>
        <w:t xml:space="preserve">därför att vidare analys krävs. Regeringen bedömer därför att en utvidgad </w:t>
      </w:r>
    </w:p>
    <w:p w:rsidR="005E453F" w:rsidRPr="00E64DBE" w:rsidRDefault="005E453F" w:rsidP="005E453F">
      <w:pPr>
        <w:rPr>
          <w:strike/>
          <w:sz w:val="22"/>
          <w:szCs w:val="22"/>
        </w:rPr>
      </w:pPr>
      <w:r w:rsidRPr="00E64DBE">
        <w:rPr>
          <w:strike/>
          <w:sz w:val="22"/>
          <w:szCs w:val="22"/>
        </w:rPr>
        <w:t xml:space="preserve">marksektor inte bör beslutas i den pågående revideringen av </w:t>
      </w:r>
      <w:proofErr w:type="spellStart"/>
      <w:r w:rsidRPr="00E64DBE">
        <w:rPr>
          <w:strike/>
          <w:sz w:val="22"/>
          <w:szCs w:val="22"/>
        </w:rPr>
        <w:t>LULUCFförordningen</w:t>
      </w:r>
      <w:proofErr w:type="spellEnd"/>
      <w:r w:rsidRPr="00E64DBE">
        <w:rPr>
          <w:strike/>
          <w:sz w:val="22"/>
          <w:szCs w:val="22"/>
        </w:rPr>
        <w:t>.</w:t>
      </w:r>
    </w:p>
    <w:p w:rsidR="005E453F" w:rsidRPr="00E64DBE" w:rsidRDefault="005E453F" w:rsidP="005E453F">
      <w:pPr>
        <w:rPr>
          <w:color w:val="FF0000"/>
          <w:sz w:val="22"/>
          <w:szCs w:val="22"/>
        </w:rPr>
      </w:pPr>
      <w:r w:rsidRPr="00E64DBE">
        <w:rPr>
          <w:color w:val="FF0000"/>
          <w:sz w:val="22"/>
          <w:szCs w:val="22"/>
        </w:rPr>
        <w:t>att upptaget av växthusgaser måste överstiga utsläppen, detta betyder dock inte att utsläpp och upptag inom LULUCF-sektorn bör slås samman, eftersom möjligheten med att binda in kol inom skogliga ekosystem inte får bromsa nödvändiga utsläppsminskningar. Planerna på att skapa en gemensam sektor för jordbruk, skog och övrig mark bör därför stoppas.</w:t>
      </w:r>
    </w:p>
    <w:p w:rsidR="005E453F" w:rsidRPr="00E64DBE" w:rsidRDefault="005E453F" w:rsidP="005E453F">
      <w:pPr>
        <w:rPr>
          <w:strike/>
          <w:sz w:val="22"/>
          <w:szCs w:val="22"/>
        </w:rPr>
      </w:pPr>
    </w:p>
    <w:p w:rsidR="005E453F" w:rsidRPr="00E64DBE" w:rsidRDefault="005E453F" w:rsidP="005E453F">
      <w:pPr>
        <w:rPr>
          <w:strike/>
          <w:sz w:val="22"/>
          <w:szCs w:val="22"/>
        </w:rPr>
      </w:pPr>
    </w:p>
    <w:p w:rsidR="005E453F" w:rsidRPr="00E64DBE" w:rsidRDefault="005E453F" w:rsidP="005E453F">
      <w:pPr>
        <w:rPr>
          <w:color w:val="FF0000"/>
          <w:sz w:val="22"/>
          <w:szCs w:val="22"/>
        </w:rPr>
      </w:pPr>
      <w:r w:rsidRPr="00E64DBE">
        <w:rPr>
          <w:color w:val="FF0000"/>
          <w:sz w:val="22"/>
          <w:szCs w:val="22"/>
        </w:rPr>
        <w:t>Utvecklad ståndpunkt</w:t>
      </w:r>
    </w:p>
    <w:p w:rsidR="005E453F" w:rsidRPr="00E64DBE" w:rsidRDefault="005E453F" w:rsidP="005E453F">
      <w:pPr>
        <w:rPr>
          <w:color w:val="FF0000"/>
          <w:sz w:val="22"/>
          <w:szCs w:val="22"/>
        </w:rPr>
      </w:pPr>
      <w:r w:rsidRPr="00E64DBE">
        <w:rPr>
          <w:color w:val="FF0000"/>
          <w:sz w:val="22"/>
          <w:szCs w:val="22"/>
        </w:rPr>
        <w:t xml:space="preserve">Det behövs mycket snabba utsläppsminskningar från fossila bränslen för att kunna begränsa den genomsnittliga globala temperaturhöjningen till 1,5 ° C. Det är lika viktigt att också öka avlägsnandet av koldioxid från atmosfären, samt att minimera kolförluster från ekosystemen. </w:t>
      </w:r>
    </w:p>
    <w:p w:rsidR="005E453F" w:rsidRPr="00E64DBE" w:rsidRDefault="005E453F" w:rsidP="005E453F">
      <w:pPr>
        <w:rPr>
          <w:color w:val="FF0000"/>
          <w:sz w:val="22"/>
          <w:szCs w:val="22"/>
        </w:rPr>
      </w:pPr>
      <w:r w:rsidRPr="00E64DBE">
        <w:rPr>
          <w:color w:val="FF0000"/>
          <w:sz w:val="22"/>
          <w:szCs w:val="22"/>
        </w:rPr>
        <w:t>LULUCF-förordningen är av avgörande betydelse i klimatpolitiken för att minska förlusterna och öka upptaget av växthusgaser i ekosystemen. Målet bör vara formulerat som ett absolut mål.</w:t>
      </w:r>
    </w:p>
    <w:p w:rsidR="005E453F" w:rsidRPr="00E64DBE" w:rsidRDefault="005E453F" w:rsidP="005E453F">
      <w:pPr>
        <w:rPr>
          <w:color w:val="FF0000"/>
          <w:sz w:val="22"/>
          <w:szCs w:val="22"/>
        </w:rPr>
      </w:pPr>
      <w:r w:rsidRPr="00E64DBE">
        <w:rPr>
          <w:color w:val="FF0000"/>
          <w:sz w:val="22"/>
          <w:szCs w:val="22"/>
        </w:rPr>
        <w:lastRenderedPageBreak/>
        <w:t>MP anser att ambitionsnivån för ökad kolinlagring kan ökas ytterligare, och att Sverige bör analysera möjligheterna till att göra detta. För Sveriges del finns stora möjligheter till en betydligt större kolsänka redan till 2030, genom olika typer av naturbaserade klimatlösningar och en ökad andel naturnära skogsbruksmetoder.</w:t>
      </w:r>
    </w:p>
    <w:p w:rsidR="005E453F" w:rsidRPr="00E64DBE" w:rsidRDefault="005E453F" w:rsidP="005E453F">
      <w:pPr>
        <w:rPr>
          <w:color w:val="FF0000"/>
          <w:sz w:val="22"/>
          <w:szCs w:val="22"/>
        </w:rPr>
      </w:pPr>
      <w:r w:rsidRPr="00E64DBE">
        <w:rPr>
          <w:color w:val="FF0000"/>
          <w:sz w:val="22"/>
          <w:szCs w:val="22"/>
        </w:rPr>
        <w:t>Det är viktigt att hålla LULUCF-sektorn åtskild från annan markanvändning som exempelvis jordbruket. Därför bör EU stoppa planerna på att skapa en gemensam sektor för jordbruk, skog och övrig mark (AFOLU).</w:t>
      </w:r>
    </w:p>
    <w:p w:rsidR="005E453F" w:rsidRPr="00E64DBE" w:rsidRDefault="005E453F" w:rsidP="005E453F">
      <w:pPr>
        <w:rPr>
          <w:color w:val="FF0000"/>
          <w:sz w:val="22"/>
          <w:szCs w:val="22"/>
        </w:rPr>
      </w:pPr>
      <w:r w:rsidRPr="00E64DBE">
        <w:rPr>
          <w:color w:val="FF0000"/>
          <w:sz w:val="22"/>
          <w:szCs w:val="22"/>
        </w:rPr>
        <w:t>Att öka upptaget av kol i enlighet med EU:s LULUCF-förordning kommer få positiva konsekvenser även på biologisk mångfald om man genomför förordningen på ett bra sätt. Finansiering riktad mot LULUCF-sektorn måste kopplas till tydliga hållbarhetskriterier i relevant lagstiftning för att försäkra sig om att enbart det som gynnar både klimat och biologisk mångfald premieras. Vi anser att LULUCF-förordningen ska gå i linje med EU:s strategi för biologisk mångfald. Detta inkluderar kommande lagstiftning om restaurering, som i sin tur kommer bidra till att uppnå högre LULUCF-mål.</w:t>
      </w:r>
    </w:p>
    <w:p w:rsidR="005E453F" w:rsidRPr="00E64DBE" w:rsidRDefault="005E453F" w:rsidP="005E453F">
      <w:pPr>
        <w:rPr>
          <w:sz w:val="22"/>
          <w:szCs w:val="22"/>
        </w:rPr>
      </w:pPr>
    </w:p>
    <w:p w:rsidR="00614F33" w:rsidRPr="00E64DBE" w:rsidRDefault="00614F33" w:rsidP="00614F33">
      <w:pPr>
        <w:rPr>
          <w:strike/>
          <w:sz w:val="22"/>
          <w:szCs w:val="22"/>
        </w:rPr>
      </w:pPr>
    </w:p>
    <w:p w:rsidR="00F01DB1" w:rsidRPr="00E64DBE" w:rsidRDefault="00F01DB1" w:rsidP="00F01DB1">
      <w:pPr>
        <w:rPr>
          <w:sz w:val="22"/>
          <w:szCs w:val="22"/>
        </w:rPr>
      </w:pPr>
    </w:p>
    <w:p w:rsidR="00F01DB1" w:rsidRPr="00E64DBE" w:rsidRDefault="00F01DB1" w:rsidP="00F01DB1">
      <w:pPr>
        <w:rPr>
          <w:sz w:val="22"/>
          <w:szCs w:val="22"/>
        </w:rPr>
      </w:pPr>
    </w:p>
    <w:p w:rsidR="00F01DB1" w:rsidRPr="00E64DBE" w:rsidRDefault="00F01DB1"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Pr="00E64DBE" w:rsidRDefault="005E453F" w:rsidP="00F01DB1">
      <w:pPr>
        <w:rPr>
          <w:sz w:val="22"/>
          <w:szCs w:val="22"/>
        </w:rPr>
      </w:pPr>
    </w:p>
    <w:p w:rsidR="005E453F" w:rsidRDefault="005E453F" w:rsidP="00F01DB1">
      <w:pPr>
        <w:rPr>
          <w:sz w:val="22"/>
          <w:szCs w:val="22"/>
        </w:rPr>
      </w:pPr>
    </w:p>
    <w:p w:rsidR="00382ED9" w:rsidRDefault="00382ED9" w:rsidP="00F01DB1">
      <w:pPr>
        <w:rPr>
          <w:sz w:val="22"/>
          <w:szCs w:val="22"/>
        </w:rPr>
      </w:pPr>
    </w:p>
    <w:p w:rsidR="00382ED9" w:rsidRDefault="00382ED9" w:rsidP="00F01DB1">
      <w:pPr>
        <w:rPr>
          <w:sz w:val="22"/>
          <w:szCs w:val="22"/>
        </w:rPr>
      </w:pPr>
    </w:p>
    <w:p w:rsidR="00382ED9" w:rsidRDefault="00382ED9" w:rsidP="00F01DB1">
      <w:pPr>
        <w:rPr>
          <w:sz w:val="22"/>
          <w:szCs w:val="22"/>
        </w:rPr>
      </w:pPr>
    </w:p>
    <w:p w:rsidR="00382ED9" w:rsidRDefault="00382ED9" w:rsidP="00F01DB1">
      <w:pPr>
        <w:rPr>
          <w:sz w:val="22"/>
          <w:szCs w:val="22"/>
        </w:rPr>
      </w:pPr>
    </w:p>
    <w:p w:rsidR="00382ED9" w:rsidRDefault="00382ED9" w:rsidP="00F01DB1">
      <w:pPr>
        <w:rPr>
          <w:sz w:val="22"/>
          <w:szCs w:val="22"/>
        </w:rPr>
      </w:pPr>
    </w:p>
    <w:p w:rsidR="00382ED9" w:rsidRDefault="00382ED9" w:rsidP="00F01DB1">
      <w:pPr>
        <w:rPr>
          <w:sz w:val="22"/>
          <w:szCs w:val="22"/>
        </w:rPr>
      </w:pPr>
    </w:p>
    <w:p w:rsidR="00382ED9" w:rsidRDefault="00382ED9" w:rsidP="00F01DB1">
      <w:pPr>
        <w:rPr>
          <w:sz w:val="22"/>
          <w:szCs w:val="22"/>
        </w:rPr>
      </w:pPr>
    </w:p>
    <w:p w:rsidR="00382ED9" w:rsidRPr="00E64DBE" w:rsidRDefault="00382ED9" w:rsidP="00F01DB1">
      <w:pPr>
        <w:rPr>
          <w:sz w:val="22"/>
          <w:szCs w:val="22"/>
        </w:rPr>
      </w:pPr>
    </w:p>
    <w:p w:rsidR="005E453F" w:rsidRPr="00E64DBE" w:rsidRDefault="005E453F" w:rsidP="00F01DB1">
      <w:pPr>
        <w:rPr>
          <w:sz w:val="22"/>
          <w:szCs w:val="22"/>
        </w:rPr>
      </w:pPr>
    </w:p>
    <w:p w:rsidR="00F01DB1" w:rsidRPr="00E64DBE" w:rsidRDefault="00F01DB1" w:rsidP="00F01DB1">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B21CA7" w:rsidRPr="00E64DBE" w:rsidTr="00B40718">
        <w:tc>
          <w:tcPr>
            <w:tcW w:w="6532" w:type="dxa"/>
          </w:tcPr>
          <w:p w:rsidR="00B21CA7" w:rsidRPr="00E64DBE" w:rsidRDefault="00B21CA7" w:rsidP="00B40718">
            <w:pPr>
              <w:tabs>
                <w:tab w:val="left" w:pos="1276"/>
              </w:tabs>
              <w:rPr>
                <w:sz w:val="22"/>
                <w:szCs w:val="22"/>
              </w:rPr>
            </w:pPr>
            <w:r w:rsidRPr="00E64DBE">
              <w:rPr>
                <w:sz w:val="22"/>
                <w:szCs w:val="22"/>
              </w:rPr>
              <w:lastRenderedPageBreak/>
              <w:br w:type="page"/>
              <w:t>MILJÖ- OCH JORDBRUKSUTSKOTTET</w:t>
            </w:r>
          </w:p>
        </w:tc>
        <w:tc>
          <w:tcPr>
            <w:tcW w:w="2206" w:type="dxa"/>
          </w:tcPr>
          <w:p w:rsidR="00B21CA7" w:rsidRPr="00E64DBE" w:rsidRDefault="00B21CA7" w:rsidP="00B40718">
            <w:pPr>
              <w:tabs>
                <w:tab w:val="left" w:pos="1276"/>
              </w:tabs>
              <w:rPr>
                <w:sz w:val="22"/>
                <w:szCs w:val="22"/>
              </w:rPr>
            </w:pPr>
          </w:p>
        </w:tc>
        <w:tc>
          <w:tcPr>
            <w:tcW w:w="2036" w:type="dxa"/>
          </w:tcPr>
          <w:p w:rsidR="00B21CA7" w:rsidRPr="00E64DBE" w:rsidRDefault="00B21CA7" w:rsidP="00B40718">
            <w:pPr>
              <w:tabs>
                <w:tab w:val="left" w:pos="1276"/>
              </w:tabs>
              <w:ind w:right="-212"/>
              <w:rPr>
                <w:b/>
                <w:sz w:val="22"/>
                <w:szCs w:val="22"/>
              </w:rPr>
            </w:pPr>
            <w:r w:rsidRPr="00E64DBE">
              <w:rPr>
                <w:b/>
                <w:sz w:val="22"/>
                <w:szCs w:val="22"/>
              </w:rPr>
              <w:t>Bilaga 4</w:t>
            </w:r>
          </w:p>
          <w:p w:rsidR="00B21CA7" w:rsidRPr="00E64DBE" w:rsidRDefault="00B21CA7" w:rsidP="00B40718">
            <w:pPr>
              <w:tabs>
                <w:tab w:val="left" w:pos="1276"/>
              </w:tabs>
              <w:ind w:right="-212"/>
              <w:rPr>
                <w:sz w:val="22"/>
                <w:szCs w:val="22"/>
              </w:rPr>
            </w:pPr>
            <w:r w:rsidRPr="00E64DBE">
              <w:rPr>
                <w:sz w:val="22"/>
                <w:szCs w:val="22"/>
              </w:rPr>
              <w:t>till protokoll</w:t>
            </w:r>
          </w:p>
          <w:p w:rsidR="00B21CA7" w:rsidRPr="00E64DBE" w:rsidRDefault="00B21CA7" w:rsidP="00B40718">
            <w:pPr>
              <w:tabs>
                <w:tab w:val="left" w:pos="1276"/>
              </w:tabs>
              <w:ind w:right="-212"/>
              <w:rPr>
                <w:b/>
                <w:sz w:val="22"/>
                <w:szCs w:val="22"/>
              </w:rPr>
            </w:pPr>
            <w:r w:rsidRPr="00E64DBE">
              <w:rPr>
                <w:sz w:val="22"/>
                <w:szCs w:val="22"/>
              </w:rPr>
              <w:t>2021/22:</w:t>
            </w:r>
            <w:r w:rsidR="005E453F" w:rsidRPr="00E64DBE">
              <w:rPr>
                <w:sz w:val="22"/>
                <w:szCs w:val="22"/>
              </w:rPr>
              <w:t>40</w:t>
            </w:r>
          </w:p>
        </w:tc>
      </w:tr>
      <w:tr w:rsidR="00B21CA7" w:rsidRPr="00E64DBE" w:rsidTr="00B40718">
        <w:tc>
          <w:tcPr>
            <w:tcW w:w="6532" w:type="dxa"/>
          </w:tcPr>
          <w:p w:rsidR="00B21CA7" w:rsidRPr="00E64DBE" w:rsidRDefault="00B21CA7" w:rsidP="00B40718">
            <w:pPr>
              <w:tabs>
                <w:tab w:val="left" w:pos="1276"/>
              </w:tabs>
              <w:rPr>
                <w:sz w:val="22"/>
                <w:szCs w:val="22"/>
              </w:rPr>
            </w:pPr>
          </w:p>
        </w:tc>
        <w:tc>
          <w:tcPr>
            <w:tcW w:w="2206" w:type="dxa"/>
          </w:tcPr>
          <w:p w:rsidR="00B21CA7" w:rsidRPr="00E64DBE" w:rsidRDefault="00B21CA7" w:rsidP="00B40718">
            <w:pPr>
              <w:tabs>
                <w:tab w:val="left" w:pos="1276"/>
              </w:tabs>
              <w:rPr>
                <w:sz w:val="22"/>
                <w:szCs w:val="22"/>
              </w:rPr>
            </w:pPr>
          </w:p>
        </w:tc>
        <w:tc>
          <w:tcPr>
            <w:tcW w:w="2036" w:type="dxa"/>
          </w:tcPr>
          <w:p w:rsidR="00B21CA7" w:rsidRPr="00E64DBE" w:rsidRDefault="00B21CA7" w:rsidP="00B40718">
            <w:pPr>
              <w:tabs>
                <w:tab w:val="left" w:pos="1276"/>
              </w:tabs>
              <w:ind w:right="-212"/>
              <w:rPr>
                <w:b/>
                <w:sz w:val="22"/>
                <w:szCs w:val="22"/>
              </w:rPr>
            </w:pPr>
          </w:p>
        </w:tc>
      </w:tr>
    </w:tbl>
    <w:p w:rsidR="00B21CA7" w:rsidRPr="00E64DBE" w:rsidRDefault="00B21CA7" w:rsidP="00B21CA7">
      <w:pPr>
        <w:rPr>
          <w:sz w:val="22"/>
          <w:szCs w:val="22"/>
        </w:rPr>
      </w:pPr>
    </w:p>
    <w:p w:rsidR="005E453F" w:rsidRPr="00E64DBE" w:rsidRDefault="005E453F" w:rsidP="005E453F">
      <w:pPr>
        <w:rPr>
          <w:b/>
          <w:sz w:val="22"/>
          <w:szCs w:val="22"/>
        </w:rPr>
      </w:pPr>
      <w:r w:rsidRPr="00E64DBE">
        <w:rPr>
          <w:b/>
          <w:snapToGrid w:val="0"/>
          <w:sz w:val="22"/>
          <w:szCs w:val="22"/>
        </w:rPr>
        <w:t xml:space="preserve">Rådets dagordningspunkt 5. </w:t>
      </w:r>
      <w:r w:rsidRPr="00E64DBE">
        <w:rPr>
          <w:b/>
          <w:sz w:val="22"/>
          <w:szCs w:val="22"/>
        </w:rPr>
        <w:t xml:space="preserve">Situationen på jordbruksmarknaderna, särskilt efter invasionen av Ukraina </w:t>
      </w:r>
    </w:p>
    <w:p w:rsidR="005E453F" w:rsidRPr="00E64DBE" w:rsidRDefault="005E453F" w:rsidP="005E453F">
      <w:pPr>
        <w:rPr>
          <w:sz w:val="22"/>
          <w:szCs w:val="22"/>
        </w:rPr>
      </w:pPr>
    </w:p>
    <w:p w:rsidR="005E453F" w:rsidRPr="00E64DBE" w:rsidRDefault="005E453F" w:rsidP="005E453F">
      <w:pPr>
        <w:tabs>
          <w:tab w:val="left" w:pos="1701"/>
        </w:tabs>
        <w:rPr>
          <w:b/>
          <w:bCs/>
          <w:color w:val="000000"/>
          <w:sz w:val="22"/>
          <w:szCs w:val="22"/>
        </w:rPr>
      </w:pPr>
      <w:r w:rsidRPr="00E64DBE">
        <w:rPr>
          <w:b/>
          <w:sz w:val="22"/>
          <w:szCs w:val="22"/>
        </w:rPr>
        <w:t>C-</w:t>
      </w:r>
      <w:r w:rsidRPr="00E64DBE">
        <w:rPr>
          <w:b/>
          <w:bCs/>
          <w:color w:val="000000"/>
          <w:sz w:val="22"/>
          <w:szCs w:val="22"/>
        </w:rPr>
        <w:t>ledamoten anmälde följande avvikande ståndpunkt:</w:t>
      </w:r>
    </w:p>
    <w:p w:rsidR="005E453F" w:rsidRPr="00E64DBE" w:rsidRDefault="005E453F" w:rsidP="005E453F">
      <w:pPr>
        <w:tabs>
          <w:tab w:val="left" w:pos="1701"/>
        </w:tabs>
        <w:rPr>
          <w:b/>
          <w:bCs/>
          <w:color w:val="000000"/>
          <w:sz w:val="22"/>
          <w:szCs w:val="22"/>
        </w:rPr>
      </w:pPr>
    </w:p>
    <w:p w:rsidR="005E453F" w:rsidRPr="00E64DBE" w:rsidRDefault="005E453F" w:rsidP="005E453F">
      <w:pPr>
        <w:widowControl/>
        <w:autoSpaceDE w:val="0"/>
        <w:autoSpaceDN w:val="0"/>
        <w:adjustRightInd w:val="0"/>
        <w:rPr>
          <w:sz w:val="22"/>
          <w:szCs w:val="22"/>
        </w:rPr>
      </w:pPr>
      <w:r w:rsidRPr="00E64DBE">
        <w:rPr>
          <w:sz w:val="22"/>
          <w:szCs w:val="22"/>
        </w:rPr>
        <w:t>Regeringen efterfrågar ytterligare åtgärder, såsom exempelvis att möjliggöra för gruppundantag inom statsstödsregelverket.</w:t>
      </w:r>
      <w:r w:rsidRPr="00E64DBE">
        <w:rPr>
          <w:sz w:val="22"/>
          <w:szCs w:val="22"/>
        </w:rPr>
        <w:br/>
      </w:r>
    </w:p>
    <w:p w:rsidR="005E453F" w:rsidRPr="00E64DBE" w:rsidRDefault="005E453F" w:rsidP="005E453F">
      <w:pPr>
        <w:tabs>
          <w:tab w:val="left" w:pos="1701"/>
        </w:tabs>
        <w:rPr>
          <w:b/>
          <w:bCs/>
          <w:color w:val="000000"/>
          <w:sz w:val="22"/>
          <w:szCs w:val="22"/>
        </w:rPr>
      </w:pPr>
      <w:r w:rsidRPr="00E64DBE">
        <w:rPr>
          <w:b/>
          <w:sz w:val="22"/>
          <w:szCs w:val="22"/>
        </w:rPr>
        <w:t xml:space="preserve">MP-ledamoten </w:t>
      </w:r>
      <w:r w:rsidRPr="00E64DBE">
        <w:rPr>
          <w:b/>
          <w:bCs/>
          <w:color w:val="000000"/>
          <w:sz w:val="22"/>
          <w:szCs w:val="22"/>
        </w:rPr>
        <w:t>anmälde följande avvikande ståndpunkt:</w:t>
      </w:r>
    </w:p>
    <w:p w:rsidR="005E453F" w:rsidRPr="00E64DBE" w:rsidRDefault="005E453F" w:rsidP="005E453F">
      <w:pPr>
        <w:widowControl/>
        <w:autoSpaceDE w:val="0"/>
        <w:autoSpaceDN w:val="0"/>
        <w:adjustRightInd w:val="0"/>
        <w:rPr>
          <w:sz w:val="22"/>
          <w:szCs w:val="22"/>
        </w:rPr>
      </w:pPr>
    </w:p>
    <w:p w:rsidR="005E453F" w:rsidRPr="00E64DBE" w:rsidRDefault="005E453F" w:rsidP="005E453F">
      <w:pPr>
        <w:rPr>
          <w:sz w:val="22"/>
          <w:szCs w:val="22"/>
        </w:rPr>
      </w:pPr>
    </w:p>
    <w:p w:rsidR="005E453F" w:rsidRPr="00E64DBE" w:rsidRDefault="005E453F" w:rsidP="005E453F">
      <w:pPr>
        <w:rPr>
          <w:sz w:val="22"/>
          <w:szCs w:val="22"/>
        </w:rPr>
      </w:pPr>
      <w:r w:rsidRPr="00E64DBE">
        <w:rPr>
          <w:sz w:val="22"/>
          <w:szCs w:val="22"/>
        </w:rPr>
        <w:t xml:space="preserve">Det är angeläget att EU:s livsmedelsproduktion i rådande läge fungerar och </w:t>
      </w:r>
    </w:p>
    <w:p w:rsidR="005E453F" w:rsidRPr="00E64DBE" w:rsidRDefault="005E453F" w:rsidP="005E453F">
      <w:pPr>
        <w:rPr>
          <w:sz w:val="22"/>
          <w:szCs w:val="22"/>
        </w:rPr>
      </w:pPr>
      <w:r w:rsidRPr="00E64DBE">
        <w:rPr>
          <w:sz w:val="22"/>
          <w:szCs w:val="22"/>
        </w:rPr>
        <w:t xml:space="preserve">kan svara mot eventuella ökade behov till följd av krisen eller avbrott i </w:t>
      </w:r>
    </w:p>
    <w:p w:rsidR="005E453F" w:rsidRPr="00E64DBE" w:rsidRDefault="005E453F" w:rsidP="005E453F">
      <w:pPr>
        <w:rPr>
          <w:sz w:val="22"/>
          <w:szCs w:val="22"/>
        </w:rPr>
      </w:pPr>
      <w:r w:rsidRPr="00E64DBE">
        <w:rPr>
          <w:sz w:val="22"/>
          <w:szCs w:val="22"/>
        </w:rPr>
        <w:t xml:space="preserve">leveranskedjor. </w:t>
      </w:r>
    </w:p>
    <w:p w:rsidR="005E453F" w:rsidRPr="00E64DBE" w:rsidRDefault="005E453F" w:rsidP="005E453F">
      <w:pPr>
        <w:rPr>
          <w:sz w:val="22"/>
          <w:szCs w:val="22"/>
        </w:rPr>
      </w:pPr>
    </w:p>
    <w:p w:rsidR="005E453F" w:rsidRPr="00E64DBE" w:rsidRDefault="005E453F" w:rsidP="005E453F">
      <w:pPr>
        <w:rPr>
          <w:sz w:val="22"/>
          <w:szCs w:val="22"/>
        </w:rPr>
      </w:pPr>
      <w:r w:rsidRPr="00E64DBE">
        <w:rPr>
          <w:sz w:val="22"/>
          <w:szCs w:val="22"/>
        </w:rPr>
        <w:t xml:space="preserve">Regeringen efterfrågar i detta läge väl avvägda åtgärder eller undantag från </w:t>
      </w:r>
    </w:p>
    <w:p w:rsidR="005E453F" w:rsidRPr="00E64DBE" w:rsidRDefault="005E453F" w:rsidP="005E453F">
      <w:pPr>
        <w:rPr>
          <w:sz w:val="22"/>
          <w:szCs w:val="22"/>
        </w:rPr>
      </w:pPr>
      <w:r w:rsidRPr="00E64DBE">
        <w:rPr>
          <w:sz w:val="22"/>
          <w:szCs w:val="22"/>
        </w:rPr>
        <w:t xml:space="preserve">regelverk, för att motverka en negativ påverkan på livsmedelsförsörjningen i </w:t>
      </w:r>
    </w:p>
    <w:p w:rsidR="005E453F" w:rsidRPr="00E64DBE" w:rsidRDefault="005E453F" w:rsidP="005E453F">
      <w:pPr>
        <w:rPr>
          <w:sz w:val="22"/>
          <w:szCs w:val="22"/>
        </w:rPr>
      </w:pPr>
      <w:r w:rsidRPr="00E64DBE">
        <w:rPr>
          <w:sz w:val="22"/>
          <w:szCs w:val="22"/>
        </w:rPr>
        <w:t xml:space="preserve">EU. Det är viktigt att analysera och ta ställning till eventuella åtgärder från </w:t>
      </w:r>
    </w:p>
    <w:p w:rsidR="005E453F" w:rsidRPr="00E64DBE" w:rsidRDefault="005E453F" w:rsidP="005E453F">
      <w:pPr>
        <w:rPr>
          <w:color w:val="FF0000"/>
          <w:sz w:val="22"/>
          <w:szCs w:val="22"/>
        </w:rPr>
      </w:pPr>
      <w:r w:rsidRPr="00E64DBE">
        <w:rPr>
          <w:sz w:val="22"/>
          <w:szCs w:val="22"/>
        </w:rPr>
        <w:t xml:space="preserve">fall till fall. </w:t>
      </w:r>
      <w:r w:rsidRPr="00E64DBE">
        <w:rPr>
          <w:color w:val="FF0000"/>
          <w:sz w:val="22"/>
          <w:szCs w:val="22"/>
        </w:rPr>
        <w:t xml:space="preserve">och att verka för att åtgärder bidrar till hållbarhetsomställningen för att minska riskerna för förvärring av klimatkrisen och naturkrisen. Regeringen anser att både medlemsländer och EU ska verka för ökad självförsörjningsförmåga för att skapa robust och </w:t>
      </w:r>
      <w:proofErr w:type="spellStart"/>
      <w:r w:rsidRPr="00E64DBE">
        <w:rPr>
          <w:color w:val="FF0000"/>
          <w:sz w:val="22"/>
          <w:szCs w:val="22"/>
        </w:rPr>
        <w:t>resilient</w:t>
      </w:r>
      <w:proofErr w:type="spellEnd"/>
      <w:r w:rsidRPr="00E64DBE">
        <w:rPr>
          <w:color w:val="FF0000"/>
          <w:sz w:val="22"/>
          <w:szCs w:val="22"/>
        </w:rPr>
        <w:t xml:space="preserve"> livsmedelsförsörjning.</w:t>
      </w:r>
    </w:p>
    <w:p w:rsidR="005E453F" w:rsidRPr="00E64DBE" w:rsidRDefault="005E453F" w:rsidP="005E453F">
      <w:pPr>
        <w:rPr>
          <w:sz w:val="22"/>
          <w:szCs w:val="22"/>
        </w:rPr>
      </w:pPr>
    </w:p>
    <w:p w:rsidR="005E453F" w:rsidRPr="00E64DBE" w:rsidRDefault="005E453F" w:rsidP="005E453F">
      <w:pPr>
        <w:rPr>
          <w:strike/>
          <w:color w:val="FF0000"/>
          <w:sz w:val="22"/>
          <w:szCs w:val="22"/>
        </w:rPr>
      </w:pPr>
      <w:r w:rsidRPr="00E64DBE">
        <w:rPr>
          <w:strike/>
          <w:color w:val="FF0000"/>
          <w:sz w:val="22"/>
          <w:szCs w:val="22"/>
        </w:rPr>
        <w:t xml:space="preserve">Generellt har marknadsorienteringen av GJP visat sig ändamålsenlig för att </w:t>
      </w:r>
    </w:p>
    <w:p w:rsidR="005E453F" w:rsidRPr="00E64DBE" w:rsidRDefault="005E453F" w:rsidP="005E453F">
      <w:pPr>
        <w:rPr>
          <w:sz w:val="22"/>
          <w:szCs w:val="22"/>
        </w:rPr>
      </w:pPr>
      <w:r w:rsidRPr="00E64DBE">
        <w:rPr>
          <w:strike/>
          <w:color w:val="FF0000"/>
          <w:sz w:val="22"/>
          <w:szCs w:val="22"/>
        </w:rPr>
        <w:t>trygga livsmedelsförsörjningen och livsmedelssäkerheten.</w:t>
      </w:r>
      <w:r w:rsidRPr="00E64DBE">
        <w:rPr>
          <w:color w:val="FF0000"/>
          <w:sz w:val="22"/>
          <w:szCs w:val="22"/>
        </w:rPr>
        <w:t xml:space="preserve"> </w:t>
      </w:r>
      <w:r w:rsidRPr="00E64DBE">
        <w:rPr>
          <w:sz w:val="22"/>
          <w:szCs w:val="22"/>
        </w:rPr>
        <w:t xml:space="preserve">Den nu uppkomna </w:t>
      </w:r>
    </w:p>
    <w:p w:rsidR="005E453F" w:rsidRPr="00E64DBE" w:rsidRDefault="005E453F" w:rsidP="005E453F">
      <w:pPr>
        <w:rPr>
          <w:sz w:val="22"/>
          <w:szCs w:val="22"/>
        </w:rPr>
      </w:pPr>
      <w:r w:rsidRPr="00E64DBE">
        <w:rPr>
          <w:sz w:val="22"/>
          <w:szCs w:val="22"/>
        </w:rPr>
        <w:t xml:space="preserve">situationen och dess påverkan på marknaden går utöver vad som kan anses </w:t>
      </w:r>
    </w:p>
    <w:p w:rsidR="005E453F" w:rsidRPr="00E64DBE" w:rsidRDefault="005E453F" w:rsidP="005E453F">
      <w:pPr>
        <w:rPr>
          <w:sz w:val="22"/>
          <w:szCs w:val="22"/>
        </w:rPr>
      </w:pPr>
      <w:r w:rsidRPr="00E64DBE">
        <w:rPr>
          <w:sz w:val="22"/>
          <w:szCs w:val="22"/>
        </w:rPr>
        <w:t xml:space="preserve">vara normala variationer på en marknad. Det är avgörande att EU:s </w:t>
      </w:r>
    </w:p>
    <w:p w:rsidR="005E453F" w:rsidRPr="00E64DBE" w:rsidRDefault="005E453F" w:rsidP="005E453F">
      <w:pPr>
        <w:rPr>
          <w:sz w:val="22"/>
          <w:szCs w:val="22"/>
        </w:rPr>
      </w:pPr>
      <w:r w:rsidRPr="00E64DBE">
        <w:rPr>
          <w:sz w:val="22"/>
          <w:szCs w:val="22"/>
        </w:rPr>
        <w:t xml:space="preserve">livsmedelsproduktion i rådande läge fungerar och kan svara mot eventuella </w:t>
      </w:r>
    </w:p>
    <w:p w:rsidR="005E453F" w:rsidRPr="00E64DBE" w:rsidRDefault="005E453F" w:rsidP="005E453F">
      <w:pPr>
        <w:rPr>
          <w:sz w:val="22"/>
          <w:szCs w:val="22"/>
        </w:rPr>
      </w:pPr>
      <w:r w:rsidRPr="00E64DBE">
        <w:rPr>
          <w:sz w:val="22"/>
          <w:szCs w:val="22"/>
        </w:rPr>
        <w:t xml:space="preserve">ökade behov till följd av krisen eller avbrott i leveranskedjor. Regeringen </w:t>
      </w:r>
    </w:p>
    <w:p w:rsidR="005E453F" w:rsidRPr="00E64DBE" w:rsidRDefault="005E453F" w:rsidP="005E453F">
      <w:pPr>
        <w:rPr>
          <w:sz w:val="22"/>
          <w:szCs w:val="22"/>
        </w:rPr>
      </w:pPr>
      <w:r w:rsidRPr="00E64DBE">
        <w:rPr>
          <w:sz w:val="22"/>
          <w:szCs w:val="22"/>
        </w:rPr>
        <w:t xml:space="preserve">anser det välkommet att kommissionen beslutat om ett nytt tillfälligt rättsligt </w:t>
      </w:r>
    </w:p>
    <w:p w:rsidR="005E453F" w:rsidRPr="00E64DBE" w:rsidRDefault="005E453F" w:rsidP="005E453F">
      <w:pPr>
        <w:rPr>
          <w:sz w:val="22"/>
          <w:szCs w:val="22"/>
        </w:rPr>
      </w:pPr>
      <w:r w:rsidRPr="00E64DBE">
        <w:rPr>
          <w:sz w:val="22"/>
          <w:szCs w:val="22"/>
        </w:rPr>
        <w:t xml:space="preserve">ramverk som möjliggör att de medlemsstater som ser behov av det kan </w:t>
      </w:r>
    </w:p>
    <w:p w:rsidR="005E453F" w:rsidRPr="00E64DBE" w:rsidRDefault="005E453F" w:rsidP="005E453F">
      <w:pPr>
        <w:rPr>
          <w:sz w:val="22"/>
          <w:szCs w:val="22"/>
        </w:rPr>
      </w:pPr>
      <w:r w:rsidRPr="00E64DBE">
        <w:rPr>
          <w:sz w:val="22"/>
          <w:szCs w:val="22"/>
        </w:rPr>
        <w:t xml:space="preserve">stödja lantbrukare som drabbas av de ekonomiska effekterna av kriget i </w:t>
      </w:r>
    </w:p>
    <w:p w:rsidR="005E453F" w:rsidRPr="00E64DBE" w:rsidRDefault="005E453F" w:rsidP="005E453F">
      <w:pPr>
        <w:rPr>
          <w:sz w:val="22"/>
          <w:szCs w:val="22"/>
        </w:rPr>
      </w:pPr>
      <w:r w:rsidRPr="00E64DBE">
        <w:rPr>
          <w:sz w:val="22"/>
          <w:szCs w:val="22"/>
        </w:rPr>
        <w:t xml:space="preserve">Ukraina och Rysslandssanktionerna för livsmedelskedjan, samtidigt som </w:t>
      </w:r>
    </w:p>
    <w:p w:rsidR="005E453F" w:rsidRPr="00E64DBE" w:rsidRDefault="005E453F" w:rsidP="005E453F">
      <w:pPr>
        <w:rPr>
          <w:sz w:val="22"/>
          <w:szCs w:val="22"/>
        </w:rPr>
      </w:pPr>
      <w:r w:rsidRPr="00E64DBE">
        <w:rPr>
          <w:sz w:val="22"/>
          <w:szCs w:val="22"/>
        </w:rPr>
        <w:t>konkurrensen på den inre marknaden upprätthålls.</w:t>
      </w:r>
    </w:p>
    <w:p w:rsidR="005E453F" w:rsidRPr="00E64DBE" w:rsidRDefault="005E453F" w:rsidP="005E453F">
      <w:pPr>
        <w:rPr>
          <w:sz w:val="22"/>
          <w:szCs w:val="22"/>
        </w:rPr>
      </w:pPr>
      <w:r w:rsidRPr="00E64DBE">
        <w:rPr>
          <w:sz w:val="22"/>
          <w:szCs w:val="22"/>
        </w:rPr>
        <w:t xml:space="preserve">I solidaritet med Ukraina behöver vi identifiera vad vi kan göra för att hjälpa </w:t>
      </w:r>
    </w:p>
    <w:p w:rsidR="005E453F" w:rsidRPr="00E64DBE" w:rsidRDefault="005E453F" w:rsidP="005E453F">
      <w:pPr>
        <w:rPr>
          <w:sz w:val="22"/>
          <w:szCs w:val="22"/>
        </w:rPr>
      </w:pPr>
      <w:r w:rsidRPr="00E64DBE">
        <w:rPr>
          <w:sz w:val="22"/>
          <w:szCs w:val="22"/>
        </w:rPr>
        <w:t xml:space="preserve">till för att säkra Ukrainas livsmedelsförsörjning. Det är även viktigt att följa </w:t>
      </w:r>
    </w:p>
    <w:p w:rsidR="005E453F" w:rsidRPr="00E64DBE" w:rsidRDefault="005E453F" w:rsidP="005E453F">
      <w:pPr>
        <w:rPr>
          <w:sz w:val="22"/>
          <w:szCs w:val="22"/>
        </w:rPr>
      </w:pPr>
      <w:r w:rsidRPr="00E64DBE">
        <w:rPr>
          <w:sz w:val="22"/>
          <w:szCs w:val="22"/>
        </w:rPr>
        <w:t>hur situationen påverkar livsmedelsförsörjningen i utvecklingsländer.</w:t>
      </w:r>
    </w:p>
    <w:p w:rsidR="005E453F" w:rsidRPr="00E64DBE" w:rsidRDefault="005E453F" w:rsidP="005E453F">
      <w:pPr>
        <w:rPr>
          <w:sz w:val="22"/>
          <w:szCs w:val="22"/>
        </w:rPr>
      </w:pPr>
      <w:r w:rsidRPr="00E64DBE">
        <w:rPr>
          <w:sz w:val="22"/>
          <w:szCs w:val="22"/>
        </w:rPr>
        <w:t xml:space="preserve">Det är angeläget att nära följa utvecklingen på jordbruksmarknaderna med </w:t>
      </w:r>
    </w:p>
    <w:p w:rsidR="005E453F" w:rsidRPr="00E64DBE" w:rsidRDefault="005E453F" w:rsidP="005E453F">
      <w:pPr>
        <w:rPr>
          <w:sz w:val="22"/>
          <w:szCs w:val="22"/>
        </w:rPr>
      </w:pPr>
      <w:r w:rsidRPr="00E64DBE">
        <w:rPr>
          <w:sz w:val="22"/>
          <w:szCs w:val="22"/>
        </w:rPr>
        <w:t xml:space="preserve">anledningen av Rysslands invasion av Ukraina. Transparent och uppdaterad </w:t>
      </w:r>
    </w:p>
    <w:p w:rsidR="005E453F" w:rsidRPr="00E64DBE" w:rsidRDefault="005E453F" w:rsidP="005E453F">
      <w:pPr>
        <w:rPr>
          <w:sz w:val="22"/>
          <w:szCs w:val="22"/>
        </w:rPr>
      </w:pPr>
      <w:r w:rsidRPr="00E64DBE">
        <w:rPr>
          <w:sz w:val="22"/>
          <w:szCs w:val="22"/>
        </w:rPr>
        <w:t>marknadsinformation bidrar till en bättre fungerande marknad.</w:t>
      </w:r>
    </w:p>
    <w:p w:rsidR="005E453F" w:rsidRPr="00E64DBE" w:rsidRDefault="005E453F" w:rsidP="005E453F">
      <w:pPr>
        <w:rPr>
          <w:sz w:val="22"/>
          <w:szCs w:val="22"/>
        </w:rPr>
      </w:pPr>
      <w:r w:rsidRPr="00E64DBE">
        <w:rPr>
          <w:sz w:val="22"/>
          <w:szCs w:val="22"/>
        </w:rPr>
        <w:t>Kommissionen har även en viktig roll i att övervaka att handeln fungerar.</w:t>
      </w:r>
    </w:p>
    <w:p w:rsidR="005E453F" w:rsidRPr="00E64DBE" w:rsidRDefault="005E453F" w:rsidP="005E453F">
      <w:pPr>
        <w:rPr>
          <w:sz w:val="22"/>
          <w:szCs w:val="22"/>
        </w:rPr>
      </w:pPr>
    </w:p>
    <w:p w:rsidR="00614F33" w:rsidRPr="00E64DBE" w:rsidRDefault="00614F33" w:rsidP="00B21CA7">
      <w:pPr>
        <w:rPr>
          <w:sz w:val="22"/>
          <w:szCs w:val="22"/>
        </w:rPr>
      </w:pPr>
    </w:p>
    <w:p w:rsidR="005E453F" w:rsidRPr="00E64DBE" w:rsidRDefault="005E453F" w:rsidP="00B21CA7">
      <w:pPr>
        <w:rPr>
          <w:sz w:val="22"/>
          <w:szCs w:val="22"/>
        </w:rPr>
      </w:pPr>
    </w:p>
    <w:p w:rsidR="005E453F" w:rsidRPr="00E64DBE" w:rsidRDefault="005E453F" w:rsidP="00B21CA7">
      <w:pPr>
        <w:rPr>
          <w:sz w:val="22"/>
          <w:szCs w:val="22"/>
        </w:rPr>
      </w:pPr>
    </w:p>
    <w:p w:rsidR="005E453F" w:rsidRPr="00E64DBE" w:rsidRDefault="005E453F" w:rsidP="00B21CA7">
      <w:pPr>
        <w:rPr>
          <w:sz w:val="22"/>
          <w:szCs w:val="22"/>
        </w:rPr>
      </w:pPr>
    </w:p>
    <w:p w:rsidR="005E453F" w:rsidRPr="00E64DBE" w:rsidRDefault="005E453F" w:rsidP="00B21CA7">
      <w:pPr>
        <w:rPr>
          <w:sz w:val="22"/>
          <w:szCs w:val="22"/>
        </w:rPr>
      </w:pPr>
    </w:p>
    <w:p w:rsidR="005E453F" w:rsidRPr="00E64DBE" w:rsidRDefault="005E453F" w:rsidP="00B21CA7">
      <w:pPr>
        <w:rPr>
          <w:sz w:val="22"/>
          <w:szCs w:val="22"/>
        </w:rPr>
      </w:pPr>
    </w:p>
    <w:p w:rsidR="005E453F" w:rsidRPr="00E64DBE" w:rsidRDefault="005E453F" w:rsidP="00B21CA7">
      <w:pPr>
        <w:rPr>
          <w:sz w:val="22"/>
          <w:szCs w:val="22"/>
        </w:rPr>
      </w:pPr>
    </w:p>
    <w:p w:rsidR="005E453F" w:rsidRDefault="005E453F" w:rsidP="00B21CA7">
      <w:pPr>
        <w:rPr>
          <w:sz w:val="22"/>
          <w:szCs w:val="22"/>
        </w:rPr>
      </w:pPr>
    </w:p>
    <w:p w:rsidR="00382ED9" w:rsidRDefault="00382ED9" w:rsidP="00B21CA7">
      <w:pPr>
        <w:rPr>
          <w:sz w:val="22"/>
          <w:szCs w:val="22"/>
        </w:rPr>
      </w:pPr>
    </w:p>
    <w:p w:rsidR="00382ED9" w:rsidRDefault="00382ED9" w:rsidP="00B21CA7">
      <w:pPr>
        <w:rPr>
          <w:sz w:val="22"/>
          <w:szCs w:val="22"/>
        </w:rPr>
      </w:pPr>
    </w:p>
    <w:p w:rsidR="00382ED9" w:rsidRDefault="00382ED9" w:rsidP="00B21CA7">
      <w:pPr>
        <w:rPr>
          <w:sz w:val="22"/>
          <w:szCs w:val="22"/>
        </w:rPr>
      </w:pPr>
    </w:p>
    <w:p w:rsidR="00382ED9" w:rsidRPr="00E64DBE" w:rsidRDefault="00382ED9" w:rsidP="00B21CA7">
      <w:pPr>
        <w:rPr>
          <w:sz w:val="22"/>
          <w:szCs w:val="22"/>
        </w:rPr>
      </w:pPr>
    </w:p>
    <w:p w:rsidR="005E453F" w:rsidRPr="00E64DBE" w:rsidRDefault="005E453F" w:rsidP="00B21CA7">
      <w:pPr>
        <w:rPr>
          <w:sz w:val="22"/>
          <w:szCs w:val="22"/>
        </w:rPr>
      </w:pPr>
    </w:p>
    <w:p w:rsidR="005E453F" w:rsidRPr="00E64DBE" w:rsidRDefault="005E453F" w:rsidP="00B21CA7">
      <w:pPr>
        <w:rPr>
          <w:sz w:val="22"/>
          <w:szCs w:val="22"/>
        </w:rPr>
      </w:pPr>
    </w:p>
    <w:p w:rsidR="00614F33" w:rsidRPr="00E64DBE" w:rsidRDefault="00614F33" w:rsidP="00B21CA7">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14F33" w:rsidRPr="00E64DBE" w:rsidTr="00374A92">
        <w:tc>
          <w:tcPr>
            <w:tcW w:w="6532" w:type="dxa"/>
          </w:tcPr>
          <w:p w:rsidR="00614F33" w:rsidRPr="00E64DBE" w:rsidRDefault="00614F33" w:rsidP="00374A92">
            <w:pPr>
              <w:tabs>
                <w:tab w:val="left" w:pos="1276"/>
              </w:tabs>
              <w:rPr>
                <w:sz w:val="22"/>
                <w:szCs w:val="22"/>
              </w:rPr>
            </w:pPr>
            <w:r w:rsidRPr="00E64DBE">
              <w:rPr>
                <w:sz w:val="22"/>
                <w:szCs w:val="22"/>
              </w:rPr>
              <w:br w:type="page"/>
              <w:t>MILJÖ- OCH JORDBRUKSUTSKOTTET</w:t>
            </w:r>
          </w:p>
        </w:tc>
        <w:tc>
          <w:tcPr>
            <w:tcW w:w="2206" w:type="dxa"/>
          </w:tcPr>
          <w:p w:rsidR="00614F33" w:rsidRPr="00E64DBE" w:rsidRDefault="00614F33" w:rsidP="00374A92">
            <w:pPr>
              <w:tabs>
                <w:tab w:val="left" w:pos="1276"/>
              </w:tabs>
              <w:rPr>
                <w:sz w:val="22"/>
                <w:szCs w:val="22"/>
              </w:rPr>
            </w:pPr>
          </w:p>
        </w:tc>
        <w:tc>
          <w:tcPr>
            <w:tcW w:w="2036" w:type="dxa"/>
          </w:tcPr>
          <w:p w:rsidR="00614F33" w:rsidRPr="00E64DBE" w:rsidRDefault="00614F33" w:rsidP="00374A92">
            <w:pPr>
              <w:tabs>
                <w:tab w:val="left" w:pos="1276"/>
              </w:tabs>
              <w:ind w:right="-212"/>
              <w:rPr>
                <w:b/>
                <w:sz w:val="22"/>
                <w:szCs w:val="22"/>
              </w:rPr>
            </w:pPr>
            <w:r w:rsidRPr="00E64DBE">
              <w:rPr>
                <w:b/>
                <w:sz w:val="22"/>
                <w:szCs w:val="22"/>
              </w:rPr>
              <w:t>Bilaga 5</w:t>
            </w:r>
          </w:p>
          <w:p w:rsidR="00614F33" w:rsidRPr="00E64DBE" w:rsidRDefault="00614F33" w:rsidP="00374A92">
            <w:pPr>
              <w:tabs>
                <w:tab w:val="left" w:pos="1276"/>
              </w:tabs>
              <w:ind w:right="-212"/>
              <w:rPr>
                <w:sz w:val="22"/>
                <w:szCs w:val="22"/>
              </w:rPr>
            </w:pPr>
            <w:r w:rsidRPr="00E64DBE">
              <w:rPr>
                <w:sz w:val="22"/>
                <w:szCs w:val="22"/>
              </w:rPr>
              <w:t>till protokoll</w:t>
            </w:r>
          </w:p>
          <w:p w:rsidR="00614F33" w:rsidRPr="00E64DBE" w:rsidRDefault="00614F33" w:rsidP="00374A92">
            <w:pPr>
              <w:tabs>
                <w:tab w:val="left" w:pos="1276"/>
              </w:tabs>
              <w:ind w:right="-212"/>
              <w:rPr>
                <w:b/>
                <w:sz w:val="22"/>
                <w:szCs w:val="22"/>
              </w:rPr>
            </w:pPr>
            <w:r w:rsidRPr="00E64DBE">
              <w:rPr>
                <w:sz w:val="22"/>
                <w:szCs w:val="22"/>
              </w:rPr>
              <w:t>2021/22:</w:t>
            </w:r>
            <w:r w:rsidR="005E453F" w:rsidRPr="00E64DBE">
              <w:rPr>
                <w:sz w:val="22"/>
                <w:szCs w:val="22"/>
              </w:rPr>
              <w:t>40</w:t>
            </w:r>
          </w:p>
        </w:tc>
      </w:tr>
      <w:tr w:rsidR="00614F33" w:rsidRPr="00E64DBE" w:rsidTr="00374A92">
        <w:tc>
          <w:tcPr>
            <w:tcW w:w="6532" w:type="dxa"/>
          </w:tcPr>
          <w:p w:rsidR="00614F33" w:rsidRPr="00E64DBE" w:rsidRDefault="00614F33" w:rsidP="00374A92">
            <w:pPr>
              <w:tabs>
                <w:tab w:val="left" w:pos="1276"/>
              </w:tabs>
              <w:rPr>
                <w:sz w:val="22"/>
                <w:szCs w:val="22"/>
              </w:rPr>
            </w:pPr>
          </w:p>
        </w:tc>
        <w:tc>
          <w:tcPr>
            <w:tcW w:w="2206" w:type="dxa"/>
          </w:tcPr>
          <w:p w:rsidR="00614F33" w:rsidRPr="00E64DBE" w:rsidRDefault="00614F33" w:rsidP="00374A92">
            <w:pPr>
              <w:tabs>
                <w:tab w:val="left" w:pos="1276"/>
              </w:tabs>
              <w:rPr>
                <w:sz w:val="22"/>
                <w:szCs w:val="22"/>
              </w:rPr>
            </w:pPr>
          </w:p>
        </w:tc>
        <w:tc>
          <w:tcPr>
            <w:tcW w:w="2036" w:type="dxa"/>
          </w:tcPr>
          <w:p w:rsidR="00614F33" w:rsidRPr="00E64DBE" w:rsidRDefault="00614F33" w:rsidP="00374A92">
            <w:pPr>
              <w:tabs>
                <w:tab w:val="left" w:pos="1276"/>
              </w:tabs>
              <w:ind w:right="-212"/>
              <w:rPr>
                <w:b/>
                <w:sz w:val="22"/>
                <w:szCs w:val="22"/>
              </w:rPr>
            </w:pPr>
          </w:p>
        </w:tc>
      </w:tr>
    </w:tbl>
    <w:p w:rsidR="00614F33" w:rsidRPr="00E64DBE" w:rsidRDefault="00614F33" w:rsidP="00B21CA7">
      <w:pPr>
        <w:rPr>
          <w:sz w:val="22"/>
          <w:szCs w:val="22"/>
        </w:rPr>
      </w:pPr>
    </w:p>
    <w:p w:rsidR="005E453F" w:rsidRPr="00E64DBE" w:rsidRDefault="005E453F" w:rsidP="005E453F">
      <w:pPr>
        <w:rPr>
          <w:b/>
          <w:snapToGrid w:val="0"/>
          <w:sz w:val="22"/>
          <w:szCs w:val="22"/>
        </w:rPr>
      </w:pPr>
      <w:bookmarkStart w:id="3" w:name="RANGE!A1:E30"/>
      <w:r w:rsidRPr="00E64DBE">
        <w:rPr>
          <w:b/>
          <w:snapToGrid w:val="0"/>
          <w:sz w:val="22"/>
          <w:szCs w:val="22"/>
        </w:rPr>
        <w:t xml:space="preserve">Rådets dagordningspunkt 6. </w:t>
      </w:r>
      <w:r w:rsidRPr="00E64DBE">
        <w:rPr>
          <w:b/>
          <w:snapToGrid w:val="0"/>
          <w:sz w:val="22"/>
          <w:szCs w:val="22"/>
        </w:rPr>
        <w:br/>
      </w:r>
      <w:r w:rsidRPr="00E64DBE">
        <w:rPr>
          <w:b/>
          <w:sz w:val="22"/>
          <w:szCs w:val="22"/>
        </w:rPr>
        <w:t xml:space="preserve">Meddelande från kommissionen om att säkra livsmedelstryggheten och öka livsmedelssystemens </w:t>
      </w:r>
      <w:proofErr w:type="spellStart"/>
      <w:r w:rsidRPr="00E64DBE">
        <w:rPr>
          <w:b/>
          <w:sz w:val="22"/>
          <w:szCs w:val="22"/>
        </w:rPr>
        <w:t>resiliens</w:t>
      </w:r>
      <w:proofErr w:type="spellEnd"/>
      <w:r w:rsidRPr="00E64DBE">
        <w:rPr>
          <w:b/>
          <w:sz w:val="22"/>
          <w:szCs w:val="22"/>
        </w:rPr>
        <w:t xml:space="preserve"> </w:t>
      </w:r>
    </w:p>
    <w:p w:rsidR="005E453F" w:rsidRPr="00E64DBE" w:rsidRDefault="005E453F" w:rsidP="005E453F">
      <w:pPr>
        <w:widowControl/>
        <w:autoSpaceDE w:val="0"/>
        <w:autoSpaceDN w:val="0"/>
        <w:adjustRightInd w:val="0"/>
        <w:rPr>
          <w:sz w:val="22"/>
          <w:szCs w:val="22"/>
        </w:rPr>
      </w:pPr>
    </w:p>
    <w:p w:rsidR="005E453F" w:rsidRPr="00E64DBE" w:rsidRDefault="005E453F" w:rsidP="005E453F">
      <w:pPr>
        <w:tabs>
          <w:tab w:val="left" w:pos="1701"/>
        </w:tabs>
        <w:rPr>
          <w:b/>
          <w:bCs/>
          <w:color w:val="000000"/>
          <w:sz w:val="22"/>
          <w:szCs w:val="22"/>
        </w:rPr>
      </w:pPr>
      <w:r w:rsidRPr="00E64DBE">
        <w:rPr>
          <w:b/>
          <w:sz w:val="22"/>
          <w:szCs w:val="22"/>
        </w:rPr>
        <w:t>SD-</w:t>
      </w:r>
      <w:r w:rsidRPr="00E64DBE">
        <w:rPr>
          <w:b/>
          <w:bCs/>
          <w:color w:val="000000"/>
          <w:sz w:val="22"/>
          <w:szCs w:val="22"/>
        </w:rPr>
        <w:t>ledamöterna anmälde följande avvikande ståndpunkt:</w:t>
      </w:r>
    </w:p>
    <w:p w:rsidR="005E453F" w:rsidRPr="00E64DBE" w:rsidRDefault="005E453F" w:rsidP="005E453F">
      <w:pPr>
        <w:rPr>
          <w:sz w:val="22"/>
          <w:szCs w:val="22"/>
        </w:rPr>
      </w:pPr>
    </w:p>
    <w:p w:rsidR="005E453F" w:rsidRPr="00E64DBE" w:rsidRDefault="005E453F" w:rsidP="005E453F">
      <w:pPr>
        <w:rPr>
          <w:sz w:val="22"/>
          <w:szCs w:val="22"/>
        </w:rPr>
      </w:pPr>
      <w:r w:rsidRPr="00E64DBE">
        <w:rPr>
          <w:sz w:val="22"/>
          <w:szCs w:val="22"/>
        </w:rPr>
        <w:t>”Regeringen välkomnar uppmaningen från kommissionen till medlemsländerna om att sänka kraven på inblandning av biobränslen i drivmedel för att minska trycket på foder och livsmedelspriser.”</w:t>
      </w:r>
    </w:p>
    <w:p w:rsidR="00614F33" w:rsidRPr="00E64DBE" w:rsidRDefault="00614F33"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AB4037" w:rsidRDefault="00AB4037" w:rsidP="00CB7817">
      <w:pPr>
        <w:tabs>
          <w:tab w:val="left" w:pos="11325"/>
        </w:tabs>
        <w:rPr>
          <w:b/>
          <w:bCs/>
          <w:sz w:val="22"/>
          <w:szCs w:val="22"/>
        </w:rPr>
      </w:pPr>
    </w:p>
    <w:p w:rsidR="00382ED9" w:rsidRPr="00E64DBE" w:rsidRDefault="00382ED9" w:rsidP="00CB7817">
      <w:pPr>
        <w:tabs>
          <w:tab w:val="left" w:pos="11325"/>
        </w:tabs>
        <w:rPr>
          <w:b/>
          <w:bCs/>
          <w:sz w:val="22"/>
          <w:szCs w:val="22"/>
        </w:rPr>
      </w:pPr>
    </w:p>
    <w:p w:rsidR="00AB4037" w:rsidRPr="00E64DBE" w:rsidRDefault="00AB4037" w:rsidP="00CB7817">
      <w:pPr>
        <w:tabs>
          <w:tab w:val="left" w:pos="11325"/>
        </w:tabs>
        <w:rPr>
          <w:b/>
          <w:bCs/>
          <w:sz w:val="22"/>
          <w:szCs w:val="22"/>
        </w:rPr>
      </w:pPr>
    </w:p>
    <w:p w:rsidR="005E453F" w:rsidRPr="00E64DBE" w:rsidRDefault="005E453F" w:rsidP="00CB7817">
      <w:pPr>
        <w:tabs>
          <w:tab w:val="left" w:pos="11325"/>
        </w:tabs>
        <w:rPr>
          <w:b/>
          <w:bCs/>
          <w:sz w:val="22"/>
          <w:szCs w:val="22"/>
        </w:rPr>
      </w:pPr>
    </w:p>
    <w:p w:rsidR="005E453F" w:rsidRPr="00E64DBE" w:rsidRDefault="005E453F" w:rsidP="00CB7817">
      <w:pPr>
        <w:tabs>
          <w:tab w:val="left" w:pos="11325"/>
        </w:tabs>
        <w:rPr>
          <w:b/>
          <w:bCs/>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14F33" w:rsidRPr="00E64DBE" w:rsidTr="00374A92">
        <w:tc>
          <w:tcPr>
            <w:tcW w:w="6532" w:type="dxa"/>
          </w:tcPr>
          <w:p w:rsidR="00614F33" w:rsidRPr="00E64DBE" w:rsidRDefault="00614F33" w:rsidP="00374A92">
            <w:pPr>
              <w:tabs>
                <w:tab w:val="left" w:pos="1276"/>
              </w:tabs>
              <w:rPr>
                <w:sz w:val="22"/>
                <w:szCs w:val="22"/>
              </w:rPr>
            </w:pPr>
            <w:r w:rsidRPr="00E64DBE">
              <w:rPr>
                <w:sz w:val="22"/>
                <w:szCs w:val="22"/>
              </w:rPr>
              <w:lastRenderedPageBreak/>
              <w:br w:type="page"/>
              <w:t>MILJÖ- OCH JORDBRUKSUTSKOTTET</w:t>
            </w:r>
          </w:p>
        </w:tc>
        <w:tc>
          <w:tcPr>
            <w:tcW w:w="2206" w:type="dxa"/>
          </w:tcPr>
          <w:p w:rsidR="00614F33" w:rsidRPr="00E64DBE" w:rsidRDefault="00614F33" w:rsidP="00374A92">
            <w:pPr>
              <w:tabs>
                <w:tab w:val="left" w:pos="1276"/>
              </w:tabs>
              <w:rPr>
                <w:sz w:val="22"/>
                <w:szCs w:val="22"/>
              </w:rPr>
            </w:pPr>
          </w:p>
        </w:tc>
        <w:tc>
          <w:tcPr>
            <w:tcW w:w="2036" w:type="dxa"/>
          </w:tcPr>
          <w:p w:rsidR="00614F33" w:rsidRPr="00E64DBE" w:rsidRDefault="00614F33" w:rsidP="00374A92">
            <w:pPr>
              <w:tabs>
                <w:tab w:val="left" w:pos="1276"/>
              </w:tabs>
              <w:ind w:right="-212"/>
              <w:rPr>
                <w:b/>
                <w:sz w:val="22"/>
                <w:szCs w:val="22"/>
              </w:rPr>
            </w:pPr>
            <w:r w:rsidRPr="00E64DBE">
              <w:rPr>
                <w:b/>
                <w:sz w:val="22"/>
                <w:szCs w:val="22"/>
              </w:rPr>
              <w:t>Bilaga 6</w:t>
            </w:r>
          </w:p>
          <w:p w:rsidR="00614F33" w:rsidRPr="00E64DBE" w:rsidRDefault="00614F33" w:rsidP="00374A92">
            <w:pPr>
              <w:tabs>
                <w:tab w:val="left" w:pos="1276"/>
              </w:tabs>
              <w:ind w:right="-212"/>
              <w:rPr>
                <w:sz w:val="22"/>
                <w:szCs w:val="22"/>
              </w:rPr>
            </w:pPr>
            <w:r w:rsidRPr="00E64DBE">
              <w:rPr>
                <w:sz w:val="22"/>
                <w:szCs w:val="22"/>
              </w:rPr>
              <w:t>till protokoll</w:t>
            </w:r>
          </w:p>
          <w:p w:rsidR="00614F33" w:rsidRPr="00E64DBE" w:rsidRDefault="00614F33" w:rsidP="00374A92">
            <w:pPr>
              <w:tabs>
                <w:tab w:val="left" w:pos="1276"/>
              </w:tabs>
              <w:ind w:right="-212"/>
              <w:rPr>
                <w:b/>
                <w:sz w:val="22"/>
                <w:szCs w:val="22"/>
              </w:rPr>
            </w:pPr>
            <w:r w:rsidRPr="00E64DBE">
              <w:rPr>
                <w:sz w:val="22"/>
                <w:szCs w:val="22"/>
              </w:rPr>
              <w:t>2021/22:</w:t>
            </w:r>
            <w:r w:rsidR="005E453F" w:rsidRPr="00E64DBE">
              <w:rPr>
                <w:sz w:val="22"/>
                <w:szCs w:val="22"/>
              </w:rPr>
              <w:t>40</w:t>
            </w:r>
          </w:p>
        </w:tc>
      </w:tr>
      <w:tr w:rsidR="00614F33" w:rsidRPr="00E64DBE" w:rsidTr="00374A92">
        <w:tc>
          <w:tcPr>
            <w:tcW w:w="6532" w:type="dxa"/>
          </w:tcPr>
          <w:p w:rsidR="00614F33" w:rsidRPr="00E64DBE" w:rsidRDefault="00614F33" w:rsidP="00374A92">
            <w:pPr>
              <w:tabs>
                <w:tab w:val="left" w:pos="1276"/>
              </w:tabs>
              <w:rPr>
                <w:sz w:val="22"/>
                <w:szCs w:val="22"/>
              </w:rPr>
            </w:pPr>
          </w:p>
        </w:tc>
        <w:tc>
          <w:tcPr>
            <w:tcW w:w="2206" w:type="dxa"/>
          </w:tcPr>
          <w:p w:rsidR="00614F33" w:rsidRPr="00E64DBE" w:rsidRDefault="00614F33" w:rsidP="00374A92">
            <w:pPr>
              <w:tabs>
                <w:tab w:val="left" w:pos="1276"/>
              </w:tabs>
              <w:rPr>
                <w:sz w:val="22"/>
                <w:szCs w:val="22"/>
              </w:rPr>
            </w:pPr>
          </w:p>
        </w:tc>
        <w:tc>
          <w:tcPr>
            <w:tcW w:w="2036" w:type="dxa"/>
          </w:tcPr>
          <w:p w:rsidR="00614F33" w:rsidRPr="00E64DBE" w:rsidRDefault="00614F33" w:rsidP="00374A92">
            <w:pPr>
              <w:tabs>
                <w:tab w:val="left" w:pos="1276"/>
              </w:tabs>
              <w:ind w:right="-212"/>
              <w:rPr>
                <w:b/>
                <w:sz w:val="22"/>
                <w:szCs w:val="22"/>
              </w:rPr>
            </w:pPr>
          </w:p>
        </w:tc>
      </w:tr>
    </w:tbl>
    <w:p w:rsidR="00BD72D1" w:rsidRDefault="00BD72D1" w:rsidP="00CB7817">
      <w:pPr>
        <w:tabs>
          <w:tab w:val="left" w:pos="11325"/>
        </w:tabs>
        <w:rPr>
          <w:b/>
          <w:bCs/>
          <w:sz w:val="22"/>
          <w:szCs w:val="22"/>
        </w:rPr>
      </w:pPr>
    </w:p>
    <w:p w:rsidR="00CB7817" w:rsidRPr="00E64DBE" w:rsidRDefault="00CB7817" w:rsidP="00CB7817">
      <w:pPr>
        <w:tabs>
          <w:tab w:val="left" w:pos="11325"/>
        </w:tabs>
        <w:rPr>
          <w:b/>
          <w:bCs/>
          <w:sz w:val="22"/>
          <w:szCs w:val="22"/>
        </w:rPr>
      </w:pPr>
      <w:r w:rsidRPr="00E64DBE">
        <w:rPr>
          <w:b/>
          <w:bCs/>
          <w:sz w:val="22"/>
          <w:szCs w:val="22"/>
        </w:rPr>
        <w:t>Till MJU överlämnade dokument från EU:s institutioner m.m. 1 – 27 mars 2022</w:t>
      </w:r>
      <w:r w:rsidRPr="00E64DBE">
        <w:rPr>
          <w:b/>
          <w:bCs/>
          <w:sz w:val="22"/>
          <w:szCs w:val="22"/>
        </w:rPr>
        <w:br/>
      </w:r>
    </w:p>
    <w:p w:rsidR="00CB7817" w:rsidRPr="00E64DBE" w:rsidRDefault="00CB7817" w:rsidP="00CB7817">
      <w:pPr>
        <w:rPr>
          <w:b/>
          <w:bCs/>
          <w:sz w:val="22"/>
          <w:szCs w:val="22"/>
        </w:rPr>
      </w:pPr>
      <w:r w:rsidRPr="00E64DBE">
        <w:rPr>
          <w:b/>
          <w:sz w:val="22"/>
          <w:szCs w:val="22"/>
        </w:rPr>
        <w:t>COM-dokument. (Kommissionens utkast till lagförslag och andra meddelanden från kommissionen inklusive det förberedande arbetet till lagförslag såsom grön- och vitböcker, rapporter m.m.)</w:t>
      </w:r>
      <w:r w:rsidRPr="00E64DBE">
        <w:rPr>
          <w:b/>
          <w:sz w:val="22"/>
          <w:szCs w:val="22"/>
        </w:rPr>
        <w:br/>
      </w:r>
    </w:p>
    <w:tbl>
      <w:tblPr>
        <w:tblW w:w="103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2"/>
        <w:gridCol w:w="8373"/>
      </w:tblGrid>
      <w:tr w:rsidR="00CB7817" w:rsidRPr="00E64DBE" w:rsidTr="00CB7817">
        <w:trPr>
          <w:trHeight w:val="315"/>
          <w:tblHeader/>
        </w:trPr>
        <w:tc>
          <w:tcPr>
            <w:tcW w:w="1982" w:type="dxa"/>
            <w:shd w:val="clear" w:color="auto" w:fill="auto"/>
            <w:vAlign w:val="center"/>
          </w:tcPr>
          <w:p w:rsidR="00CB7817" w:rsidRPr="00E64DBE" w:rsidRDefault="00CB7817" w:rsidP="003E47C0">
            <w:pPr>
              <w:rPr>
                <w:b/>
                <w:bCs/>
                <w:sz w:val="22"/>
                <w:szCs w:val="22"/>
              </w:rPr>
            </w:pPr>
            <w:r w:rsidRPr="00E64DBE">
              <w:rPr>
                <w:b/>
                <w:bCs/>
                <w:sz w:val="22"/>
                <w:szCs w:val="22"/>
              </w:rPr>
              <w:t>Beteckning</w:t>
            </w:r>
          </w:p>
        </w:tc>
        <w:tc>
          <w:tcPr>
            <w:tcW w:w="8373" w:type="dxa"/>
            <w:shd w:val="clear" w:color="auto" w:fill="auto"/>
            <w:vAlign w:val="center"/>
          </w:tcPr>
          <w:p w:rsidR="00CB7817" w:rsidRPr="00E64DBE" w:rsidRDefault="00CB7817" w:rsidP="003E47C0">
            <w:pPr>
              <w:rPr>
                <w:b/>
                <w:bCs/>
                <w:sz w:val="22"/>
                <w:szCs w:val="22"/>
              </w:rPr>
            </w:pPr>
            <w:r w:rsidRPr="00E64DBE">
              <w:rPr>
                <w:b/>
                <w:bCs/>
                <w:sz w:val="22"/>
                <w:szCs w:val="22"/>
              </w:rPr>
              <w:t>Rubrik</w:t>
            </w:r>
          </w:p>
        </w:tc>
      </w:tr>
      <w:tr w:rsidR="00CB7817" w:rsidRPr="00E64DBE" w:rsidTr="00CB7817">
        <w:trPr>
          <w:trHeight w:val="315"/>
        </w:trPr>
        <w:tc>
          <w:tcPr>
            <w:tcW w:w="1982" w:type="dxa"/>
            <w:shd w:val="clear" w:color="auto" w:fill="auto"/>
            <w:vAlign w:val="center"/>
          </w:tcPr>
          <w:p w:rsidR="00CB7817" w:rsidRPr="00E64DBE" w:rsidRDefault="0033480E" w:rsidP="003E47C0">
            <w:pPr>
              <w:rPr>
                <w:bCs/>
                <w:sz w:val="22"/>
                <w:szCs w:val="22"/>
              </w:rPr>
            </w:pPr>
            <w:hyperlink r:id="rId10" w:history="1">
              <w:proofErr w:type="gramStart"/>
              <w:r w:rsidR="00CB7817" w:rsidRPr="00E64DBE">
                <w:rPr>
                  <w:bCs/>
                  <w:sz w:val="22"/>
                  <w:szCs w:val="22"/>
                </w:rPr>
                <w:t>COM(</w:t>
              </w:r>
              <w:proofErr w:type="gramEnd"/>
              <w:r w:rsidR="00CB7817" w:rsidRPr="00E64DBE">
                <w:rPr>
                  <w:bCs/>
                  <w:sz w:val="22"/>
                  <w:szCs w:val="22"/>
                </w:rPr>
                <w:t>2022) 54</w:t>
              </w:r>
            </w:hyperlink>
          </w:p>
        </w:tc>
        <w:tc>
          <w:tcPr>
            <w:tcW w:w="8373" w:type="dxa"/>
            <w:shd w:val="clear" w:color="auto" w:fill="auto"/>
            <w:vAlign w:val="center"/>
          </w:tcPr>
          <w:p w:rsidR="00CB7817" w:rsidRPr="00E64DBE" w:rsidRDefault="00CB7817" w:rsidP="003E47C0">
            <w:pPr>
              <w:rPr>
                <w:bCs/>
                <w:sz w:val="22"/>
                <w:szCs w:val="22"/>
              </w:rPr>
            </w:pPr>
          </w:p>
          <w:p w:rsidR="00CB7817" w:rsidRPr="00E64DBE" w:rsidRDefault="00CB7817" w:rsidP="003E47C0">
            <w:pPr>
              <w:rPr>
                <w:bCs/>
                <w:sz w:val="22"/>
                <w:szCs w:val="22"/>
              </w:rPr>
            </w:pPr>
            <w:r w:rsidRPr="00E64DBE">
              <w:rPr>
                <w:bCs/>
                <w:sz w:val="22"/>
                <w:szCs w:val="22"/>
              </w:rPr>
              <w:t xml:space="preserve">Förslag till rådets förordning om ändring av förordning (EU) 2022/109 om fastställande för 2022 av </w:t>
            </w:r>
            <w:r w:rsidRPr="00E64DBE">
              <w:rPr>
                <w:b/>
                <w:bCs/>
                <w:sz w:val="22"/>
                <w:szCs w:val="22"/>
              </w:rPr>
              <w:t xml:space="preserve">fiskemöjligheterna </w:t>
            </w:r>
            <w:r w:rsidRPr="00E64DBE">
              <w:rPr>
                <w:bCs/>
                <w:sz w:val="22"/>
                <w:szCs w:val="22"/>
              </w:rPr>
              <w:t>avseende vissa fiskbestånd och grupper av fiskbestånd i unionens vatten och, för unionsfiskefartyg, i vissa andra vatten</w:t>
            </w:r>
          </w:p>
          <w:p w:rsidR="00CB7817" w:rsidRPr="00E64DBE" w:rsidRDefault="00CB7817" w:rsidP="003E47C0">
            <w:pPr>
              <w:rPr>
                <w:bCs/>
                <w:sz w:val="22"/>
                <w:szCs w:val="22"/>
              </w:rPr>
            </w:pPr>
          </w:p>
        </w:tc>
      </w:tr>
      <w:tr w:rsidR="00CB7817" w:rsidRPr="00E64DBE" w:rsidTr="00CB7817">
        <w:trPr>
          <w:trHeight w:val="315"/>
        </w:trPr>
        <w:tc>
          <w:tcPr>
            <w:tcW w:w="1982" w:type="dxa"/>
            <w:shd w:val="clear" w:color="auto" w:fill="auto"/>
            <w:vAlign w:val="center"/>
          </w:tcPr>
          <w:p w:rsidR="00CB7817" w:rsidRPr="00E64DBE" w:rsidRDefault="0033480E" w:rsidP="003E47C0">
            <w:pPr>
              <w:rPr>
                <w:bCs/>
                <w:sz w:val="22"/>
                <w:szCs w:val="22"/>
              </w:rPr>
            </w:pPr>
            <w:hyperlink r:id="rId11" w:history="1">
              <w:proofErr w:type="gramStart"/>
              <w:r w:rsidR="00CB7817" w:rsidRPr="00E64DBE">
                <w:rPr>
                  <w:bCs/>
                  <w:sz w:val="22"/>
                  <w:szCs w:val="22"/>
                </w:rPr>
                <w:t>COM(</w:t>
              </w:r>
              <w:proofErr w:type="gramEnd"/>
              <w:r w:rsidR="00CB7817" w:rsidRPr="00E64DBE">
                <w:rPr>
                  <w:bCs/>
                  <w:sz w:val="22"/>
                  <w:szCs w:val="22"/>
                </w:rPr>
                <w:t>2022) 111</w:t>
              </w:r>
            </w:hyperlink>
          </w:p>
        </w:tc>
        <w:tc>
          <w:tcPr>
            <w:tcW w:w="8373" w:type="dxa"/>
            <w:shd w:val="clear" w:color="auto" w:fill="auto"/>
            <w:vAlign w:val="center"/>
          </w:tcPr>
          <w:p w:rsidR="00CB7817" w:rsidRPr="00E64DBE" w:rsidRDefault="00CB7817" w:rsidP="003E47C0">
            <w:pPr>
              <w:rPr>
                <w:bCs/>
                <w:sz w:val="22"/>
                <w:szCs w:val="22"/>
              </w:rPr>
            </w:pPr>
          </w:p>
          <w:p w:rsidR="00CB7817" w:rsidRPr="00E64DBE" w:rsidRDefault="00CB7817" w:rsidP="003E47C0">
            <w:pPr>
              <w:rPr>
                <w:bCs/>
                <w:sz w:val="22"/>
                <w:szCs w:val="22"/>
              </w:rPr>
            </w:pPr>
            <w:r w:rsidRPr="00E64DBE">
              <w:rPr>
                <w:bCs/>
                <w:sz w:val="22"/>
                <w:szCs w:val="22"/>
              </w:rPr>
              <w:t xml:space="preserve">Förslag till rådets beslut om den ståndpunkt som ska intas på Europeiska unionens vägnar i den gemensamma kommitté som inrättats genom avtalet mellan Europeiska unionen och </w:t>
            </w:r>
            <w:proofErr w:type="gramStart"/>
            <w:r w:rsidRPr="00E64DBE">
              <w:rPr>
                <w:b/>
                <w:bCs/>
                <w:sz w:val="22"/>
                <w:szCs w:val="22"/>
              </w:rPr>
              <w:t>Schweiziska</w:t>
            </w:r>
            <w:proofErr w:type="gramEnd"/>
            <w:r w:rsidRPr="00E64DBE">
              <w:rPr>
                <w:bCs/>
                <w:sz w:val="22"/>
                <w:szCs w:val="22"/>
              </w:rPr>
              <w:t xml:space="preserve"> edsförbundet om sammankoppling av deras </w:t>
            </w:r>
            <w:r w:rsidRPr="00E64DBE">
              <w:rPr>
                <w:b/>
                <w:bCs/>
                <w:sz w:val="22"/>
                <w:szCs w:val="22"/>
              </w:rPr>
              <w:t>utsläppshandelssystem</w:t>
            </w:r>
            <w:r w:rsidRPr="00E64DBE">
              <w:rPr>
                <w:bCs/>
                <w:sz w:val="22"/>
                <w:szCs w:val="22"/>
              </w:rPr>
              <w:t xml:space="preserve"> för växthusgaser vad gäller ändring av bilagorna III och IV till avtalet</w:t>
            </w:r>
            <w:r w:rsidRPr="00E64DBE">
              <w:rPr>
                <w:sz w:val="22"/>
                <w:szCs w:val="22"/>
              </w:rPr>
              <w:br/>
            </w:r>
          </w:p>
        </w:tc>
      </w:tr>
      <w:tr w:rsidR="00CB7817" w:rsidRPr="00E64DBE" w:rsidTr="00CB7817">
        <w:trPr>
          <w:trHeight w:val="315"/>
        </w:trPr>
        <w:tc>
          <w:tcPr>
            <w:tcW w:w="1982" w:type="dxa"/>
            <w:shd w:val="clear" w:color="auto" w:fill="auto"/>
            <w:vAlign w:val="center"/>
          </w:tcPr>
          <w:p w:rsidR="00CB7817" w:rsidRPr="00E64DBE" w:rsidRDefault="0033480E" w:rsidP="003E47C0">
            <w:pPr>
              <w:rPr>
                <w:bCs/>
                <w:sz w:val="22"/>
                <w:szCs w:val="22"/>
              </w:rPr>
            </w:pPr>
            <w:hyperlink r:id="rId12" w:history="1">
              <w:proofErr w:type="gramStart"/>
              <w:r w:rsidR="00CB7817" w:rsidRPr="00E64DBE">
                <w:rPr>
                  <w:bCs/>
                  <w:sz w:val="22"/>
                  <w:szCs w:val="22"/>
                </w:rPr>
                <w:t>COM(</w:t>
              </w:r>
              <w:proofErr w:type="gramEnd"/>
              <w:r w:rsidR="00CB7817" w:rsidRPr="00E64DBE">
                <w:rPr>
                  <w:bCs/>
                  <w:sz w:val="22"/>
                  <w:szCs w:val="22"/>
                </w:rPr>
                <w:t>2022) 113</w:t>
              </w:r>
            </w:hyperlink>
          </w:p>
        </w:tc>
        <w:tc>
          <w:tcPr>
            <w:tcW w:w="8373" w:type="dxa"/>
            <w:shd w:val="clear" w:color="auto" w:fill="auto"/>
            <w:vAlign w:val="center"/>
          </w:tcPr>
          <w:p w:rsidR="00CB7817" w:rsidRPr="00E64DBE" w:rsidRDefault="00CB7817" w:rsidP="003E47C0">
            <w:pPr>
              <w:rPr>
                <w:sz w:val="22"/>
                <w:szCs w:val="22"/>
              </w:rPr>
            </w:pPr>
            <w:r w:rsidRPr="00E64DBE">
              <w:rPr>
                <w:bCs/>
                <w:sz w:val="22"/>
                <w:szCs w:val="22"/>
              </w:rPr>
              <w:t xml:space="preserve">Förslag till Europaparlamentets och rådets förordning om ändring av förordning (EU) 2016/1628 vad gäller förlängning av kommissionens befogenhet att anta </w:t>
            </w:r>
            <w:r w:rsidRPr="00E64DBE">
              <w:rPr>
                <w:b/>
                <w:bCs/>
                <w:sz w:val="22"/>
                <w:szCs w:val="22"/>
              </w:rPr>
              <w:t>delegerade akter</w:t>
            </w:r>
          </w:p>
        </w:tc>
      </w:tr>
      <w:tr w:rsidR="00CB7817" w:rsidRPr="00E64DBE" w:rsidTr="00CB7817">
        <w:trPr>
          <w:trHeight w:val="315"/>
        </w:trPr>
        <w:tc>
          <w:tcPr>
            <w:tcW w:w="1982" w:type="dxa"/>
            <w:shd w:val="clear" w:color="auto" w:fill="auto"/>
            <w:vAlign w:val="center"/>
          </w:tcPr>
          <w:p w:rsidR="00CB7817" w:rsidRPr="00E64DBE" w:rsidRDefault="0033480E" w:rsidP="003E47C0">
            <w:pPr>
              <w:rPr>
                <w:bCs/>
                <w:sz w:val="22"/>
                <w:szCs w:val="22"/>
              </w:rPr>
            </w:pPr>
            <w:hyperlink r:id="rId13" w:history="1">
              <w:proofErr w:type="gramStart"/>
              <w:r w:rsidR="00CB7817" w:rsidRPr="00E64DBE">
                <w:rPr>
                  <w:bCs/>
                  <w:sz w:val="22"/>
                  <w:szCs w:val="22"/>
                </w:rPr>
                <w:t>COM(</w:t>
              </w:r>
              <w:proofErr w:type="gramEnd"/>
              <w:r w:rsidR="00CB7817" w:rsidRPr="00E64DBE">
                <w:rPr>
                  <w:bCs/>
                  <w:sz w:val="22"/>
                  <w:szCs w:val="22"/>
                </w:rPr>
                <w:t>2022) 133</w:t>
              </w:r>
            </w:hyperlink>
          </w:p>
        </w:tc>
        <w:tc>
          <w:tcPr>
            <w:tcW w:w="8373" w:type="dxa"/>
            <w:shd w:val="clear" w:color="auto" w:fill="auto"/>
            <w:vAlign w:val="center"/>
          </w:tcPr>
          <w:p w:rsidR="00CB7817" w:rsidRPr="00E64DBE" w:rsidRDefault="00CB7817" w:rsidP="003E47C0">
            <w:pPr>
              <w:rPr>
                <w:bCs/>
                <w:sz w:val="22"/>
                <w:szCs w:val="22"/>
              </w:rPr>
            </w:pPr>
          </w:p>
          <w:p w:rsidR="00CB7817" w:rsidRPr="00E64DBE" w:rsidRDefault="00CB7817" w:rsidP="003E47C0">
            <w:pPr>
              <w:rPr>
                <w:bCs/>
                <w:sz w:val="22"/>
                <w:szCs w:val="22"/>
              </w:rPr>
            </w:pPr>
            <w:r w:rsidRPr="00E64DBE">
              <w:rPr>
                <w:bCs/>
                <w:sz w:val="22"/>
                <w:szCs w:val="22"/>
              </w:rPr>
              <w:t xml:space="preserve">Meddelande från kommissionen: </w:t>
            </w:r>
            <w:r w:rsidRPr="00E64DBE">
              <w:rPr>
                <w:b/>
                <w:bCs/>
                <w:sz w:val="22"/>
                <w:szCs w:val="22"/>
              </w:rPr>
              <w:t>Säkra livsmedelsförsörjningen</w:t>
            </w:r>
            <w:r w:rsidRPr="00E64DBE">
              <w:rPr>
                <w:bCs/>
                <w:sz w:val="22"/>
                <w:szCs w:val="22"/>
              </w:rPr>
              <w:t xml:space="preserve"> och stärka motståndskraften i livsmedelssystemen</w:t>
            </w:r>
          </w:p>
          <w:p w:rsidR="00CB7817" w:rsidRPr="00E64DBE" w:rsidRDefault="00CB7817" w:rsidP="003E47C0">
            <w:pPr>
              <w:rPr>
                <w:bCs/>
                <w:sz w:val="22"/>
                <w:szCs w:val="22"/>
              </w:rPr>
            </w:pPr>
          </w:p>
        </w:tc>
      </w:tr>
      <w:bookmarkEnd w:id="3"/>
    </w:tbl>
    <w:p w:rsidR="00CB7817" w:rsidRPr="00E64DBE" w:rsidRDefault="00CB7817" w:rsidP="00CB7817">
      <w:pPr>
        <w:rPr>
          <w:b/>
          <w:kern w:val="32"/>
          <w:sz w:val="22"/>
          <w:szCs w:val="22"/>
        </w:rPr>
      </w:pPr>
    </w:p>
    <w:p w:rsidR="00CB7817" w:rsidRPr="00E64DBE" w:rsidRDefault="00CB7817" w:rsidP="00CB7817">
      <w:pPr>
        <w:rPr>
          <w:b/>
          <w:kern w:val="32"/>
          <w:sz w:val="22"/>
          <w:szCs w:val="22"/>
        </w:rPr>
      </w:pPr>
      <w:r w:rsidRPr="00E64DBE">
        <w:rPr>
          <w:b/>
          <w:kern w:val="32"/>
          <w:sz w:val="22"/>
          <w:szCs w:val="22"/>
        </w:rPr>
        <w:t xml:space="preserve">C-dokument för kännedom. (Handlingar som rör rättsakter från kommissionens eget ansvarsområde, bl.a. genomförandeakter och delegerade akter som lämnats till rådet och parlamentet för kännedom.) </w:t>
      </w:r>
    </w:p>
    <w:p w:rsidR="00CB7817" w:rsidRPr="00E64DBE" w:rsidRDefault="00CB7817" w:rsidP="00CB7817">
      <w:pPr>
        <w:rPr>
          <w:b/>
          <w:kern w:val="32"/>
          <w:sz w:val="22"/>
          <w:szCs w:val="22"/>
        </w:rPr>
      </w:pPr>
    </w:p>
    <w:tbl>
      <w:tblPr>
        <w:tblW w:w="103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0"/>
        <w:gridCol w:w="8455"/>
      </w:tblGrid>
      <w:tr w:rsidR="00CB7817" w:rsidRPr="00E64DBE" w:rsidTr="00CB7817">
        <w:trPr>
          <w:trHeight w:val="572"/>
          <w:tblHeader/>
        </w:trPr>
        <w:tc>
          <w:tcPr>
            <w:tcW w:w="1900" w:type="dxa"/>
            <w:shd w:val="clear" w:color="auto" w:fill="auto"/>
            <w:vAlign w:val="center"/>
          </w:tcPr>
          <w:p w:rsidR="00CB7817" w:rsidRPr="00E64DBE" w:rsidRDefault="00CB7817" w:rsidP="003E47C0">
            <w:pPr>
              <w:rPr>
                <w:b/>
                <w:bCs/>
                <w:sz w:val="22"/>
                <w:szCs w:val="22"/>
              </w:rPr>
            </w:pPr>
            <w:r w:rsidRPr="00E64DBE">
              <w:rPr>
                <w:b/>
                <w:bCs/>
                <w:sz w:val="22"/>
                <w:szCs w:val="22"/>
              </w:rPr>
              <w:t>Beteckning</w:t>
            </w:r>
          </w:p>
        </w:tc>
        <w:tc>
          <w:tcPr>
            <w:tcW w:w="8455" w:type="dxa"/>
            <w:shd w:val="clear" w:color="auto" w:fill="auto"/>
            <w:vAlign w:val="center"/>
          </w:tcPr>
          <w:p w:rsidR="00CB7817" w:rsidRPr="00E64DBE" w:rsidRDefault="00CB7817" w:rsidP="003E47C0">
            <w:pPr>
              <w:rPr>
                <w:b/>
                <w:sz w:val="22"/>
                <w:szCs w:val="22"/>
              </w:rPr>
            </w:pPr>
            <w:r w:rsidRPr="00E64DBE">
              <w:rPr>
                <w:b/>
                <w:sz w:val="22"/>
                <w:szCs w:val="22"/>
              </w:rPr>
              <w:t>Rubrik</w:t>
            </w:r>
          </w:p>
        </w:tc>
      </w:tr>
      <w:tr w:rsidR="00CB7817" w:rsidRPr="00E64DBE" w:rsidTr="00CB7817">
        <w:trPr>
          <w:trHeight w:val="572"/>
        </w:trPr>
        <w:tc>
          <w:tcPr>
            <w:tcW w:w="1900" w:type="dxa"/>
            <w:shd w:val="clear" w:color="auto" w:fill="auto"/>
            <w:vAlign w:val="center"/>
          </w:tcPr>
          <w:p w:rsidR="00CB7817" w:rsidRPr="00E64DBE" w:rsidRDefault="0033480E" w:rsidP="003E47C0">
            <w:pPr>
              <w:rPr>
                <w:bCs/>
                <w:sz w:val="22"/>
                <w:szCs w:val="22"/>
              </w:rPr>
            </w:pPr>
            <w:hyperlink r:id="rId14" w:history="1">
              <w:proofErr w:type="gramStart"/>
              <w:r w:rsidR="00CB7817" w:rsidRPr="00E64DBE">
                <w:rPr>
                  <w:bCs/>
                  <w:sz w:val="22"/>
                  <w:szCs w:val="22"/>
                </w:rPr>
                <w:t>C(</w:t>
              </w:r>
              <w:proofErr w:type="gramEnd"/>
              <w:r w:rsidR="00CB7817" w:rsidRPr="00E64DBE">
                <w:rPr>
                  <w:bCs/>
                  <w:sz w:val="22"/>
                  <w:szCs w:val="22"/>
                </w:rPr>
                <w:t>2022) 1258</w:t>
              </w:r>
            </w:hyperlink>
          </w:p>
        </w:tc>
        <w:tc>
          <w:tcPr>
            <w:tcW w:w="8455" w:type="dxa"/>
            <w:shd w:val="clear" w:color="auto" w:fill="auto"/>
            <w:vAlign w:val="center"/>
          </w:tcPr>
          <w:p w:rsidR="00CB7817" w:rsidRPr="00E64DBE" w:rsidRDefault="00CB7817" w:rsidP="003E47C0">
            <w:pPr>
              <w:rPr>
                <w:bCs/>
                <w:sz w:val="22"/>
                <w:szCs w:val="22"/>
              </w:rPr>
            </w:pPr>
          </w:p>
          <w:p w:rsidR="00CB7817" w:rsidRPr="00E64DBE" w:rsidRDefault="00CB7817" w:rsidP="003E47C0">
            <w:pPr>
              <w:rPr>
                <w:b/>
                <w:bCs/>
                <w:sz w:val="22"/>
                <w:szCs w:val="22"/>
              </w:rPr>
            </w:pPr>
            <w:r w:rsidRPr="00E64DBE">
              <w:rPr>
                <w:bCs/>
                <w:sz w:val="22"/>
                <w:szCs w:val="22"/>
              </w:rPr>
              <w:t>Kommissionens svar på utlåtande 2021/</w:t>
            </w:r>
            <w:proofErr w:type="gramStart"/>
            <w:r w:rsidRPr="00E64DBE">
              <w:rPr>
                <w:bCs/>
                <w:sz w:val="22"/>
                <w:szCs w:val="22"/>
              </w:rPr>
              <w:t>22:MJU</w:t>
            </w:r>
            <w:proofErr w:type="gramEnd"/>
            <w:r w:rsidRPr="00E64DBE">
              <w:rPr>
                <w:bCs/>
                <w:sz w:val="22"/>
                <w:szCs w:val="22"/>
              </w:rPr>
              <w:t xml:space="preserve">8 Kommissionens meddelande om en ny </w:t>
            </w:r>
            <w:r w:rsidRPr="00E64DBE">
              <w:rPr>
                <w:b/>
                <w:bCs/>
                <w:sz w:val="22"/>
                <w:szCs w:val="22"/>
              </w:rPr>
              <w:t>EU-skogsstrategi för 2030</w:t>
            </w:r>
          </w:p>
          <w:p w:rsidR="00CB7817" w:rsidRPr="00E64DBE" w:rsidRDefault="00CB7817" w:rsidP="003E47C0">
            <w:pPr>
              <w:rPr>
                <w:sz w:val="22"/>
                <w:szCs w:val="22"/>
              </w:rPr>
            </w:pPr>
          </w:p>
        </w:tc>
      </w:tr>
      <w:tr w:rsidR="00CB7817" w:rsidRPr="00E64DBE" w:rsidTr="00CB7817">
        <w:trPr>
          <w:trHeight w:val="572"/>
        </w:trPr>
        <w:tc>
          <w:tcPr>
            <w:tcW w:w="1900" w:type="dxa"/>
            <w:shd w:val="clear" w:color="auto" w:fill="auto"/>
            <w:vAlign w:val="center"/>
          </w:tcPr>
          <w:p w:rsidR="00CB7817" w:rsidRPr="00E64DBE" w:rsidRDefault="0033480E" w:rsidP="003E47C0">
            <w:pPr>
              <w:rPr>
                <w:bCs/>
                <w:sz w:val="22"/>
                <w:szCs w:val="22"/>
              </w:rPr>
            </w:pPr>
            <w:hyperlink r:id="rId15" w:history="1">
              <w:proofErr w:type="gramStart"/>
              <w:r w:rsidR="00CB7817" w:rsidRPr="00E64DBE">
                <w:rPr>
                  <w:bCs/>
                  <w:sz w:val="22"/>
                  <w:szCs w:val="22"/>
                </w:rPr>
                <w:t>C(</w:t>
              </w:r>
              <w:proofErr w:type="gramEnd"/>
              <w:r w:rsidR="00CB7817" w:rsidRPr="00E64DBE">
                <w:rPr>
                  <w:bCs/>
                  <w:sz w:val="22"/>
                  <w:szCs w:val="22"/>
                </w:rPr>
                <w:t>2022) 1530</w:t>
              </w:r>
            </w:hyperlink>
          </w:p>
        </w:tc>
        <w:tc>
          <w:tcPr>
            <w:tcW w:w="8455" w:type="dxa"/>
            <w:shd w:val="clear" w:color="auto" w:fill="auto"/>
            <w:vAlign w:val="center"/>
          </w:tcPr>
          <w:p w:rsidR="00CB7817" w:rsidRPr="00E64DBE" w:rsidRDefault="00CB7817" w:rsidP="003E47C0">
            <w:pPr>
              <w:rPr>
                <w:bCs/>
                <w:sz w:val="22"/>
                <w:szCs w:val="22"/>
              </w:rPr>
            </w:pPr>
          </w:p>
          <w:p w:rsidR="00CB7817" w:rsidRPr="00E64DBE" w:rsidRDefault="00CB7817" w:rsidP="003E47C0">
            <w:pPr>
              <w:rPr>
                <w:sz w:val="22"/>
                <w:szCs w:val="22"/>
              </w:rPr>
            </w:pPr>
            <w:r w:rsidRPr="00E64DBE">
              <w:rPr>
                <w:bCs/>
                <w:sz w:val="22"/>
                <w:szCs w:val="22"/>
              </w:rPr>
              <w:t xml:space="preserve">Kommissionens genomförande: </w:t>
            </w:r>
            <w:r w:rsidRPr="00E64DBE">
              <w:rPr>
                <w:bCs/>
                <w:sz w:val="22"/>
                <w:szCs w:val="22"/>
              </w:rPr>
              <w:br/>
              <w:t xml:space="preserve">Beslut om ansökan om registrering av det europeiska medborgarinitiativet ”Fur </w:t>
            </w:r>
            <w:proofErr w:type="spellStart"/>
            <w:r w:rsidRPr="00E64DBE">
              <w:rPr>
                <w:bCs/>
                <w:sz w:val="22"/>
                <w:szCs w:val="22"/>
              </w:rPr>
              <w:t>Free</w:t>
            </w:r>
            <w:proofErr w:type="spellEnd"/>
            <w:r w:rsidRPr="00E64DBE">
              <w:rPr>
                <w:bCs/>
                <w:sz w:val="22"/>
                <w:szCs w:val="22"/>
              </w:rPr>
              <w:t xml:space="preserve"> </w:t>
            </w:r>
            <w:proofErr w:type="spellStart"/>
            <w:r w:rsidRPr="00E64DBE">
              <w:rPr>
                <w:bCs/>
                <w:sz w:val="22"/>
                <w:szCs w:val="22"/>
              </w:rPr>
              <w:t>Europe</w:t>
            </w:r>
            <w:proofErr w:type="spellEnd"/>
            <w:r w:rsidRPr="00E64DBE">
              <w:rPr>
                <w:bCs/>
                <w:sz w:val="22"/>
                <w:szCs w:val="22"/>
              </w:rPr>
              <w:t>” (”</w:t>
            </w:r>
            <w:r w:rsidRPr="00E64DBE">
              <w:rPr>
                <w:b/>
                <w:bCs/>
                <w:sz w:val="22"/>
                <w:szCs w:val="22"/>
              </w:rPr>
              <w:t>Ett pälsfritt Europa</w:t>
            </w:r>
            <w:r w:rsidRPr="00E64DBE">
              <w:rPr>
                <w:bCs/>
                <w:sz w:val="22"/>
                <w:szCs w:val="22"/>
              </w:rPr>
              <w:t>”) i enlighet med Europaparlamentets och rådets förordning (EU) 2019/788</w:t>
            </w:r>
            <w:r w:rsidRPr="00E64DBE">
              <w:rPr>
                <w:sz w:val="22"/>
                <w:szCs w:val="22"/>
              </w:rPr>
              <w:br/>
            </w:r>
          </w:p>
        </w:tc>
      </w:tr>
    </w:tbl>
    <w:p w:rsidR="00CB7817" w:rsidRPr="00E64DBE" w:rsidRDefault="00CB7817" w:rsidP="00CB7817">
      <w:pPr>
        <w:rPr>
          <w:b/>
          <w:kern w:val="32"/>
          <w:sz w:val="22"/>
          <w:szCs w:val="22"/>
        </w:rPr>
      </w:pPr>
    </w:p>
    <w:p w:rsidR="00CB7817" w:rsidRPr="00E64DBE" w:rsidRDefault="00CB7817" w:rsidP="00CB7817">
      <w:pPr>
        <w:rPr>
          <w:b/>
          <w:kern w:val="32"/>
          <w:sz w:val="22"/>
          <w:szCs w:val="22"/>
        </w:rPr>
      </w:pPr>
    </w:p>
    <w:p w:rsidR="00CB7817" w:rsidRPr="00E64DBE" w:rsidRDefault="00CB7817" w:rsidP="00CB7817">
      <w:pPr>
        <w:rPr>
          <w:b/>
          <w:kern w:val="32"/>
          <w:sz w:val="22"/>
          <w:szCs w:val="22"/>
        </w:rPr>
      </w:pPr>
      <w:r w:rsidRPr="00E64DBE">
        <w:rPr>
          <w:b/>
          <w:kern w:val="32"/>
          <w:sz w:val="22"/>
          <w:szCs w:val="22"/>
        </w:rPr>
        <w:t xml:space="preserve">Övriga överlämnade dokument som rör EU-arbetet för kännedom. </w:t>
      </w:r>
    </w:p>
    <w:p w:rsidR="00CB7817" w:rsidRPr="00E64DBE" w:rsidRDefault="00CB7817" w:rsidP="00CB7817">
      <w:pPr>
        <w:rPr>
          <w:b/>
          <w:kern w:val="32"/>
          <w:sz w:val="22"/>
          <w:szCs w:val="22"/>
        </w:rPr>
      </w:pPr>
    </w:p>
    <w:tbl>
      <w:tblPr>
        <w:tblW w:w="103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6"/>
        <w:gridCol w:w="8089"/>
      </w:tblGrid>
      <w:tr w:rsidR="00CB7817" w:rsidRPr="00E64DBE" w:rsidTr="00CB7817">
        <w:trPr>
          <w:trHeight w:val="572"/>
        </w:trPr>
        <w:tc>
          <w:tcPr>
            <w:tcW w:w="2266" w:type="dxa"/>
            <w:shd w:val="clear" w:color="auto" w:fill="auto"/>
            <w:vAlign w:val="center"/>
          </w:tcPr>
          <w:p w:rsidR="00CB7817" w:rsidRPr="00E64DBE" w:rsidRDefault="00CB7817" w:rsidP="003E47C0">
            <w:pPr>
              <w:rPr>
                <w:b/>
                <w:sz w:val="22"/>
                <w:szCs w:val="22"/>
              </w:rPr>
            </w:pPr>
            <w:r w:rsidRPr="00E64DBE">
              <w:rPr>
                <w:b/>
                <w:sz w:val="22"/>
                <w:szCs w:val="22"/>
              </w:rPr>
              <w:t>Rådsmöten</w:t>
            </w:r>
          </w:p>
        </w:tc>
        <w:tc>
          <w:tcPr>
            <w:tcW w:w="8089" w:type="dxa"/>
            <w:shd w:val="clear" w:color="auto" w:fill="auto"/>
            <w:vAlign w:val="center"/>
          </w:tcPr>
          <w:p w:rsidR="00CB7817" w:rsidRPr="00E64DBE" w:rsidRDefault="00CB7817" w:rsidP="003E47C0">
            <w:pPr>
              <w:rPr>
                <w:sz w:val="22"/>
                <w:szCs w:val="22"/>
              </w:rPr>
            </w:pPr>
          </w:p>
        </w:tc>
      </w:tr>
      <w:tr w:rsidR="00CB7817" w:rsidRPr="00E64DBE" w:rsidTr="00CB7817">
        <w:trPr>
          <w:trHeight w:val="572"/>
        </w:trPr>
        <w:tc>
          <w:tcPr>
            <w:tcW w:w="2266" w:type="dxa"/>
            <w:shd w:val="clear" w:color="auto" w:fill="auto"/>
            <w:vAlign w:val="center"/>
          </w:tcPr>
          <w:p w:rsidR="00CB7817" w:rsidRPr="00E64DBE" w:rsidRDefault="00CB7817" w:rsidP="003E47C0">
            <w:pPr>
              <w:rPr>
                <w:bCs/>
                <w:sz w:val="22"/>
                <w:szCs w:val="22"/>
              </w:rPr>
            </w:pPr>
          </w:p>
        </w:tc>
        <w:tc>
          <w:tcPr>
            <w:tcW w:w="8089" w:type="dxa"/>
            <w:shd w:val="clear" w:color="auto" w:fill="auto"/>
            <w:vAlign w:val="center"/>
          </w:tcPr>
          <w:p w:rsidR="00CB7817" w:rsidRPr="00E64DBE" w:rsidRDefault="00CB7817" w:rsidP="003E47C0">
            <w:pPr>
              <w:rPr>
                <w:bCs/>
                <w:sz w:val="22"/>
                <w:szCs w:val="22"/>
              </w:rPr>
            </w:pPr>
          </w:p>
          <w:p w:rsidR="00CB7817" w:rsidRPr="00E64DBE" w:rsidRDefault="00CB7817" w:rsidP="003E47C0">
            <w:pPr>
              <w:rPr>
                <w:bCs/>
                <w:sz w:val="22"/>
                <w:szCs w:val="22"/>
              </w:rPr>
            </w:pPr>
            <w:r w:rsidRPr="00E64DBE">
              <w:rPr>
                <w:bCs/>
                <w:sz w:val="22"/>
                <w:szCs w:val="22"/>
              </w:rPr>
              <w:t>Rapport från extrainsatt informellt videkonferensmöte (jordbruksministrarna), 2 mars 2022</w:t>
            </w:r>
            <w:r w:rsidRPr="00E64DBE">
              <w:rPr>
                <w:bCs/>
                <w:sz w:val="22"/>
                <w:szCs w:val="22"/>
              </w:rPr>
              <w:br/>
            </w:r>
            <w:hyperlink r:id="rId16" w:history="1">
              <w:r w:rsidRPr="00E64DBE">
                <w:rPr>
                  <w:bCs/>
                  <w:sz w:val="22"/>
                  <w:szCs w:val="22"/>
                </w:rPr>
                <w:t>Rapport informellt ministermöte AGRIFISH 2 mars 2022</w:t>
              </w:r>
            </w:hyperlink>
            <w:r w:rsidRPr="00E64DBE">
              <w:rPr>
                <w:bCs/>
                <w:sz w:val="22"/>
                <w:szCs w:val="22"/>
              </w:rPr>
              <w:br/>
            </w:r>
          </w:p>
        </w:tc>
      </w:tr>
      <w:tr w:rsidR="00CB7817" w:rsidRPr="00E64DBE" w:rsidTr="00CB7817">
        <w:trPr>
          <w:trHeight w:val="572"/>
        </w:trPr>
        <w:tc>
          <w:tcPr>
            <w:tcW w:w="2266" w:type="dxa"/>
            <w:shd w:val="clear" w:color="auto" w:fill="auto"/>
            <w:vAlign w:val="center"/>
          </w:tcPr>
          <w:p w:rsidR="00CB7817" w:rsidRPr="00E64DBE" w:rsidRDefault="00CB7817" w:rsidP="003E47C0">
            <w:pPr>
              <w:rPr>
                <w:b/>
                <w:sz w:val="22"/>
                <w:szCs w:val="22"/>
              </w:rPr>
            </w:pPr>
          </w:p>
        </w:tc>
        <w:tc>
          <w:tcPr>
            <w:tcW w:w="8089" w:type="dxa"/>
            <w:shd w:val="clear" w:color="auto" w:fill="auto"/>
            <w:vAlign w:val="center"/>
          </w:tcPr>
          <w:p w:rsidR="00CB7817" w:rsidRPr="00E64DBE" w:rsidRDefault="00CB7817" w:rsidP="003E47C0">
            <w:pPr>
              <w:rPr>
                <w:bCs/>
                <w:sz w:val="22"/>
                <w:szCs w:val="22"/>
              </w:rPr>
            </w:pPr>
          </w:p>
          <w:p w:rsidR="00CB7817" w:rsidRPr="00E64DBE" w:rsidRDefault="00CB7817" w:rsidP="00BD72D1">
            <w:pPr>
              <w:rPr>
                <w:bCs/>
                <w:sz w:val="22"/>
                <w:szCs w:val="22"/>
              </w:rPr>
            </w:pPr>
            <w:r w:rsidRPr="00E64DBE">
              <w:rPr>
                <w:bCs/>
                <w:sz w:val="22"/>
                <w:szCs w:val="22"/>
              </w:rPr>
              <w:t>Återrapport från miljöministrarnas möte den 17 mars 2022</w:t>
            </w:r>
            <w:r w:rsidRPr="00E64DBE">
              <w:rPr>
                <w:sz w:val="22"/>
                <w:szCs w:val="22"/>
              </w:rPr>
              <w:br/>
            </w:r>
            <w:hyperlink r:id="rId17" w:history="1">
              <w:r w:rsidRPr="00E64DBE">
                <w:rPr>
                  <w:bCs/>
                  <w:sz w:val="22"/>
                  <w:szCs w:val="22"/>
                </w:rPr>
                <w:t>Rapport ENVI 17 mars 2022</w:t>
              </w:r>
            </w:hyperlink>
          </w:p>
        </w:tc>
      </w:tr>
      <w:tr w:rsidR="00CB7817" w:rsidRPr="00E64DBE" w:rsidTr="00CB7817">
        <w:trPr>
          <w:trHeight w:val="572"/>
        </w:trPr>
        <w:tc>
          <w:tcPr>
            <w:tcW w:w="2266" w:type="dxa"/>
            <w:shd w:val="clear" w:color="auto" w:fill="auto"/>
            <w:vAlign w:val="center"/>
          </w:tcPr>
          <w:p w:rsidR="00CB7817" w:rsidRPr="00E64DBE" w:rsidRDefault="00CB7817" w:rsidP="003E47C0">
            <w:pPr>
              <w:rPr>
                <w:b/>
                <w:sz w:val="22"/>
                <w:szCs w:val="22"/>
              </w:rPr>
            </w:pPr>
            <w:r w:rsidRPr="00E64DBE">
              <w:rPr>
                <w:b/>
                <w:sz w:val="22"/>
                <w:szCs w:val="22"/>
              </w:rPr>
              <w:lastRenderedPageBreak/>
              <w:t>Antagna dokument</w:t>
            </w:r>
          </w:p>
        </w:tc>
        <w:tc>
          <w:tcPr>
            <w:tcW w:w="8089" w:type="dxa"/>
            <w:shd w:val="clear" w:color="auto" w:fill="auto"/>
            <w:vAlign w:val="center"/>
          </w:tcPr>
          <w:p w:rsidR="00CB7817" w:rsidRPr="00E64DBE" w:rsidRDefault="00CB7817" w:rsidP="003E47C0">
            <w:pPr>
              <w:rPr>
                <w:sz w:val="22"/>
                <w:szCs w:val="22"/>
              </w:rPr>
            </w:pPr>
          </w:p>
        </w:tc>
      </w:tr>
      <w:tr w:rsidR="00CB7817" w:rsidRPr="00E64DBE" w:rsidTr="00CB7817">
        <w:trPr>
          <w:trHeight w:val="572"/>
        </w:trPr>
        <w:tc>
          <w:tcPr>
            <w:tcW w:w="2266" w:type="dxa"/>
            <w:shd w:val="clear" w:color="auto" w:fill="auto"/>
            <w:vAlign w:val="center"/>
          </w:tcPr>
          <w:p w:rsidR="00CB7817" w:rsidRPr="00E64DBE" w:rsidRDefault="00CB7817" w:rsidP="003E47C0">
            <w:pPr>
              <w:rPr>
                <w:b/>
                <w:sz w:val="22"/>
                <w:szCs w:val="22"/>
              </w:rPr>
            </w:pPr>
          </w:p>
        </w:tc>
        <w:tc>
          <w:tcPr>
            <w:tcW w:w="8089" w:type="dxa"/>
            <w:shd w:val="clear" w:color="auto" w:fill="auto"/>
            <w:vAlign w:val="center"/>
          </w:tcPr>
          <w:p w:rsidR="00CB7817" w:rsidRPr="00E64DBE" w:rsidRDefault="00CB7817" w:rsidP="003E47C0">
            <w:pPr>
              <w:rPr>
                <w:sz w:val="22"/>
                <w:szCs w:val="22"/>
              </w:rPr>
            </w:pPr>
          </w:p>
          <w:p w:rsidR="00CB7817" w:rsidRPr="00E64DBE" w:rsidRDefault="00CB7817" w:rsidP="003E47C0">
            <w:pPr>
              <w:rPr>
                <w:rStyle w:val="Hyperlnk"/>
                <w:sz w:val="22"/>
                <w:szCs w:val="22"/>
              </w:rPr>
            </w:pPr>
            <w:r w:rsidRPr="00E64DBE">
              <w:rPr>
                <w:sz w:val="22"/>
                <w:szCs w:val="22"/>
              </w:rPr>
              <w:t xml:space="preserve">Dokument antagna av Europaparlamentet under sammanträdesperioden </w:t>
            </w:r>
            <w:proofErr w:type="gramStart"/>
            <w:r w:rsidRPr="00E64DBE">
              <w:rPr>
                <w:sz w:val="22"/>
                <w:szCs w:val="22"/>
              </w:rPr>
              <w:t>14-17</w:t>
            </w:r>
            <w:proofErr w:type="gramEnd"/>
            <w:r w:rsidRPr="00E64DBE">
              <w:rPr>
                <w:sz w:val="22"/>
                <w:szCs w:val="22"/>
              </w:rPr>
              <w:t xml:space="preserve"> februari 2022</w:t>
            </w:r>
            <w:r w:rsidRPr="00E64DBE">
              <w:rPr>
                <w:sz w:val="22"/>
                <w:szCs w:val="22"/>
              </w:rPr>
              <w:br/>
            </w:r>
            <w:r w:rsidRPr="00070F21">
              <w:rPr>
                <w:sz w:val="22"/>
                <w:szCs w:val="22"/>
              </w:rPr>
              <w:t>Dokument antagna av Europaparlamentet 14-17 februari 2022</w:t>
            </w:r>
          </w:p>
          <w:p w:rsidR="00CB7817" w:rsidRPr="00E64DBE" w:rsidRDefault="00CB7817" w:rsidP="003E47C0">
            <w:pPr>
              <w:rPr>
                <w:sz w:val="22"/>
                <w:szCs w:val="22"/>
              </w:rPr>
            </w:pPr>
          </w:p>
        </w:tc>
      </w:tr>
      <w:tr w:rsidR="00CB7817" w:rsidRPr="00E64DBE" w:rsidTr="00CB7817">
        <w:trPr>
          <w:trHeight w:val="572"/>
        </w:trPr>
        <w:tc>
          <w:tcPr>
            <w:tcW w:w="2266" w:type="dxa"/>
            <w:shd w:val="clear" w:color="auto" w:fill="auto"/>
            <w:vAlign w:val="center"/>
          </w:tcPr>
          <w:p w:rsidR="00CB7817" w:rsidRPr="00E64DBE" w:rsidRDefault="00CB7817" w:rsidP="003E47C0">
            <w:pPr>
              <w:rPr>
                <w:sz w:val="22"/>
                <w:szCs w:val="22"/>
              </w:rPr>
            </w:pPr>
            <w:r w:rsidRPr="00E64DBE">
              <w:rPr>
                <w:sz w:val="22"/>
                <w:szCs w:val="22"/>
              </w:rPr>
              <w:br/>
            </w:r>
          </w:p>
        </w:tc>
        <w:tc>
          <w:tcPr>
            <w:tcW w:w="8089" w:type="dxa"/>
            <w:shd w:val="clear" w:color="auto" w:fill="auto"/>
            <w:vAlign w:val="center"/>
          </w:tcPr>
          <w:p w:rsidR="00CB7817" w:rsidRPr="00E64DBE" w:rsidRDefault="00CB7817" w:rsidP="003E47C0">
            <w:pPr>
              <w:rPr>
                <w:sz w:val="22"/>
                <w:szCs w:val="22"/>
              </w:rPr>
            </w:pPr>
          </w:p>
          <w:p w:rsidR="00CB7817" w:rsidRPr="00E64DBE" w:rsidRDefault="00CB7817" w:rsidP="003E47C0">
            <w:pPr>
              <w:rPr>
                <w:sz w:val="22"/>
                <w:szCs w:val="22"/>
              </w:rPr>
            </w:pPr>
            <w:r w:rsidRPr="00E64DBE">
              <w:rPr>
                <w:sz w:val="22"/>
                <w:szCs w:val="22"/>
              </w:rPr>
              <w:t xml:space="preserve">Europaparlamentets och rådets beslut om ett allmänt </w:t>
            </w:r>
            <w:r w:rsidRPr="00E64DBE">
              <w:rPr>
                <w:b/>
                <w:sz w:val="22"/>
                <w:szCs w:val="22"/>
              </w:rPr>
              <w:t>miljöhandlingsprogram</w:t>
            </w:r>
            <w:r w:rsidRPr="00E64DBE">
              <w:rPr>
                <w:sz w:val="22"/>
                <w:szCs w:val="22"/>
              </w:rPr>
              <w:t xml:space="preserve"> för unionen till 2030</w:t>
            </w:r>
          </w:p>
          <w:p w:rsidR="00CB7817" w:rsidRPr="00E64DBE" w:rsidRDefault="00CB7817" w:rsidP="003E47C0">
            <w:pPr>
              <w:rPr>
                <w:sz w:val="22"/>
                <w:szCs w:val="22"/>
              </w:rPr>
            </w:pPr>
            <w:r w:rsidRPr="00E64DBE">
              <w:rPr>
                <w:sz w:val="22"/>
                <w:szCs w:val="22"/>
              </w:rPr>
              <w:t xml:space="preserve">Antagen text </w:t>
            </w:r>
          </w:p>
          <w:p w:rsidR="00CB7817" w:rsidRPr="00E64DBE" w:rsidRDefault="00CB7817" w:rsidP="003E47C0">
            <w:pPr>
              <w:rPr>
                <w:sz w:val="22"/>
                <w:szCs w:val="22"/>
              </w:rPr>
            </w:pPr>
            <w:r w:rsidRPr="00070F21">
              <w:rPr>
                <w:sz w:val="22"/>
                <w:szCs w:val="22"/>
              </w:rPr>
              <w:t>https://data.consilium.europa.eu/doc/document/PE-83-2021-INIT/sv/pdf</w:t>
            </w:r>
            <w:r w:rsidRPr="00E64DBE">
              <w:rPr>
                <w:sz w:val="22"/>
                <w:szCs w:val="22"/>
              </w:rPr>
              <w:t xml:space="preserve"> </w:t>
            </w:r>
          </w:p>
          <w:p w:rsidR="00CB7817" w:rsidRPr="00E64DBE" w:rsidRDefault="00CB7817" w:rsidP="003E47C0">
            <w:pPr>
              <w:rPr>
                <w:sz w:val="22"/>
                <w:szCs w:val="22"/>
              </w:rPr>
            </w:pPr>
            <w:r w:rsidRPr="00E64DBE">
              <w:rPr>
                <w:sz w:val="22"/>
                <w:szCs w:val="22"/>
              </w:rPr>
              <w:t xml:space="preserve">Ursprungligt förslag </w:t>
            </w:r>
            <w:proofErr w:type="gramStart"/>
            <w:r w:rsidRPr="00E64DBE">
              <w:rPr>
                <w:sz w:val="22"/>
                <w:szCs w:val="22"/>
              </w:rPr>
              <w:t>COM(</w:t>
            </w:r>
            <w:proofErr w:type="gramEnd"/>
            <w:r w:rsidRPr="00E64DBE">
              <w:rPr>
                <w:sz w:val="22"/>
                <w:szCs w:val="22"/>
              </w:rPr>
              <w:t>2020) 652</w:t>
            </w:r>
          </w:p>
          <w:p w:rsidR="00CB7817" w:rsidRPr="00E64DBE" w:rsidRDefault="00CB7817" w:rsidP="003E47C0">
            <w:pPr>
              <w:rPr>
                <w:sz w:val="22"/>
                <w:szCs w:val="22"/>
              </w:rPr>
            </w:pPr>
            <w:r w:rsidRPr="00070F21">
              <w:rPr>
                <w:sz w:val="22"/>
                <w:szCs w:val="22"/>
              </w:rPr>
              <w:t>https://lemur.riksdagen.se/?dokumentId=34706</w:t>
            </w:r>
          </w:p>
          <w:p w:rsidR="00CB7817" w:rsidRPr="00E64DBE" w:rsidRDefault="00CB7817" w:rsidP="003E47C0">
            <w:pPr>
              <w:rPr>
                <w:sz w:val="22"/>
                <w:szCs w:val="22"/>
              </w:rPr>
            </w:pPr>
          </w:p>
        </w:tc>
      </w:tr>
      <w:tr w:rsidR="00CB7817" w:rsidRPr="00E64DBE" w:rsidTr="00CB7817">
        <w:trPr>
          <w:trHeight w:val="572"/>
        </w:trPr>
        <w:tc>
          <w:tcPr>
            <w:tcW w:w="2266" w:type="dxa"/>
            <w:shd w:val="clear" w:color="auto" w:fill="auto"/>
            <w:vAlign w:val="center"/>
          </w:tcPr>
          <w:p w:rsidR="00CB7817" w:rsidRPr="00E64DBE" w:rsidRDefault="00CB7817" w:rsidP="003E47C0">
            <w:pPr>
              <w:rPr>
                <w:sz w:val="22"/>
                <w:szCs w:val="22"/>
              </w:rPr>
            </w:pPr>
          </w:p>
        </w:tc>
        <w:tc>
          <w:tcPr>
            <w:tcW w:w="8089" w:type="dxa"/>
            <w:shd w:val="clear" w:color="auto" w:fill="auto"/>
            <w:vAlign w:val="center"/>
          </w:tcPr>
          <w:p w:rsidR="00CB7817" w:rsidRPr="00E64DBE" w:rsidRDefault="00CB7817" w:rsidP="003E47C0">
            <w:pPr>
              <w:rPr>
                <w:sz w:val="22"/>
                <w:szCs w:val="22"/>
              </w:rPr>
            </w:pPr>
            <w:r w:rsidRPr="00E64DBE">
              <w:rPr>
                <w:sz w:val="22"/>
                <w:szCs w:val="22"/>
              </w:rPr>
              <w:t xml:space="preserve">Förslag till Europaparlamentets och rådets förordning om ändring av Europaparlamentets och rådets förordning (EG) nr 138/2004 vad gäller </w:t>
            </w:r>
            <w:r w:rsidRPr="00E64DBE">
              <w:rPr>
                <w:b/>
                <w:sz w:val="22"/>
                <w:szCs w:val="22"/>
              </w:rPr>
              <w:t>regionalräkenskaper för jordbruket</w:t>
            </w:r>
          </w:p>
          <w:p w:rsidR="00CB7817" w:rsidRPr="00E64DBE" w:rsidRDefault="00CB7817" w:rsidP="003E47C0">
            <w:pPr>
              <w:rPr>
                <w:sz w:val="22"/>
                <w:szCs w:val="22"/>
              </w:rPr>
            </w:pPr>
            <w:r w:rsidRPr="00070F21">
              <w:rPr>
                <w:sz w:val="22"/>
                <w:szCs w:val="22"/>
              </w:rPr>
              <w:t>https://data.consilium.europa.eu/doc/document/PE-84-2021-INIT/sv/pdf</w:t>
            </w:r>
          </w:p>
          <w:p w:rsidR="00CB7817" w:rsidRPr="00E64DBE" w:rsidRDefault="00CB7817" w:rsidP="003E47C0">
            <w:pPr>
              <w:rPr>
                <w:sz w:val="22"/>
                <w:szCs w:val="22"/>
              </w:rPr>
            </w:pPr>
            <w:r w:rsidRPr="00E64DBE">
              <w:rPr>
                <w:sz w:val="22"/>
                <w:szCs w:val="22"/>
              </w:rPr>
              <w:t xml:space="preserve">Ursprungligt förslag </w:t>
            </w:r>
            <w:proofErr w:type="gramStart"/>
            <w:r w:rsidRPr="00E64DBE">
              <w:rPr>
                <w:sz w:val="22"/>
                <w:szCs w:val="22"/>
              </w:rPr>
              <w:t>COM(</w:t>
            </w:r>
            <w:proofErr w:type="gramEnd"/>
            <w:r w:rsidRPr="00E64DBE">
              <w:rPr>
                <w:sz w:val="22"/>
                <w:szCs w:val="22"/>
              </w:rPr>
              <w:t>2021) 54</w:t>
            </w:r>
          </w:p>
          <w:p w:rsidR="00CB7817" w:rsidRPr="00E64DBE" w:rsidRDefault="00CB7817" w:rsidP="003E47C0">
            <w:pPr>
              <w:rPr>
                <w:sz w:val="22"/>
                <w:szCs w:val="22"/>
              </w:rPr>
            </w:pPr>
            <w:r w:rsidRPr="00070F21">
              <w:rPr>
                <w:sz w:val="22"/>
                <w:szCs w:val="22"/>
              </w:rPr>
              <w:t>https://lemur.riksdagen.se/?dokumentId=35644</w:t>
            </w:r>
          </w:p>
          <w:p w:rsidR="00CB7817" w:rsidRPr="00E64DBE" w:rsidRDefault="00CB7817" w:rsidP="003E47C0">
            <w:pPr>
              <w:rPr>
                <w:sz w:val="22"/>
                <w:szCs w:val="22"/>
              </w:rPr>
            </w:pPr>
          </w:p>
        </w:tc>
      </w:tr>
      <w:tr w:rsidR="00CB7817" w:rsidRPr="00E64DBE" w:rsidTr="00CB7817">
        <w:trPr>
          <w:trHeight w:val="572"/>
        </w:trPr>
        <w:tc>
          <w:tcPr>
            <w:tcW w:w="2266" w:type="dxa"/>
            <w:shd w:val="clear" w:color="auto" w:fill="auto"/>
            <w:vAlign w:val="center"/>
          </w:tcPr>
          <w:p w:rsidR="00CB7817" w:rsidRPr="00E64DBE" w:rsidRDefault="00CB7817" w:rsidP="003E47C0">
            <w:pPr>
              <w:rPr>
                <w:sz w:val="22"/>
                <w:szCs w:val="22"/>
              </w:rPr>
            </w:pPr>
            <w:r w:rsidRPr="00E64DBE">
              <w:rPr>
                <w:b/>
                <w:sz w:val="22"/>
                <w:szCs w:val="22"/>
              </w:rPr>
              <w:t>Samråd</w:t>
            </w:r>
          </w:p>
        </w:tc>
        <w:tc>
          <w:tcPr>
            <w:tcW w:w="8089" w:type="dxa"/>
            <w:shd w:val="clear" w:color="auto" w:fill="auto"/>
            <w:vAlign w:val="center"/>
          </w:tcPr>
          <w:p w:rsidR="00CB7817" w:rsidRPr="00E64DBE" w:rsidRDefault="00CB7817" w:rsidP="003E47C0">
            <w:pPr>
              <w:rPr>
                <w:sz w:val="22"/>
                <w:szCs w:val="22"/>
              </w:rPr>
            </w:pPr>
          </w:p>
        </w:tc>
      </w:tr>
      <w:tr w:rsidR="00CB7817" w:rsidRPr="00E64DBE" w:rsidTr="00CB7817">
        <w:trPr>
          <w:trHeight w:val="572"/>
        </w:trPr>
        <w:tc>
          <w:tcPr>
            <w:tcW w:w="2266" w:type="dxa"/>
            <w:shd w:val="clear" w:color="auto" w:fill="auto"/>
            <w:vAlign w:val="center"/>
          </w:tcPr>
          <w:p w:rsidR="00CB7817" w:rsidRPr="00E64DBE" w:rsidRDefault="00CB7817" w:rsidP="003E47C0">
            <w:pPr>
              <w:rPr>
                <w:sz w:val="22"/>
                <w:szCs w:val="22"/>
              </w:rPr>
            </w:pPr>
          </w:p>
        </w:tc>
        <w:tc>
          <w:tcPr>
            <w:tcW w:w="8089" w:type="dxa"/>
            <w:shd w:val="clear" w:color="auto" w:fill="auto"/>
            <w:vAlign w:val="center"/>
          </w:tcPr>
          <w:p w:rsidR="00CB7817" w:rsidRPr="00E64DBE" w:rsidRDefault="00CB7817" w:rsidP="003E47C0">
            <w:pPr>
              <w:rPr>
                <w:bCs/>
                <w:sz w:val="22"/>
                <w:szCs w:val="22"/>
              </w:rPr>
            </w:pPr>
            <w:r w:rsidRPr="00E64DBE">
              <w:rPr>
                <w:bCs/>
                <w:sz w:val="22"/>
                <w:szCs w:val="22"/>
              </w:rPr>
              <w:t xml:space="preserve">Samråden gäller: </w:t>
            </w:r>
          </w:p>
          <w:p w:rsidR="00CB7817" w:rsidRPr="00E64DBE" w:rsidRDefault="00CB7817" w:rsidP="00CB7817">
            <w:pPr>
              <w:widowControl/>
              <w:numPr>
                <w:ilvl w:val="0"/>
                <w:numId w:val="8"/>
              </w:numPr>
              <w:spacing w:before="100" w:beforeAutospacing="1" w:after="100" w:afterAutospacing="1"/>
              <w:rPr>
                <w:sz w:val="22"/>
                <w:szCs w:val="22"/>
              </w:rPr>
            </w:pPr>
            <w:r w:rsidRPr="00E64DBE">
              <w:rPr>
                <w:sz w:val="22"/>
                <w:szCs w:val="22"/>
              </w:rPr>
              <w:t>Miljö</w:t>
            </w:r>
          </w:p>
          <w:p w:rsidR="00CB7817" w:rsidRPr="00E64DBE" w:rsidRDefault="00CB7817" w:rsidP="00CB7817">
            <w:pPr>
              <w:widowControl/>
              <w:numPr>
                <w:ilvl w:val="0"/>
                <w:numId w:val="9"/>
              </w:numPr>
              <w:spacing w:before="100" w:beforeAutospacing="1" w:after="100" w:afterAutospacing="1"/>
              <w:rPr>
                <w:sz w:val="22"/>
                <w:szCs w:val="22"/>
              </w:rPr>
            </w:pPr>
            <w:r w:rsidRPr="00E64DBE">
              <w:rPr>
                <w:sz w:val="22"/>
                <w:szCs w:val="22"/>
              </w:rPr>
              <w:t>Folkhälsa</w:t>
            </w:r>
          </w:p>
          <w:p w:rsidR="00CB7817" w:rsidRPr="00E64DBE" w:rsidRDefault="00CB7817" w:rsidP="00CB7817">
            <w:pPr>
              <w:widowControl/>
              <w:numPr>
                <w:ilvl w:val="0"/>
                <w:numId w:val="10"/>
              </w:numPr>
              <w:spacing w:before="100" w:beforeAutospacing="1" w:after="100" w:afterAutospacing="1"/>
              <w:rPr>
                <w:sz w:val="22"/>
                <w:szCs w:val="22"/>
              </w:rPr>
            </w:pPr>
            <w:r w:rsidRPr="00E64DBE">
              <w:rPr>
                <w:sz w:val="22"/>
                <w:szCs w:val="22"/>
              </w:rPr>
              <w:t>Livsmedelssäkerhet</w:t>
            </w:r>
          </w:p>
          <w:p w:rsidR="00CB7817" w:rsidRPr="00E64DBE" w:rsidRDefault="00CB7817" w:rsidP="003E47C0">
            <w:pPr>
              <w:pStyle w:val="Normalwebb"/>
              <w:rPr>
                <w:sz w:val="22"/>
                <w:szCs w:val="22"/>
              </w:rPr>
            </w:pPr>
            <w:r w:rsidRPr="00E64DBE">
              <w:rPr>
                <w:sz w:val="22"/>
                <w:szCs w:val="22"/>
              </w:rPr>
              <w:t xml:space="preserve"> </w:t>
            </w:r>
            <w:r w:rsidRPr="00070F21">
              <w:rPr>
                <w:sz w:val="22"/>
                <w:szCs w:val="22"/>
              </w:rPr>
              <w:t>https://ec.europa.eu/info/law/better-regulation/have-your-say/initiatives_sv?frontEndStage=OPC_LAUNCHED</w:t>
            </w:r>
            <w:r w:rsidRPr="00E64DBE">
              <w:rPr>
                <w:sz w:val="22"/>
                <w:szCs w:val="22"/>
              </w:rPr>
              <w:t xml:space="preserve"> </w:t>
            </w:r>
          </w:p>
          <w:p w:rsidR="00CB7817" w:rsidRPr="00E64DBE" w:rsidRDefault="00CB7817" w:rsidP="003E47C0">
            <w:pPr>
              <w:spacing w:after="240"/>
              <w:rPr>
                <w:sz w:val="22"/>
                <w:szCs w:val="22"/>
              </w:rPr>
            </w:pPr>
            <w:r w:rsidRPr="00070F21">
              <w:rPr>
                <w:sz w:val="22"/>
                <w:szCs w:val="22"/>
              </w:rPr>
              <w:t>EU-initiativet för pollinerande insekter – översyn</w:t>
            </w:r>
          </w:p>
          <w:p w:rsidR="00CB7817" w:rsidRPr="00E64DBE" w:rsidRDefault="00CB7817" w:rsidP="003E47C0">
            <w:pPr>
              <w:spacing w:after="240"/>
              <w:rPr>
                <w:sz w:val="22"/>
                <w:szCs w:val="22"/>
                <w:lang w:eastAsia="en-US"/>
              </w:rPr>
            </w:pPr>
            <w:proofErr w:type="spellStart"/>
            <w:r w:rsidRPr="00070F21">
              <w:rPr>
                <w:sz w:val="22"/>
                <w:szCs w:val="22"/>
                <w:lang w:eastAsia="en-US"/>
              </w:rPr>
              <w:t>Evaluation</w:t>
            </w:r>
            <w:proofErr w:type="spellEnd"/>
            <w:r w:rsidRPr="00070F21">
              <w:rPr>
                <w:sz w:val="22"/>
                <w:szCs w:val="22"/>
                <w:lang w:eastAsia="en-US"/>
              </w:rPr>
              <w:t xml:space="preserve"> </w:t>
            </w:r>
            <w:proofErr w:type="spellStart"/>
            <w:r w:rsidRPr="00070F21">
              <w:rPr>
                <w:sz w:val="22"/>
                <w:szCs w:val="22"/>
                <w:lang w:eastAsia="en-US"/>
              </w:rPr>
              <w:t>of</w:t>
            </w:r>
            <w:proofErr w:type="spellEnd"/>
            <w:r w:rsidRPr="00070F21">
              <w:rPr>
                <w:sz w:val="22"/>
                <w:szCs w:val="22"/>
                <w:lang w:eastAsia="en-US"/>
              </w:rPr>
              <w:t xml:space="preserve"> the LIFE </w:t>
            </w:r>
            <w:proofErr w:type="spellStart"/>
            <w:r w:rsidRPr="00070F21">
              <w:rPr>
                <w:sz w:val="22"/>
                <w:szCs w:val="22"/>
                <w:lang w:eastAsia="en-US"/>
              </w:rPr>
              <w:t>Programme</w:t>
            </w:r>
            <w:proofErr w:type="spellEnd"/>
            <w:r w:rsidRPr="00070F21">
              <w:rPr>
                <w:sz w:val="22"/>
                <w:szCs w:val="22"/>
                <w:lang w:eastAsia="en-US"/>
              </w:rPr>
              <w:t xml:space="preserve"> </w:t>
            </w:r>
            <w:proofErr w:type="gramStart"/>
            <w:r w:rsidRPr="00070F21">
              <w:rPr>
                <w:sz w:val="22"/>
                <w:szCs w:val="22"/>
                <w:lang w:eastAsia="en-US"/>
              </w:rPr>
              <w:t>2014-2020</w:t>
            </w:r>
            <w:proofErr w:type="gramEnd"/>
            <w:r w:rsidRPr="00E64DBE">
              <w:rPr>
                <w:sz w:val="22"/>
                <w:szCs w:val="22"/>
                <w:lang w:eastAsia="en-US"/>
              </w:rPr>
              <w:t xml:space="preserve"> </w:t>
            </w:r>
          </w:p>
          <w:p w:rsidR="00CB7817" w:rsidRPr="00BD72D1" w:rsidRDefault="00CB7817" w:rsidP="00BD72D1">
            <w:pPr>
              <w:spacing w:after="240"/>
              <w:rPr>
                <w:color w:val="FF0000"/>
                <w:sz w:val="22"/>
                <w:szCs w:val="22"/>
              </w:rPr>
            </w:pPr>
            <w:r w:rsidRPr="00070F21">
              <w:rPr>
                <w:sz w:val="22"/>
                <w:szCs w:val="22"/>
              </w:rPr>
              <w:t>Tvätt- och rengöringsmedel – rationalisering och uppdatering av EU-reglerna</w:t>
            </w:r>
          </w:p>
        </w:tc>
      </w:tr>
      <w:tr w:rsidR="00CB7817" w:rsidRPr="00E64DBE" w:rsidTr="00CB7817">
        <w:trPr>
          <w:trHeight w:val="572"/>
        </w:trPr>
        <w:tc>
          <w:tcPr>
            <w:tcW w:w="2266" w:type="dxa"/>
            <w:shd w:val="clear" w:color="auto" w:fill="auto"/>
            <w:vAlign w:val="center"/>
          </w:tcPr>
          <w:p w:rsidR="00CB7817" w:rsidRPr="00E64DBE" w:rsidRDefault="00CB7817" w:rsidP="003E47C0">
            <w:pPr>
              <w:rPr>
                <w:b/>
                <w:bCs/>
                <w:sz w:val="22"/>
                <w:szCs w:val="22"/>
              </w:rPr>
            </w:pPr>
            <w:r w:rsidRPr="00E64DBE">
              <w:rPr>
                <w:b/>
                <w:bCs/>
                <w:sz w:val="22"/>
                <w:szCs w:val="22"/>
              </w:rPr>
              <w:t>Färdplaner</w:t>
            </w:r>
          </w:p>
        </w:tc>
        <w:tc>
          <w:tcPr>
            <w:tcW w:w="8089" w:type="dxa"/>
            <w:shd w:val="clear" w:color="auto" w:fill="auto"/>
            <w:vAlign w:val="center"/>
          </w:tcPr>
          <w:p w:rsidR="00CB7817" w:rsidRPr="00E64DBE" w:rsidRDefault="00CB7817" w:rsidP="003E47C0">
            <w:pPr>
              <w:rPr>
                <w:bCs/>
                <w:sz w:val="22"/>
                <w:szCs w:val="22"/>
              </w:rPr>
            </w:pPr>
            <w:r w:rsidRPr="00E64DBE">
              <w:rPr>
                <w:b/>
                <w:bCs/>
                <w:sz w:val="22"/>
                <w:szCs w:val="22"/>
              </w:rPr>
              <w:t>Kommissionens har publicerat följande färdplaner</w:t>
            </w:r>
            <w:r w:rsidRPr="00E64DBE">
              <w:rPr>
                <w:bCs/>
                <w:sz w:val="22"/>
                <w:szCs w:val="22"/>
              </w:rPr>
              <w:t>:</w:t>
            </w:r>
          </w:p>
        </w:tc>
      </w:tr>
      <w:tr w:rsidR="00CB7817" w:rsidRPr="00E64DBE" w:rsidTr="00CB7817">
        <w:trPr>
          <w:trHeight w:val="572"/>
        </w:trPr>
        <w:tc>
          <w:tcPr>
            <w:tcW w:w="2266" w:type="dxa"/>
            <w:shd w:val="clear" w:color="auto" w:fill="auto"/>
            <w:vAlign w:val="center"/>
          </w:tcPr>
          <w:p w:rsidR="00CB7817" w:rsidRPr="00E64DBE" w:rsidRDefault="00CB7817" w:rsidP="003E47C0">
            <w:pPr>
              <w:rPr>
                <w:bCs/>
                <w:sz w:val="22"/>
                <w:szCs w:val="22"/>
              </w:rPr>
            </w:pPr>
          </w:p>
        </w:tc>
        <w:tc>
          <w:tcPr>
            <w:tcW w:w="8089" w:type="dxa"/>
            <w:shd w:val="clear" w:color="auto" w:fill="auto"/>
            <w:vAlign w:val="center"/>
          </w:tcPr>
          <w:p w:rsidR="00CB7817" w:rsidRPr="00E64DBE" w:rsidRDefault="00CB7817" w:rsidP="003E47C0">
            <w:pPr>
              <w:pStyle w:val="Normalwebb"/>
              <w:rPr>
                <w:sz w:val="22"/>
                <w:szCs w:val="22"/>
              </w:rPr>
            </w:pPr>
            <w:proofErr w:type="spellStart"/>
            <w:r w:rsidRPr="00070F21">
              <w:rPr>
                <w:sz w:val="22"/>
                <w:szCs w:val="22"/>
              </w:rPr>
              <w:t>Streamlining</w:t>
            </w:r>
            <w:proofErr w:type="spellEnd"/>
            <w:r w:rsidRPr="00070F21">
              <w:rPr>
                <w:sz w:val="22"/>
                <w:szCs w:val="22"/>
              </w:rPr>
              <w:t xml:space="preserve"> EU </w:t>
            </w:r>
            <w:proofErr w:type="spellStart"/>
            <w:r w:rsidRPr="00070F21">
              <w:rPr>
                <w:sz w:val="22"/>
                <w:szCs w:val="22"/>
              </w:rPr>
              <w:t>scientific</w:t>
            </w:r>
            <w:proofErr w:type="spellEnd"/>
            <w:r w:rsidRPr="00070F21">
              <w:rPr>
                <w:sz w:val="22"/>
                <w:szCs w:val="22"/>
              </w:rPr>
              <w:t xml:space="preserve"> and </w:t>
            </w:r>
            <w:proofErr w:type="spellStart"/>
            <w:r w:rsidRPr="00070F21">
              <w:rPr>
                <w:sz w:val="22"/>
                <w:szCs w:val="22"/>
              </w:rPr>
              <w:t>technical</w:t>
            </w:r>
            <w:proofErr w:type="spellEnd"/>
            <w:r w:rsidRPr="00070F21">
              <w:rPr>
                <w:sz w:val="22"/>
                <w:szCs w:val="22"/>
              </w:rPr>
              <w:t xml:space="preserve"> </w:t>
            </w:r>
            <w:proofErr w:type="spellStart"/>
            <w:r w:rsidRPr="00070F21">
              <w:rPr>
                <w:sz w:val="22"/>
                <w:szCs w:val="22"/>
              </w:rPr>
              <w:t>work</w:t>
            </w:r>
            <w:proofErr w:type="spellEnd"/>
            <w:r w:rsidRPr="00070F21">
              <w:rPr>
                <w:sz w:val="22"/>
                <w:szCs w:val="22"/>
              </w:rPr>
              <w:t xml:space="preserve"> on </w:t>
            </w:r>
            <w:proofErr w:type="spellStart"/>
            <w:r w:rsidRPr="00070F21">
              <w:rPr>
                <w:sz w:val="22"/>
                <w:szCs w:val="22"/>
              </w:rPr>
              <w:t>chemicals</w:t>
            </w:r>
            <w:proofErr w:type="spellEnd"/>
            <w:r w:rsidRPr="00070F21">
              <w:rPr>
                <w:sz w:val="22"/>
                <w:szCs w:val="22"/>
              </w:rPr>
              <w:t xml:space="preserve"> </w:t>
            </w:r>
            <w:proofErr w:type="spellStart"/>
            <w:r w:rsidRPr="00070F21">
              <w:rPr>
                <w:sz w:val="22"/>
                <w:szCs w:val="22"/>
              </w:rPr>
              <w:t>through</w:t>
            </w:r>
            <w:proofErr w:type="spellEnd"/>
            <w:r w:rsidRPr="00070F21">
              <w:rPr>
                <w:sz w:val="22"/>
                <w:szCs w:val="22"/>
              </w:rPr>
              <w:t xml:space="preserve"> the EU </w:t>
            </w:r>
            <w:proofErr w:type="spellStart"/>
            <w:r w:rsidRPr="00070F21">
              <w:rPr>
                <w:sz w:val="22"/>
                <w:szCs w:val="22"/>
              </w:rPr>
              <w:t>agencies</w:t>
            </w:r>
            <w:proofErr w:type="spellEnd"/>
          </w:p>
        </w:tc>
      </w:tr>
      <w:tr w:rsidR="00CB7817" w:rsidRPr="00E64DBE" w:rsidTr="00CB7817">
        <w:trPr>
          <w:trHeight w:val="572"/>
        </w:trPr>
        <w:tc>
          <w:tcPr>
            <w:tcW w:w="2266" w:type="dxa"/>
            <w:shd w:val="clear" w:color="auto" w:fill="auto"/>
            <w:vAlign w:val="center"/>
          </w:tcPr>
          <w:p w:rsidR="00CB7817" w:rsidRPr="00E64DBE" w:rsidRDefault="00CB7817" w:rsidP="003E47C0">
            <w:pPr>
              <w:rPr>
                <w:bCs/>
                <w:sz w:val="22"/>
                <w:szCs w:val="22"/>
              </w:rPr>
            </w:pPr>
          </w:p>
        </w:tc>
        <w:tc>
          <w:tcPr>
            <w:tcW w:w="8089" w:type="dxa"/>
            <w:shd w:val="clear" w:color="auto" w:fill="auto"/>
            <w:vAlign w:val="center"/>
          </w:tcPr>
          <w:p w:rsidR="00CB7817" w:rsidRPr="00E64DBE" w:rsidRDefault="00CB7817" w:rsidP="003E47C0">
            <w:pPr>
              <w:pStyle w:val="Normalwebb"/>
              <w:rPr>
                <w:sz w:val="22"/>
                <w:szCs w:val="22"/>
              </w:rPr>
            </w:pPr>
            <w:r w:rsidRPr="00070F21">
              <w:rPr>
                <w:sz w:val="22"/>
                <w:szCs w:val="22"/>
                <w:lang w:eastAsia="en-US"/>
              </w:rPr>
              <w:t xml:space="preserve">Revision </w:t>
            </w:r>
            <w:proofErr w:type="spellStart"/>
            <w:r w:rsidRPr="00070F21">
              <w:rPr>
                <w:sz w:val="22"/>
                <w:szCs w:val="22"/>
                <w:lang w:eastAsia="en-US"/>
              </w:rPr>
              <w:t>of</w:t>
            </w:r>
            <w:proofErr w:type="spellEnd"/>
            <w:r w:rsidRPr="00070F21">
              <w:rPr>
                <w:sz w:val="22"/>
                <w:szCs w:val="22"/>
                <w:lang w:eastAsia="en-US"/>
              </w:rPr>
              <w:t xml:space="preserve"> the EU </w:t>
            </w:r>
            <w:proofErr w:type="spellStart"/>
            <w:r w:rsidRPr="00070F21">
              <w:rPr>
                <w:sz w:val="22"/>
                <w:szCs w:val="22"/>
                <w:lang w:eastAsia="en-US"/>
              </w:rPr>
              <w:t>Pollinators</w:t>
            </w:r>
            <w:proofErr w:type="spellEnd"/>
            <w:r w:rsidRPr="00070F21">
              <w:rPr>
                <w:sz w:val="22"/>
                <w:szCs w:val="22"/>
                <w:lang w:eastAsia="en-US"/>
              </w:rPr>
              <w:t xml:space="preserve"> </w:t>
            </w:r>
            <w:proofErr w:type="spellStart"/>
            <w:r w:rsidRPr="00070F21">
              <w:rPr>
                <w:sz w:val="22"/>
                <w:szCs w:val="22"/>
                <w:lang w:eastAsia="en-US"/>
              </w:rPr>
              <w:t>Initiative</w:t>
            </w:r>
            <w:proofErr w:type="spellEnd"/>
            <w:r w:rsidRPr="00E64DBE">
              <w:rPr>
                <w:sz w:val="22"/>
                <w:szCs w:val="22"/>
                <w:lang w:eastAsia="en-US"/>
              </w:rPr>
              <w:t xml:space="preserve"> </w:t>
            </w:r>
          </w:p>
        </w:tc>
      </w:tr>
      <w:tr w:rsidR="00CB7817" w:rsidRPr="00E64DBE" w:rsidTr="00CB7817">
        <w:trPr>
          <w:trHeight w:val="572"/>
        </w:trPr>
        <w:tc>
          <w:tcPr>
            <w:tcW w:w="2266" w:type="dxa"/>
            <w:shd w:val="clear" w:color="auto" w:fill="auto"/>
            <w:vAlign w:val="center"/>
          </w:tcPr>
          <w:p w:rsidR="00CB7817" w:rsidRPr="00E64DBE" w:rsidRDefault="00CB7817" w:rsidP="003E47C0">
            <w:pPr>
              <w:rPr>
                <w:b/>
                <w:bCs/>
                <w:color w:val="000000"/>
                <w:sz w:val="22"/>
                <w:szCs w:val="22"/>
              </w:rPr>
            </w:pPr>
            <w:r w:rsidRPr="00E64DBE">
              <w:rPr>
                <w:b/>
                <w:bCs/>
                <w:color w:val="000000"/>
                <w:sz w:val="22"/>
                <w:szCs w:val="22"/>
              </w:rPr>
              <w:t>Yttranden från andra nationella parlament</w:t>
            </w:r>
          </w:p>
        </w:tc>
        <w:tc>
          <w:tcPr>
            <w:tcW w:w="8089" w:type="dxa"/>
            <w:shd w:val="clear" w:color="auto" w:fill="auto"/>
            <w:vAlign w:val="center"/>
          </w:tcPr>
          <w:p w:rsidR="00CB7817" w:rsidRPr="00E64DBE" w:rsidRDefault="00CB7817" w:rsidP="003E47C0">
            <w:pPr>
              <w:pStyle w:val="Liststycke"/>
              <w:rPr>
                <w:bCs/>
                <w:sz w:val="22"/>
                <w:szCs w:val="22"/>
              </w:rPr>
            </w:pPr>
          </w:p>
        </w:tc>
      </w:tr>
      <w:tr w:rsidR="00CB7817" w:rsidRPr="00E64DBE" w:rsidTr="00CB7817">
        <w:trPr>
          <w:trHeight w:val="572"/>
        </w:trPr>
        <w:tc>
          <w:tcPr>
            <w:tcW w:w="2266" w:type="dxa"/>
            <w:shd w:val="clear" w:color="auto" w:fill="auto"/>
            <w:vAlign w:val="center"/>
          </w:tcPr>
          <w:p w:rsidR="00CB7817" w:rsidRPr="00E64DBE" w:rsidRDefault="00CB7817" w:rsidP="003E47C0">
            <w:pPr>
              <w:rPr>
                <w:b/>
                <w:bCs/>
                <w:color w:val="000000"/>
                <w:sz w:val="22"/>
                <w:szCs w:val="22"/>
              </w:rPr>
            </w:pPr>
            <w:r w:rsidRPr="00070F21">
              <w:rPr>
                <w:sz w:val="22"/>
                <w:szCs w:val="22"/>
              </w:rPr>
              <w:t>ST 7002/22</w:t>
            </w:r>
          </w:p>
        </w:tc>
        <w:tc>
          <w:tcPr>
            <w:tcW w:w="8089" w:type="dxa"/>
            <w:shd w:val="clear" w:color="auto" w:fill="auto"/>
            <w:vAlign w:val="center"/>
          </w:tcPr>
          <w:p w:rsidR="00CB7817" w:rsidRPr="00E64DBE" w:rsidRDefault="00CB7817" w:rsidP="003E47C0">
            <w:pPr>
              <w:rPr>
                <w:bCs/>
                <w:sz w:val="22"/>
                <w:szCs w:val="22"/>
              </w:rPr>
            </w:pPr>
            <w:proofErr w:type="spellStart"/>
            <w:r w:rsidRPr="00E64DBE">
              <w:rPr>
                <w:bCs/>
                <w:sz w:val="22"/>
                <w:szCs w:val="22"/>
              </w:rPr>
              <w:t>Proposal</w:t>
            </w:r>
            <w:proofErr w:type="spellEnd"/>
            <w:r w:rsidRPr="00E64DBE">
              <w:rPr>
                <w:bCs/>
                <w:sz w:val="22"/>
                <w:szCs w:val="22"/>
              </w:rPr>
              <w:t xml:space="preserve"> for a REGULATION OF THE EUROPEAN PARLIAMENT AND OF THE COUNCIL on the </w:t>
            </w:r>
            <w:proofErr w:type="spellStart"/>
            <w:r w:rsidRPr="00E64DBE">
              <w:rPr>
                <w:bCs/>
                <w:sz w:val="22"/>
                <w:szCs w:val="22"/>
              </w:rPr>
              <w:t>making</w:t>
            </w:r>
            <w:proofErr w:type="spellEnd"/>
            <w:r w:rsidRPr="00E64DBE">
              <w:rPr>
                <w:bCs/>
                <w:sz w:val="22"/>
                <w:szCs w:val="22"/>
              </w:rPr>
              <w:t xml:space="preserve"> </w:t>
            </w:r>
            <w:proofErr w:type="spellStart"/>
            <w:r w:rsidRPr="00E64DBE">
              <w:rPr>
                <w:bCs/>
                <w:sz w:val="22"/>
                <w:szCs w:val="22"/>
              </w:rPr>
              <w:t>available</w:t>
            </w:r>
            <w:proofErr w:type="spellEnd"/>
            <w:r w:rsidRPr="00E64DBE">
              <w:rPr>
                <w:bCs/>
                <w:sz w:val="22"/>
                <w:szCs w:val="22"/>
              </w:rPr>
              <w:t xml:space="preserve"> on the Union market as </w:t>
            </w:r>
            <w:proofErr w:type="spellStart"/>
            <w:r w:rsidRPr="00E64DBE">
              <w:rPr>
                <w:bCs/>
                <w:sz w:val="22"/>
                <w:szCs w:val="22"/>
              </w:rPr>
              <w:t>well</w:t>
            </w:r>
            <w:proofErr w:type="spellEnd"/>
            <w:r w:rsidRPr="00E64DBE">
              <w:rPr>
                <w:bCs/>
                <w:sz w:val="22"/>
                <w:szCs w:val="22"/>
              </w:rPr>
              <w:t xml:space="preserve"> as export from the Union </w:t>
            </w:r>
            <w:proofErr w:type="spellStart"/>
            <w:r w:rsidRPr="00E64DBE">
              <w:rPr>
                <w:bCs/>
                <w:sz w:val="22"/>
                <w:szCs w:val="22"/>
              </w:rPr>
              <w:t>of</w:t>
            </w:r>
            <w:proofErr w:type="spellEnd"/>
            <w:r w:rsidRPr="00E64DBE">
              <w:rPr>
                <w:bCs/>
                <w:sz w:val="22"/>
                <w:szCs w:val="22"/>
              </w:rPr>
              <w:t xml:space="preserve"> </w:t>
            </w:r>
            <w:proofErr w:type="spellStart"/>
            <w:r w:rsidRPr="00E64DBE">
              <w:rPr>
                <w:bCs/>
                <w:sz w:val="22"/>
                <w:szCs w:val="22"/>
              </w:rPr>
              <w:t>certain</w:t>
            </w:r>
            <w:proofErr w:type="spellEnd"/>
            <w:r w:rsidRPr="00E64DBE">
              <w:rPr>
                <w:bCs/>
                <w:sz w:val="22"/>
                <w:szCs w:val="22"/>
              </w:rPr>
              <w:t xml:space="preserve"> </w:t>
            </w:r>
            <w:proofErr w:type="spellStart"/>
            <w:r w:rsidRPr="00E64DBE">
              <w:rPr>
                <w:bCs/>
                <w:sz w:val="22"/>
                <w:szCs w:val="22"/>
              </w:rPr>
              <w:t>commodities</w:t>
            </w:r>
            <w:proofErr w:type="spellEnd"/>
            <w:r w:rsidRPr="00E64DBE">
              <w:rPr>
                <w:bCs/>
                <w:sz w:val="22"/>
                <w:szCs w:val="22"/>
              </w:rPr>
              <w:t xml:space="preserve"> and </w:t>
            </w:r>
            <w:proofErr w:type="spellStart"/>
            <w:r w:rsidRPr="00E64DBE">
              <w:rPr>
                <w:bCs/>
                <w:sz w:val="22"/>
                <w:szCs w:val="22"/>
              </w:rPr>
              <w:t>products</w:t>
            </w:r>
            <w:proofErr w:type="spellEnd"/>
            <w:r w:rsidRPr="00E64DBE">
              <w:rPr>
                <w:bCs/>
                <w:sz w:val="22"/>
                <w:szCs w:val="22"/>
              </w:rPr>
              <w:t xml:space="preserve"> </w:t>
            </w:r>
            <w:proofErr w:type="spellStart"/>
            <w:r w:rsidRPr="00E64DBE">
              <w:rPr>
                <w:bCs/>
                <w:sz w:val="22"/>
                <w:szCs w:val="22"/>
              </w:rPr>
              <w:t>associated</w:t>
            </w:r>
            <w:proofErr w:type="spellEnd"/>
            <w:r w:rsidRPr="00E64DBE">
              <w:rPr>
                <w:bCs/>
                <w:sz w:val="22"/>
                <w:szCs w:val="22"/>
              </w:rPr>
              <w:t xml:space="preserve"> </w:t>
            </w:r>
            <w:proofErr w:type="spellStart"/>
            <w:r w:rsidRPr="00E64DBE">
              <w:rPr>
                <w:bCs/>
                <w:sz w:val="22"/>
                <w:szCs w:val="22"/>
              </w:rPr>
              <w:t>with</w:t>
            </w:r>
            <w:proofErr w:type="spellEnd"/>
            <w:r w:rsidRPr="00E64DBE">
              <w:rPr>
                <w:bCs/>
                <w:sz w:val="22"/>
                <w:szCs w:val="22"/>
              </w:rPr>
              <w:t xml:space="preserve"> </w:t>
            </w:r>
            <w:proofErr w:type="spellStart"/>
            <w:r w:rsidRPr="00E64DBE">
              <w:rPr>
                <w:bCs/>
                <w:sz w:val="22"/>
                <w:szCs w:val="22"/>
              </w:rPr>
              <w:t>deforestation</w:t>
            </w:r>
            <w:proofErr w:type="spellEnd"/>
            <w:r w:rsidRPr="00E64DBE">
              <w:rPr>
                <w:bCs/>
                <w:sz w:val="22"/>
                <w:szCs w:val="22"/>
              </w:rPr>
              <w:t xml:space="preserve"> and </w:t>
            </w:r>
            <w:proofErr w:type="spellStart"/>
            <w:r w:rsidRPr="00E64DBE">
              <w:rPr>
                <w:bCs/>
                <w:sz w:val="22"/>
                <w:szCs w:val="22"/>
              </w:rPr>
              <w:t>forest</w:t>
            </w:r>
            <w:proofErr w:type="spellEnd"/>
            <w:r w:rsidRPr="00E64DBE">
              <w:rPr>
                <w:bCs/>
                <w:sz w:val="22"/>
                <w:szCs w:val="22"/>
              </w:rPr>
              <w:t xml:space="preserve"> degradation and </w:t>
            </w:r>
            <w:proofErr w:type="spellStart"/>
            <w:r w:rsidRPr="00E64DBE">
              <w:rPr>
                <w:bCs/>
                <w:sz w:val="22"/>
                <w:szCs w:val="22"/>
              </w:rPr>
              <w:t>repealing</w:t>
            </w:r>
            <w:proofErr w:type="spellEnd"/>
            <w:r w:rsidRPr="00E64DBE">
              <w:rPr>
                <w:bCs/>
                <w:sz w:val="22"/>
                <w:szCs w:val="22"/>
              </w:rPr>
              <w:t xml:space="preserve"> </w:t>
            </w:r>
            <w:proofErr w:type="spellStart"/>
            <w:r w:rsidRPr="00E64DBE">
              <w:rPr>
                <w:bCs/>
                <w:sz w:val="22"/>
                <w:szCs w:val="22"/>
              </w:rPr>
              <w:t>Regulation</w:t>
            </w:r>
            <w:proofErr w:type="spellEnd"/>
            <w:r w:rsidRPr="00E64DBE">
              <w:rPr>
                <w:bCs/>
                <w:sz w:val="22"/>
                <w:szCs w:val="22"/>
              </w:rPr>
              <w:t xml:space="preserve"> (EU) No 995/2010 [</w:t>
            </w:r>
            <w:proofErr w:type="gramStart"/>
            <w:r w:rsidRPr="00E64DBE">
              <w:rPr>
                <w:bCs/>
                <w:sz w:val="22"/>
                <w:szCs w:val="22"/>
              </w:rPr>
              <w:t>14151</w:t>
            </w:r>
            <w:proofErr w:type="gramEnd"/>
            <w:r w:rsidRPr="00E64DBE">
              <w:rPr>
                <w:bCs/>
                <w:sz w:val="22"/>
                <w:szCs w:val="22"/>
              </w:rPr>
              <w:t xml:space="preserve">/21 - COM (2021) 706 final] - </w:t>
            </w:r>
            <w:proofErr w:type="spellStart"/>
            <w:r w:rsidRPr="00E64DBE">
              <w:rPr>
                <w:bCs/>
                <w:sz w:val="22"/>
                <w:szCs w:val="22"/>
              </w:rPr>
              <w:t>Reasoned</w:t>
            </w:r>
            <w:proofErr w:type="spellEnd"/>
            <w:r w:rsidRPr="00E64DBE">
              <w:rPr>
                <w:bCs/>
                <w:sz w:val="22"/>
                <w:szCs w:val="22"/>
              </w:rPr>
              <w:t xml:space="preserve"> opinion on the </w:t>
            </w:r>
            <w:proofErr w:type="spellStart"/>
            <w:r w:rsidRPr="00E64DBE">
              <w:rPr>
                <w:bCs/>
                <w:sz w:val="22"/>
                <w:szCs w:val="22"/>
              </w:rPr>
              <w:t>application</w:t>
            </w:r>
            <w:proofErr w:type="spellEnd"/>
            <w:r w:rsidRPr="00E64DBE">
              <w:rPr>
                <w:bCs/>
                <w:sz w:val="22"/>
                <w:szCs w:val="22"/>
              </w:rPr>
              <w:t xml:space="preserve"> </w:t>
            </w:r>
            <w:proofErr w:type="spellStart"/>
            <w:r w:rsidRPr="00E64DBE">
              <w:rPr>
                <w:bCs/>
                <w:sz w:val="22"/>
                <w:szCs w:val="22"/>
              </w:rPr>
              <w:t>of</w:t>
            </w:r>
            <w:proofErr w:type="spellEnd"/>
            <w:r w:rsidRPr="00E64DBE">
              <w:rPr>
                <w:bCs/>
                <w:sz w:val="22"/>
                <w:szCs w:val="22"/>
              </w:rPr>
              <w:t xml:space="preserve"> the </w:t>
            </w:r>
            <w:proofErr w:type="spellStart"/>
            <w:r w:rsidRPr="00E64DBE">
              <w:rPr>
                <w:bCs/>
                <w:sz w:val="22"/>
                <w:szCs w:val="22"/>
              </w:rPr>
              <w:t>Principles</w:t>
            </w:r>
            <w:proofErr w:type="spellEnd"/>
            <w:r w:rsidRPr="00E64DBE">
              <w:rPr>
                <w:bCs/>
                <w:sz w:val="22"/>
                <w:szCs w:val="22"/>
              </w:rPr>
              <w:t xml:space="preserve"> </w:t>
            </w:r>
            <w:proofErr w:type="spellStart"/>
            <w:r w:rsidRPr="00E64DBE">
              <w:rPr>
                <w:bCs/>
                <w:sz w:val="22"/>
                <w:szCs w:val="22"/>
              </w:rPr>
              <w:t>of</w:t>
            </w:r>
            <w:proofErr w:type="spellEnd"/>
            <w:r w:rsidRPr="00E64DBE">
              <w:rPr>
                <w:bCs/>
                <w:sz w:val="22"/>
                <w:szCs w:val="22"/>
              </w:rPr>
              <w:t xml:space="preserve"> </w:t>
            </w:r>
            <w:proofErr w:type="spellStart"/>
            <w:r w:rsidRPr="00E64DBE">
              <w:rPr>
                <w:bCs/>
                <w:sz w:val="22"/>
                <w:szCs w:val="22"/>
              </w:rPr>
              <w:t>Subsidiarity</w:t>
            </w:r>
            <w:proofErr w:type="spellEnd"/>
            <w:r w:rsidRPr="00E64DBE">
              <w:rPr>
                <w:bCs/>
                <w:sz w:val="22"/>
                <w:szCs w:val="22"/>
              </w:rPr>
              <w:t xml:space="preserve"> and </w:t>
            </w:r>
            <w:proofErr w:type="spellStart"/>
            <w:r w:rsidRPr="00E64DBE">
              <w:rPr>
                <w:bCs/>
                <w:sz w:val="22"/>
                <w:szCs w:val="22"/>
              </w:rPr>
              <w:t>Proportionality</w:t>
            </w:r>
            <w:proofErr w:type="spellEnd"/>
            <w:r w:rsidRPr="00E64DBE">
              <w:rPr>
                <w:bCs/>
                <w:sz w:val="22"/>
                <w:szCs w:val="22"/>
              </w:rPr>
              <w:t xml:space="preserve"> - </w:t>
            </w:r>
            <w:r w:rsidRPr="00E64DBE">
              <w:rPr>
                <w:b/>
                <w:bCs/>
                <w:sz w:val="22"/>
                <w:szCs w:val="22"/>
              </w:rPr>
              <w:t xml:space="preserve">The Swedish </w:t>
            </w:r>
            <w:proofErr w:type="spellStart"/>
            <w:r w:rsidRPr="00E64DBE">
              <w:rPr>
                <w:b/>
                <w:bCs/>
                <w:sz w:val="22"/>
                <w:szCs w:val="22"/>
              </w:rPr>
              <w:t>Parliament</w:t>
            </w:r>
            <w:proofErr w:type="spellEnd"/>
            <w:r w:rsidRPr="00E64DBE">
              <w:rPr>
                <w:bCs/>
                <w:sz w:val="22"/>
                <w:szCs w:val="22"/>
              </w:rPr>
              <w:br/>
            </w:r>
          </w:p>
        </w:tc>
      </w:tr>
      <w:tr w:rsidR="00CB7817" w:rsidRPr="00E64DBE" w:rsidTr="00CB7817">
        <w:trPr>
          <w:trHeight w:val="1043"/>
        </w:trPr>
        <w:tc>
          <w:tcPr>
            <w:tcW w:w="2266" w:type="dxa"/>
            <w:shd w:val="clear" w:color="auto" w:fill="auto"/>
            <w:vAlign w:val="center"/>
          </w:tcPr>
          <w:p w:rsidR="00CB7817" w:rsidRPr="00E64DBE" w:rsidRDefault="00CB7817" w:rsidP="003E47C0">
            <w:pPr>
              <w:rPr>
                <w:sz w:val="22"/>
                <w:szCs w:val="22"/>
              </w:rPr>
            </w:pPr>
            <w:r w:rsidRPr="00070F21">
              <w:rPr>
                <w:sz w:val="22"/>
                <w:szCs w:val="22"/>
              </w:rPr>
              <w:lastRenderedPageBreak/>
              <w:t>ST 7219/22</w:t>
            </w:r>
          </w:p>
        </w:tc>
        <w:tc>
          <w:tcPr>
            <w:tcW w:w="8089" w:type="dxa"/>
            <w:shd w:val="clear" w:color="auto" w:fill="auto"/>
            <w:vAlign w:val="center"/>
          </w:tcPr>
          <w:p w:rsidR="00CB7817" w:rsidRPr="00E64DBE" w:rsidRDefault="00CB7817" w:rsidP="003E47C0">
            <w:pPr>
              <w:rPr>
                <w:bCs/>
                <w:sz w:val="22"/>
                <w:szCs w:val="22"/>
              </w:rPr>
            </w:pPr>
            <w:proofErr w:type="spellStart"/>
            <w:r w:rsidRPr="00E64DBE">
              <w:rPr>
                <w:bCs/>
                <w:sz w:val="22"/>
                <w:szCs w:val="22"/>
              </w:rPr>
              <w:t>Proposal</w:t>
            </w:r>
            <w:proofErr w:type="spellEnd"/>
            <w:r w:rsidRPr="00E64DBE">
              <w:rPr>
                <w:bCs/>
                <w:sz w:val="22"/>
                <w:szCs w:val="22"/>
              </w:rPr>
              <w:t xml:space="preserve"> for a REGULATION OF THE EUROPEAN PARLIAMENT AND OF THE COUNCIL on </w:t>
            </w:r>
            <w:proofErr w:type="spellStart"/>
            <w:r w:rsidRPr="00E64DBE">
              <w:rPr>
                <w:bCs/>
                <w:sz w:val="22"/>
                <w:szCs w:val="22"/>
              </w:rPr>
              <w:t>shipments</w:t>
            </w:r>
            <w:proofErr w:type="spellEnd"/>
            <w:r w:rsidRPr="00E64DBE">
              <w:rPr>
                <w:bCs/>
                <w:sz w:val="22"/>
                <w:szCs w:val="22"/>
              </w:rPr>
              <w:t xml:space="preserve"> </w:t>
            </w:r>
            <w:proofErr w:type="spellStart"/>
            <w:r w:rsidRPr="00E64DBE">
              <w:rPr>
                <w:bCs/>
                <w:sz w:val="22"/>
                <w:szCs w:val="22"/>
              </w:rPr>
              <w:t>of</w:t>
            </w:r>
            <w:proofErr w:type="spellEnd"/>
            <w:r w:rsidRPr="00E64DBE">
              <w:rPr>
                <w:bCs/>
                <w:sz w:val="22"/>
                <w:szCs w:val="22"/>
              </w:rPr>
              <w:t xml:space="preserve"> </w:t>
            </w:r>
            <w:proofErr w:type="spellStart"/>
            <w:r w:rsidRPr="00E64DBE">
              <w:rPr>
                <w:bCs/>
                <w:sz w:val="22"/>
                <w:szCs w:val="22"/>
              </w:rPr>
              <w:t>waste</w:t>
            </w:r>
            <w:proofErr w:type="spellEnd"/>
            <w:r w:rsidRPr="00E64DBE">
              <w:rPr>
                <w:bCs/>
                <w:sz w:val="22"/>
                <w:szCs w:val="22"/>
              </w:rPr>
              <w:t xml:space="preserve"> and </w:t>
            </w:r>
            <w:proofErr w:type="spellStart"/>
            <w:r w:rsidRPr="00E64DBE">
              <w:rPr>
                <w:bCs/>
                <w:sz w:val="22"/>
                <w:szCs w:val="22"/>
              </w:rPr>
              <w:t>amending</w:t>
            </w:r>
            <w:proofErr w:type="spellEnd"/>
            <w:r w:rsidRPr="00E64DBE">
              <w:rPr>
                <w:bCs/>
                <w:sz w:val="22"/>
                <w:szCs w:val="22"/>
              </w:rPr>
              <w:t xml:space="preserve"> </w:t>
            </w:r>
            <w:proofErr w:type="spellStart"/>
            <w:r w:rsidRPr="00E64DBE">
              <w:rPr>
                <w:bCs/>
                <w:sz w:val="22"/>
                <w:szCs w:val="22"/>
              </w:rPr>
              <w:t>Regulations</w:t>
            </w:r>
            <w:proofErr w:type="spellEnd"/>
            <w:r w:rsidRPr="00E64DBE">
              <w:rPr>
                <w:bCs/>
                <w:sz w:val="22"/>
                <w:szCs w:val="22"/>
              </w:rPr>
              <w:t xml:space="preserve"> (EU) No 1257/2013 and (EU) No 2020/1056 [</w:t>
            </w:r>
            <w:proofErr w:type="gramStart"/>
            <w:r w:rsidRPr="00E64DBE">
              <w:rPr>
                <w:bCs/>
                <w:sz w:val="22"/>
                <w:szCs w:val="22"/>
              </w:rPr>
              <w:t>14135</w:t>
            </w:r>
            <w:proofErr w:type="gramEnd"/>
            <w:r w:rsidRPr="00E64DBE">
              <w:rPr>
                <w:bCs/>
                <w:sz w:val="22"/>
                <w:szCs w:val="22"/>
              </w:rPr>
              <w:t xml:space="preserve">/21 - COM (2021) 709 final] - Opinion on the </w:t>
            </w:r>
            <w:proofErr w:type="spellStart"/>
            <w:r w:rsidRPr="00E64DBE">
              <w:rPr>
                <w:bCs/>
                <w:sz w:val="22"/>
                <w:szCs w:val="22"/>
              </w:rPr>
              <w:t>application</w:t>
            </w:r>
            <w:proofErr w:type="spellEnd"/>
            <w:r w:rsidRPr="00E64DBE">
              <w:rPr>
                <w:bCs/>
                <w:sz w:val="22"/>
                <w:szCs w:val="22"/>
              </w:rPr>
              <w:t xml:space="preserve"> </w:t>
            </w:r>
            <w:proofErr w:type="spellStart"/>
            <w:r w:rsidRPr="00E64DBE">
              <w:rPr>
                <w:bCs/>
                <w:sz w:val="22"/>
                <w:szCs w:val="22"/>
              </w:rPr>
              <w:t>of</w:t>
            </w:r>
            <w:proofErr w:type="spellEnd"/>
            <w:r w:rsidRPr="00E64DBE">
              <w:rPr>
                <w:bCs/>
                <w:sz w:val="22"/>
                <w:szCs w:val="22"/>
              </w:rPr>
              <w:t xml:space="preserve"> the </w:t>
            </w:r>
            <w:proofErr w:type="spellStart"/>
            <w:r w:rsidRPr="00E64DBE">
              <w:rPr>
                <w:bCs/>
                <w:sz w:val="22"/>
                <w:szCs w:val="22"/>
              </w:rPr>
              <w:t>Principles</w:t>
            </w:r>
            <w:proofErr w:type="spellEnd"/>
            <w:r w:rsidRPr="00E64DBE">
              <w:rPr>
                <w:bCs/>
                <w:sz w:val="22"/>
                <w:szCs w:val="22"/>
              </w:rPr>
              <w:t xml:space="preserve"> </w:t>
            </w:r>
            <w:proofErr w:type="spellStart"/>
            <w:r w:rsidRPr="00E64DBE">
              <w:rPr>
                <w:bCs/>
                <w:sz w:val="22"/>
                <w:szCs w:val="22"/>
              </w:rPr>
              <w:t>of</w:t>
            </w:r>
            <w:proofErr w:type="spellEnd"/>
            <w:r w:rsidRPr="00E64DBE">
              <w:rPr>
                <w:bCs/>
                <w:sz w:val="22"/>
                <w:szCs w:val="22"/>
              </w:rPr>
              <w:t xml:space="preserve"> </w:t>
            </w:r>
            <w:proofErr w:type="spellStart"/>
            <w:r w:rsidRPr="00E64DBE">
              <w:rPr>
                <w:bCs/>
                <w:sz w:val="22"/>
                <w:szCs w:val="22"/>
              </w:rPr>
              <w:t>Subsidiarity</w:t>
            </w:r>
            <w:proofErr w:type="spellEnd"/>
            <w:r w:rsidRPr="00E64DBE">
              <w:rPr>
                <w:bCs/>
                <w:sz w:val="22"/>
                <w:szCs w:val="22"/>
              </w:rPr>
              <w:t xml:space="preserve"> and </w:t>
            </w:r>
            <w:proofErr w:type="spellStart"/>
            <w:r w:rsidRPr="00E64DBE">
              <w:rPr>
                <w:bCs/>
                <w:sz w:val="22"/>
                <w:szCs w:val="22"/>
              </w:rPr>
              <w:t>Proportionality</w:t>
            </w:r>
            <w:proofErr w:type="spellEnd"/>
            <w:r w:rsidRPr="00E64DBE">
              <w:rPr>
                <w:bCs/>
                <w:sz w:val="22"/>
                <w:szCs w:val="22"/>
              </w:rPr>
              <w:t xml:space="preserve"> - The </w:t>
            </w:r>
            <w:proofErr w:type="spellStart"/>
            <w:r w:rsidRPr="00E64DBE">
              <w:rPr>
                <w:bCs/>
                <w:sz w:val="22"/>
                <w:szCs w:val="22"/>
              </w:rPr>
              <w:t>Senate</w:t>
            </w:r>
            <w:proofErr w:type="spellEnd"/>
            <w:r w:rsidRPr="00E64DBE">
              <w:rPr>
                <w:bCs/>
                <w:sz w:val="22"/>
                <w:szCs w:val="22"/>
              </w:rPr>
              <w:t xml:space="preserve"> </w:t>
            </w:r>
            <w:proofErr w:type="spellStart"/>
            <w:r w:rsidRPr="00E64DBE">
              <w:rPr>
                <w:bCs/>
                <w:sz w:val="22"/>
                <w:szCs w:val="22"/>
              </w:rPr>
              <w:t>of</w:t>
            </w:r>
            <w:proofErr w:type="spellEnd"/>
            <w:r w:rsidRPr="00E64DBE">
              <w:rPr>
                <w:bCs/>
                <w:sz w:val="22"/>
                <w:szCs w:val="22"/>
              </w:rPr>
              <w:t xml:space="preserve"> the </w:t>
            </w:r>
            <w:proofErr w:type="spellStart"/>
            <w:r w:rsidRPr="00E64DBE">
              <w:rPr>
                <w:bCs/>
                <w:sz w:val="22"/>
                <w:szCs w:val="22"/>
              </w:rPr>
              <w:t>Parliament</w:t>
            </w:r>
            <w:proofErr w:type="spellEnd"/>
            <w:r w:rsidRPr="00E64DBE">
              <w:rPr>
                <w:bCs/>
                <w:sz w:val="22"/>
                <w:szCs w:val="22"/>
              </w:rPr>
              <w:t xml:space="preserve"> </w:t>
            </w:r>
            <w:proofErr w:type="spellStart"/>
            <w:r w:rsidRPr="00E64DBE">
              <w:rPr>
                <w:bCs/>
                <w:sz w:val="22"/>
                <w:szCs w:val="22"/>
              </w:rPr>
              <w:t>of</w:t>
            </w:r>
            <w:proofErr w:type="spellEnd"/>
            <w:r w:rsidRPr="00E64DBE">
              <w:rPr>
                <w:bCs/>
                <w:sz w:val="22"/>
                <w:szCs w:val="22"/>
              </w:rPr>
              <w:t xml:space="preserve"> the </w:t>
            </w:r>
            <w:proofErr w:type="spellStart"/>
            <w:r w:rsidRPr="00E64DBE">
              <w:rPr>
                <w:b/>
                <w:bCs/>
                <w:sz w:val="22"/>
                <w:szCs w:val="22"/>
              </w:rPr>
              <w:t>Czech</w:t>
            </w:r>
            <w:proofErr w:type="spellEnd"/>
            <w:r w:rsidRPr="00E64DBE">
              <w:rPr>
                <w:b/>
                <w:bCs/>
                <w:sz w:val="22"/>
                <w:szCs w:val="22"/>
              </w:rPr>
              <w:t xml:space="preserve"> </w:t>
            </w:r>
            <w:proofErr w:type="spellStart"/>
            <w:r w:rsidRPr="00E64DBE">
              <w:rPr>
                <w:b/>
                <w:bCs/>
                <w:sz w:val="22"/>
                <w:szCs w:val="22"/>
              </w:rPr>
              <w:t>Republic</w:t>
            </w:r>
            <w:proofErr w:type="spellEnd"/>
            <w:r w:rsidRPr="00E64DBE">
              <w:rPr>
                <w:sz w:val="22"/>
                <w:szCs w:val="22"/>
              </w:rPr>
              <w:br/>
            </w:r>
          </w:p>
        </w:tc>
      </w:tr>
      <w:tr w:rsidR="00CB7817" w:rsidRPr="00E64DBE" w:rsidTr="00CB7817">
        <w:trPr>
          <w:trHeight w:val="1043"/>
        </w:trPr>
        <w:tc>
          <w:tcPr>
            <w:tcW w:w="2266" w:type="dxa"/>
            <w:shd w:val="clear" w:color="auto" w:fill="auto"/>
            <w:vAlign w:val="center"/>
          </w:tcPr>
          <w:p w:rsidR="00CB7817" w:rsidRPr="00E64DBE" w:rsidRDefault="00CB7817" w:rsidP="003E47C0">
            <w:pPr>
              <w:rPr>
                <w:sz w:val="22"/>
                <w:szCs w:val="22"/>
              </w:rPr>
            </w:pPr>
            <w:r w:rsidRPr="00E64DBE">
              <w:rPr>
                <w:b/>
                <w:bCs/>
                <w:sz w:val="22"/>
                <w:szCs w:val="22"/>
              </w:rPr>
              <w:t>Övrigt</w:t>
            </w:r>
          </w:p>
        </w:tc>
        <w:tc>
          <w:tcPr>
            <w:tcW w:w="8089" w:type="dxa"/>
            <w:shd w:val="clear" w:color="auto" w:fill="auto"/>
            <w:vAlign w:val="center"/>
          </w:tcPr>
          <w:p w:rsidR="00CB7817" w:rsidRPr="00E64DBE" w:rsidRDefault="00CB7817" w:rsidP="003E47C0">
            <w:pPr>
              <w:rPr>
                <w:bCs/>
                <w:sz w:val="22"/>
                <w:szCs w:val="22"/>
              </w:rPr>
            </w:pPr>
          </w:p>
        </w:tc>
      </w:tr>
      <w:tr w:rsidR="00CB7817" w:rsidRPr="00E64DBE" w:rsidTr="00CB7817">
        <w:trPr>
          <w:trHeight w:val="1043"/>
        </w:trPr>
        <w:tc>
          <w:tcPr>
            <w:tcW w:w="2266" w:type="dxa"/>
            <w:shd w:val="clear" w:color="auto" w:fill="auto"/>
            <w:vAlign w:val="center"/>
          </w:tcPr>
          <w:p w:rsidR="00CB7817" w:rsidRPr="00E64DBE" w:rsidRDefault="00CB7817" w:rsidP="003E47C0">
            <w:pPr>
              <w:rPr>
                <w:sz w:val="22"/>
                <w:szCs w:val="22"/>
              </w:rPr>
            </w:pPr>
            <w:r w:rsidRPr="00070F21">
              <w:rPr>
                <w:sz w:val="22"/>
                <w:szCs w:val="22"/>
              </w:rPr>
              <w:t>Tribunalens mål T-122/20 och T-123/20</w:t>
            </w:r>
          </w:p>
        </w:tc>
        <w:tc>
          <w:tcPr>
            <w:tcW w:w="8089" w:type="dxa"/>
            <w:shd w:val="clear" w:color="auto" w:fill="auto"/>
            <w:vAlign w:val="center"/>
          </w:tcPr>
          <w:p w:rsidR="00CB7817" w:rsidRPr="00E64DBE" w:rsidRDefault="00CB7817" w:rsidP="003E47C0">
            <w:pPr>
              <w:rPr>
                <w:sz w:val="22"/>
                <w:szCs w:val="22"/>
              </w:rPr>
            </w:pPr>
            <w:r w:rsidRPr="00E64DBE">
              <w:rPr>
                <w:sz w:val="22"/>
                <w:szCs w:val="22"/>
              </w:rPr>
              <w:t xml:space="preserve">Svar på tribunalens frågor gällande målen T-122/20 och T-123/20 angående talan enligt artikel 263 FEUF om ogiltighetsförklaring av kommissionens genomförandebeslut (EU) 2019/1969 och (EU)2019/1973 om att inte godkänna </w:t>
            </w:r>
            <w:r w:rsidRPr="00E64DBE">
              <w:rPr>
                <w:b/>
                <w:sz w:val="22"/>
                <w:szCs w:val="22"/>
              </w:rPr>
              <w:t>silverzeolit</w:t>
            </w:r>
            <w:r w:rsidRPr="00E64DBE">
              <w:rPr>
                <w:sz w:val="22"/>
                <w:szCs w:val="22"/>
              </w:rPr>
              <w:t xml:space="preserve"> som existerande verksamma ämnen för användning i biocidprodukter i produkttyperna 2 och 7</w:t>
            </w:r>
          </w:p>
          <w:p w:rsidR="00CB7817" w:rsidRPr="00E64DBE" w:rsidRDefault="00CB7817" w:rsidP="003E47C0">
            <w:pPr>
              <w:rPr>
                <w:bCs/>
                <w:sz w:val="22"/>
                <w:szCs w:val="22"/>
              </w:rPr>
            </w:pPr>
          </w:p>
        </w:tc>
      </w:tr>
    </w:tbl>
    <w:p w:rsidR="00CB7817" w:rsidRPr="00E64DBE" w:rsidRDefault="00CB7817" w:rsidP="00CB7817">
      <w:pPr>
        <w:rPr>
          <w:sz w:val="22"/>
          <w:szCs w:val="22"/>
          <w:lang w:val="en-US"/>
        </w:rPr>
      </w:pPr>
      <w:r w:rsidRPr="00E64DBE">
        <w:rPr>
          <w:sz w:val="22"/>
          <w:szCs w:val="22"/>
        </w:rPr>
        <w:br/>
      </w:r>
    </w:p>
    <w:p w:rsidR="00ED5EC6" w:rsidRDefault="00ED5EC6"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p w:rsidR="005310A1" w:rsidRDefault="005310A1" w:rsidP="00AB4037">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310A1" w:rsidRPr="00E64DBE" w:rsidTr="002B6D23">
        <w:tc>
          <w:tcPr>
            <w:tcW w:w="6532" w:type="dxa"/>
          </w:tcPr>
          <w:p w:rsidR="005310A1" w:rsidRPr="00E64DBE" w:rsidRDefault="005310A1" w:rsidP="002B6D23">
            <w:pPr>
              <w:tabs>
                <w:tab w:val="left" w:pos="1276"/>
              </w:tabs>
              <w:rPr>
                <w:sz w:val="22"/>
                <w:szCs w:val="22"/>
              </w:rPr>
            </w:pPr>
            <w:r w:rsidRPr="00E64DBE">
              <w:rPr>
                <w:sz w:val="22"/>
                <w:szCs w:val="22"/>
              </w:rPr>
              <w:lastRenderedPageBreak/>
              <w:br w:type="page"/>
              <w:t>MILJÖ- OCH JORDBRUKSUTSKOTTET</w:t>
            </w:r>
          </w:p>
        </w:tc>
        <w:tc>
          <w:tcPr>
            <w:tcW w:w="2206" w:type="dxa"/>
          </w:tcPr>
          <w:p w:rsidR="005310A1" w:rsidRPr="00E64DBE" w:rsidRDefault="005310A1" w:rsidP="002B6D23">
            <w:pPr>
              <w:tabs>
                <w:tab w:val="left" w:pos="1276"/>
              </w:tabs>
              <w:rPr>
                <w:sz w:val="22"/>
                <w:szCs w:val="22"/>
              </w:rPr>
            </w:pPr>
          </w:p>
        </w:tc>
        <w:tc>
          <w:tcPr>
            <w:tcW w:w="2036" w:type="dxa"/>
          </w:tcPr>
          <w:p w:rsidR="005310A1" w:rsidRPr="00E64DBE" w:rsidRDefault="005310A1" w:rsidP="002B6D23">
            <w:pPr>
              <w:tabs>
                <w:tab w:val="left" w:pos="1276"/>
              </w:tabs>
              <w:ind w:right="-212"/>
              <w:rPr>
                <w:b/>
                <w:sz w:val="22"/>
                <w:szCs w:val="22"/>
              </w:rPr>
            </w:pPr>
            <w:r w:rsidRPr="00E64DBE">
              <w:rPr>
                <w:b/>
                <w:sz w:val="22"/>
                <w:szCs w:val="22"/>
              </w:rPr>
              <w:t xml:space="preserve">Bilaga </w:t>
            </w:r>
            <w:r w:rsidR="00E223F6">
              <w:rPr>
                <w:b/>
                <w:sz w:val="22"/>
                <w:szCs w:val="22"/>
              </w:rPr>
              <w:t>7</w:t>
            </w:r>
          </w:p>
          <w:p w:rsidR="005310A1" w:rsidRPr="00E64DBE" w:rsidRDefault="005310A1" w:rsidP="002B6D23">
            <w:pPr>
              <w:tabs>
                <w:tab w:val="left" w:pos="1276"/>
              </w:tabs>
              <w:ind w:right="-212"/>
              <w:rPr>
                <w:sz w:val="22"/>
                <w:szCs w:val="22"/>
              </w:rPr>
            </w:pPr>
            <w:r w:rsidRPr="00E64DBE">
              <w:rPr>
                <w:sz w:val="22"/>
                <w:szCs w:val="22"/>
              </w:rPr>
              <w:t>till protokoll</w:t>
            </w:r>
          </w:p>
          <w:p w:rsidR="005310A1" w:rsidRPr="00E64DBE" w:rsidRDefault="005310A1" w:rsidP="002B6D23">
            <w:pPr>
              <w:tabs>
                <w:tab w:val="left" w:pos="1276"/>
              </w:tabs>
              <w:ind w:right="-212"/>
              <w:rPr>
                <w:b/>
                <w:sz w:val="22"/>
                <w:szCs w:val="22"/>
              </w:rPr>
            </w:pPr>
            <w:r w:rsidRPr="00E64DBE">
              <w:rPr>
                <w:sz w:val="22"/>
                <w:szCs w:val="22"/>
              </w:rPr>
              <w:t>2021/22:40</w:t>
            </w:r>
          </w:p>
        </w:tc>
      </w:tr>
      <w:tr w:rsidR="005310A1" w:rsidRPr="00E64DBE" w:rsidTr="002B6D23">
        <w:tc>
          <w:tcPr>
            <w:tcW w:w="6532" w:type="dxa"/>
          </w:tcPr>
          <w:p w:rsidR="005310A1" w:rsidRPr="00E64DBE" w:rsidRDefault="005310A1" w:rsidP="002B6D23">
            <w:pPr>
              <w:tabs>
                <w:tab w:val="left" w:pos="1276"/>
              </w:tabs>
              <w:rPr>
                <w:sz w:val="22"/>
                <w:szCs w:val="22"/>
              </w:rPr>
            </w:pPr>
          </w:p>
        </w:tc>
        <w:tc>
          <w:tcPr>
            <w:tcW w:w="2206" w:type="dxa"/>
          </w:tcPr>
          <w:p w:rsidR="005310A1" w:rsidRPr="00E64DBE" w:rsidRDefault="005310A1" w:rsidP="002B6D23">
            <w:pPr>
              <w:tabs>
                <w:tab w:val="left" w:pos="1276"/>
              </w:tabs>
              <w:rPr>
                <w:sz w:val="22"/>
                <w:szCs w:val="22"/>
              </w:rPr>
            </w:pPr>
          </w:p>
        </w:tc>
        <w:tc>
          <w:tcPr>
            <w:tcW w:w="2036" w:type="dxa"/>
          </w:tcPr>
          <w:p w:rsidR="005310A1" w:rsidRPr="00E64DBE" w:rsidRDefault="005310A1" w:rsidP="002B6D23">
            <w:pPr>
              <w:tabs>
                <w:tab w:val="left" w:pos="1276"/>
              </w:tabs>
              <w:ind w:right="-212"/>
              <w:rPr>
                <w:b/>
                <w:sz w:val="22"/>
                <w:szCs w:val="22"/>
              </w:rPr>
            </w:pPr>
          </w:p>
        </w:tc>
      </w:tr>
    </w:tbl>
    <w:p w:rsidR="005310A1" w:rsidRDefault="005310A1" w:rsidP="00AB4037">
      <w:pPr>
        <w:widowControl/>
        <w:rPr>
          <w:sz w:val="22"/>
          <w:szCs w:val="22"/>
        </w:rPr>
      </w:pPr>
    </w:p>
    <w:p w:rsidR="005310A1" w:rsidRDefault="005310A1" w:rsidP="00AB4037">
      <w:pPr>
        <w:widowControl/>
        <w:rPr>
          <w:sz w:val="22"/>
          <w:szCs w:val="22"/>
        </w:rPr>
      </w:pPr>
    </w:p>
    <w:p w:rsidR="005310A1" w:rsidRPr="005310A1" w:rsidRDefault="005310A1" w:rsidP="005310A1">
      <w:pPr>
        <w:tabs>
          <w:tab w:val="left" w:pos="1304"/>
        </w:tabs>
        <w:rPr>
          <w:sz w:val="22"/>
          <w:szCs w:val="22"/>
        </w:rPr>
      </w:pPr>
      <w:r w:rsidRPr="005310A1">
        <w:rPr>
          <w:sz w:val="22"/>
          <w:szCs w:val="22"/>
        </w:rPr>
        <w:t xml:space="preserve">Beredskap med anledning av risk för brist på </w:t>
      </w:r>
      <w:proofErr w:type="spellStart"/>
      <w:r w:rsidRPr="005310A1">
        <w:rPr>
          <w:sz w:val="22"/>
          <w:szCs w:val="22"/>
        </w:rPr>
        <w:t>AdBlue</w:t>
      </w:r>
      <w:proofErr w:type="spellEnd"/>
      <w:r w:rsidRPr="005310A1">
        <w:rPr>
          <w:sz w:val="22"/>
          <w:szCs w:val="22"/>
        </w:rPr>
        <w:tab/>
      </w:r>
    </w:p>
    <w:p w:rsidR="005310A1" w:rsidRPr="005310A1" w:rsidRDefault="005310A1" w:rsidP="005310A1">
      <w:pPr>
        <w:tabs>
          <w:tab w:val="left" w:pos="1304"/>
        </w:tabs>
        <w:rPr>
          <w:sz w:val="22"/>
          <w:szCs w:val="22"/>
        </w:rPr>
      </w:pPr>
    </w:p>
    <w:p w:rsidR="005310A1" w:rsidRPr="005310A1" w:rsidRDefault="005310A1" w:rsidP="005310A1">
      <w:pPr>
        <w:tabs>
          <w:tab w:val="left" w:pos="1304"/>
        </w:tabs>
        <w:rPr>
          <w:sz w:val="22"/>
          <w:szCs w:val="22"/>
        </w:rPr>
      </w:pPr>
      <w:r w:rsidRPr="005310A1">
        <w:rPr>
          <w:sz w:val="22"/>
          <w:szCs w:val="22"/>
        </w:rPr>
        <w:t xml:space="preserve">Med anledning av den tilltagande bristen på </w:t>
      </w:r>
      <w:proofErr w:type="spellStart"/>
      <w:r w:rsidRPr="005310A1">
        <w:rPr>
          <w:sz w:val="22"/>
          <w:szCs w:val="22"/>
        </w:rPr>
        <w:t>AdBlue</w:t>
      </w:r>
      <w:proofErr w:type="spellEnd"/>
      <w:r w:rsidRPr="005310A1">
        <w:rPr>
          <w:sz w:val="22"/>
          <w:szCs w:val="22"/>
        </w:rPr>
        <w:t xml:space="preserve"> vill Sverigedemokraterna att regeringen inom EU verkar för att vid behov möjliggöra för införande av ett tillfälligt undantag rörande avgasrening för samhällskritiska transporter.</w:t>
      </w:r>
    </w:p>
    <w:p w:rsidR="005310A1" w:rsidRPr="005310A1" w:rsidRDefault="005310A1" w:rsidP="005310A1">
      <w:pPr>
        <w:tabs>
          <w:tab w:val="left" w:pos="1304"/>
        </w:tabs>
        <w:rPr>
          <w:sz w:val="22"/>
          <w:szCs w:val="22"/>
        </w:rPr>
      </w:pPr>
    </w:p>
    <w:p w:rsidR="005310A1" w:rsidRPr="005310A1" w:rsidRDefault="005310A1" w:rsidP="005310A1">
      <w:pPr>
        <w:tabs>
          <w:tab w:val="left" w:pos="1304"/>
        </w:tabs>
        <w:rPr>
          <w:sz w:val="22"/>
          <w:szCs w:val="22"/>
        </w:rPr>
      </w:pPr>
      <w:proofErr w:type="spellStart"/>
      <w:r w:rsidRPr="005310A1">
        <w:rPr>
          <w:sz w:val="22"/>
          <w:szCs w:val="22"/>
        </w:rPr>
        <w:t>AdBlue</w:t>
      </w:r>
      <w:proofErr w:type="spellEnd"/>
      <w:r w:rsidRPr="005310A1">
        <w:rPr>
          <w:sz w:val="22"/>
          <w:szCs w:val="22"/>
        </w:rPr>
        <w:t xml:space="preserve"> är en färglös vätska som används i dieselfordons avgasreningsutrustning för att reducera halten av kväveoxider. Tekniken kallas SCR, selektiv katalytisk reduktion. I den situation som nu uppstått med Rysslands invasion i Ukraina riskerar tillsatsen </w:t>
      </w:r>
      <w:proofErr w:type="spellStart"/>
      <w:r w:rsidRPr="005310A1">
        <w:rPr>
          <w:sz w:val="22"/>
          <w:szCs w:val="22"/>
        </w:rPr>
        <w:t>AdBlue</w:t>
      </w:r>
      <w:proofErr w:type="spellEnd"/>
      <w:r w:rsidRPr="005310A1">
        <w:rPr>
          <w:sz w:val="22"/>
          <w:szCs w:val="22"/>
        </w:rPr>
        <w:t xml:space="preserve"> att ta slut.</w:t>
      </w:r>
    </w:p>
    <w:p w:rsidR="005310A1" w:rsidRPr="005310A1" w:rsidRDefault="005310A1" w:rsidP="005310A1">
      <w:pPr>
        <w:tabs>
          <w:tab w:val="left" w:pos="1304"/>
        </w:tabs>
        <w:rPr>
          <w:sz w:val="22"/>
          <w:szCs w:val="22"/>
        </w:rPr>
      </w:pPr>
    </w:p>
    <w:p w:rsidR="005310A1" w:rsidRPr="005310A1" w:rsidRDefault="005310A1" w:rsidP="005310A1">
      <w:pPr>
        <w:tabs>
          <w:tab w:val="left" w:pos="1304"/>
        </w:tabs>
        <w:rPr>
          <w:sz w:val="22"/>
          <w:szCs w:val="22"/>
        </w:rPr>
      </w:pPr>
      <w:r w:rsidRPr="005310A1">
        <w:rPr>
          <w:sz w:val="22"/>
          <w:szCs w:val="22"/>
        </w:rPr>
        <w:t xml:space="preserve">Skulle en akut brist, vilken kan uppstå redan om några veckor, på </w:t>
      </w:r>
      <w:proofErr w:type="spellStart"/>
      <w:r w:rsidRPr="005310A1">
        <w:rPr>
          <w:sz w:val="22"/>
          <w:szCs w:val="22"/>
        </w:rPr>
        <w:t>AdBlue</w:t>
      </w:r>
      <w:proofErr w:type="spellEnd"/>
      <w:r w:rsidRPr="005310A1">
        <w:rPr>
          <w:sz w:val="22"/>
          <w:szCs w:val="22"/>
        </w:rPr>
        <w:t xml:space="preserve"> uppstå kommer en stor del av transportnäringen att stanna. Detta som en konsekvens av att fordonen går ner på kraftigt reducerad effekt när tanken med </w:t>
      </w:r>
      <w:proofErr w:type="spellStart"/>
      <w:r w:rsidRPr="005310A1">
        <w:rPr>
          <w:sz w:val="22"/>
          <w:szCs w:val="22"/>
        </w:rPr>
        <w:t>AdBlue</w:t>
      </w:r>
      <w:proofErr w:type="spellEnd"/>
      <w:r w:rsidRPr="005310A1">
        <w:rPr>
          <w:sz w:val="22"/>
          <w:szCs w:val="22"/>
        </w:rPr>
        <w:t xml:space="preserve"> är tom likväl som att lagstiftningen gällande avgasreningsbestämmelser inte tillåter brukande av fordon som inte uppfyller lagkraven. Att fordon skall vara utrustad med effektiv avgasrening är självklart men utrustningen fungerar inte utan tillsatsen </w:t>
      </w:r>
      <w:proofErr w:type="spellStart"/>
      <w:r w:rsidRPr="005310A1">
        <w:rPr>
          <w:sz w:val="22"/>
          <w:szCs w:val="22"/>
        </w:rPr>
        <w:t>AdBlue</w:t>
      </w:r>
      <w:proofErr w:type="spellEnd"/>
      <w:r w:rsidRPr="005310A1">
        <w:rPr>
          <w:sz w:val="22"/>
          <w:szCs w:val="22"/>
        </w:rPr>
        <w:t xml:space="preserve">. Ryssland är en av världens största leverantörer av Urea och med de sanktioner som nu riktas mot Ryssland har ett mycket stort bortfall av Urea påverkat tillgången på </w:t>
      </w:r>
      <w:proofErr w:type="spellStart"/>
      <w:r w:rsidRPr="005310A1">
        <w:rPr>
          <w:sz w:val="22"/>
          <w:szCs w:val="22"/>
        </w:rPr>
        <w:t>AdBlue</w:t>
      </w:r>
      <w:proofErr w:type="spellEnd"/>
      <w:r w:rsidRPr="005310A1">
        <w:rPr>
          <w:sz w:val="22"/>
          <w:szCs w:val="22"/>
        </w:rPr>
        <w:t>.</w:t>
      </w:r>
    </w:p>
    <w:p w:rsidR="005310A1" w:rsidRPr="005310A1" w:rsidRDefault="005310A1" w:rsidP="005310A1">
      <w:pPr>
        <w:tabs>
          <w:tab w:val="left" w:pos="1304"/>
        </w:tabs>
        <w:rPr>
          <w:sz w:val="22"/>
          <w:szCs w:val="22"/>
        </w:rPr>
      </w:pPr>
    </w:p>
    <w:p w:rsidR="005310A1" w:rsidRPr="005310A1" w:rsidRDefault="005310A1" w:rsidP="005310A1">
      <w:pPr>
        <w:tabs>
          <w:tab w:val="left" w:pos="1304"/>
        </w:tabs>
        <w:rPr>
          <w:sz w:val="22"/>
          <w:szCs w:val="22"/>
        </w:rPr>
      </w:pPr>
      <w:r w:rsidRPr="005310A1">
        <w:rPr>
          <w:sz w:val="22"/>
          <w:szCs w:val="22"/>
        </w:rPr>
        <w:t>I värsta fall blir det ett omfattande bortfall av transportarbete i landet om inte en lösning på problemet kommer till. Andra leverantörer försöker naturligtvis att skala upp verksamheten, men frågan är om det kan ske i tillräcklig omfattning i närtid. Det finns all anledning för regeringen och dess myndigheter att se över vilka åtgärder som måste vidtas för att säkerställa de samhällskritiska transporterna. Stannar dessa finns uppenbar risk för brist på mat, läkemedel och andra viktiga produkter. Även kollektivtrafik som bedrivs med bussar, vilka har den aktuella utrustningen, kan påverkas kraftigt.</w:t>
      </w:r>
    </w:p>
    <w:p w:rsidR="005310A1" w:rsidRPr="005310A1" w:rsidRDefault="005310A1" w:rsidP="005310A1">
      <w:pPr>
        <w:tabs>
          <w:tab w:val="left" w:pos="1304"/>
        </w:tabs>
        <w:rPr>
          <w:sz w:val="22"/>
          <w:szCs w:val="22"/>
        </w:rPr>
      </w:pPr>
    </w:p>
    <w:p w:rsidR="005310A1" w:rsidRPr="005310A1" w:rsidRDefault="005310A1" w:rsidP="005310A1">
      <w:pPr>
        <w:tabs>
          <w:tab w:val="left" w:pos="1304"/>
        </w:tabs>
        <w:rPr>
          <w:sz w:val="22"/>
          <w:szCs w:val="22"/>
        </w:rPr>
      </w:pPr>
      <w:r w:rsidRPr="005310A1">
        <w:rPr>
          <w:sz w:val="22"/>
          <w:szCs w:val="22"/>
        </w:rPr>
        <w:t>Med anledning av ovan föreslår Sverigedemokraterna;</w:t>
      </w:r>
    </w:p>
    <w:p w:rsidR="005310A1" w:rsidRPr="005310A1" w:rsidRDefault="005310A1" w:rsidP="005310A1">
      <w:pPr>
        <w:tabs>
          <w:tab w:val="left" w:pos="1304"/>
        </w:tabs>
        <w:rPr>
          <w:sz w:val="22"/>
          <w:szCs w:val="22"/>
        </w:rPr>
      </w:pPr>
    </w:p>
    <w:p w:rsidR="005310A1" w:rsidRPr="005310A1" w:rsidRDefault="005310A1" w:rsidP="005310A1">
      <w:pPr>
        <w:tabs>
          <w:tab w:val="left" w:pos="1304"/>
        </w:tabs>
        <w:rPr>
          <w:sz w:val="22"/>
          <w:szCs w:val="22"/>
        </w:rPr>
      </w:pPr>
      <w:r w:rsidRPr="005310A1">
        <w:rPr>
          <w:sz w:val="22"/>
          <w:szCs w:val="22"/>
        </w:rPr>
        <w:t>att riksdagen ställer sig bakom det som anförs i utskottsinitiativet om att regeringen inom EU ska verka för att möjliggöra ett tillfälligt undantag vad gäller avgasrening för samhällskritiska transporter och tillkännager detta för regeringen.</w:t>
      </w:r>
    </w:p>
    <w:p w:rsidR="005310A1" w:rsidRPr="005310A1" w:rsidRDefault="005310A1" w:rsidP="005310A1">
      <w:pPr>
        <w:tabs>
          <w:tab w:val="left" w:pos="1304"/>
        </w:tabs>
        <w:rPr>
          <w:sz w:val="22"/>
          <w:szCs w:val="22"/>
        </w:rPr>
      </w:pPr>
    </w:p>
    <w:p w:rsidR="005310A1" w:rsidRPr="005310A1" w:rsidRDefault="005310A1" w:rsidP="005310A1">
      <w:pPr>
        <w:tabs>
          <w:tab w:val="left" w:pos="1304"/>
        </w:tabs>
        <w:rPr>
          <w:sz w:val="22"/>
          <w:szCs w:val="22"/>
        </w:rPr>
      </w:pPr>
      <w:r w:rsidRPr="005310A1">
        <w:rPr>
          <w:sz w:val="22"/>
          <w:szCs w:val="22"/>
        </w:rPr>
        <w:t>Martin Kinnunen (SD)</w:t>
      </w:r>
    </w:p>
    <w:p w:rsidR="005310A1" w:rsidRPr="005310A1" w:rsidRDefault="005310A1" w:rsidP="005310A1">
      <w:pPr>
        <w:tabs>
          <w:tab w:val="left" w:pos="1304"/>
        </w:tabs>
        <w:rPr>
          <w:sz w:val="22"/>
          <w:szCs w:val="22"/>
        </w:rPr>
      </w:pPr>
      <w:r w:rsidRPr="005310A1">
        <w:rPr>
          <w:sz w:val="22"/>
          <w:szCs w:val="22"/>
        </w:rPr>
        <w:t>Runar Filper (SD)</w:t>
      </w:r>
    </w:p>
    <w:p w:rsidR="005310A1" w:rsidRPr="005310A1" w:rsidRDefault="005310A1" w:rsidP="005310A1">
      <w:pPr>
        <w:tabs>
          <w:tab w:val="left" w:pos="1304"/>
        </w:tabs>
        <w:rPr>
          <w:sz w:val="22"/>
          <w:szCs w:val="22"/>
        </w:rPr>
      </w:pPr>
      <w:r w:rsidRPr="005310A1">
        <w:rPr>
          <w:sz w:val="22"/>
          <w:szCs w:val="22"/>
        </w:rPr>
        <w:t>Staffan Eklöf (SD)</w:t>
      </w:r>
    </w:p>
    <w:p w:rsidR="005310A1" w:rsidRPr="005310A1" w:rsidRDefault="005310A1" w:rsidP="005310A1">
      <w:pPr>
        <w:tabs>
          <w:tab w:val="left" w:pos="1304"/>
        </w:tabs>
        <w:rPr>
          <w:sz w:val="22"/>
          <w:szCs w:val="22"/>
        </w:rPr>
      </w:pPr>
      <w:r w:rsidRPr="005310A1">
        <w:rPr>
          <w:sz w:val="22"/>
          <w:szCs w:val="22"/>
        </w:rPr>
        <w:t>Yasmine Eriksson (SD)</w:t>
      </w:r>
    </w:p>
    <w:p w:rsidR="005310A1" w:rsidRPr="005310A1" w:rsidRDefault="005310A1" w:rsidP="005310A1">
      <w:pPr>
        <w:tabs>
          <w:tab w:val="left" w:pos="1304"/>
        </w:tabs>
        <w:rPr>
          <w:sz w:val="22"/>
          <w:szCs w:val="22"/>
        </w:rPr>
      </w:pPr>
      <w:r w:rsidRPr="005310A1">
        <w:rPr>
          <w:sz w:val="22"/>
          <w:szCs w:val="22"/>
        </w:rPr>
        <w:t>Mats Norberg (SD)</w:t>
      </w:r>
    </w:p>
    <w:p w:rsidR="005310A1" w:rsidRPr="005310A1" w:rsidRDefault="005310A1" w:rsidP="005310A1">
      <w:pPr>
        <w:tabs>
          <w:tab w:val="left" w:pos="1304"/>
        </w:tabs>
        <w:rPr>
          <w:sz w:val="22"/>
          <w:szCs w:val="22"/>
        </w:rPr>
      </w:pPr>
    </w:p>
    <w:p w:rsidR="005310A1" w:rsidRPr="005310A1" w:rsidRDefault="005310A1" w:rsidP="00AB4037">
      <w:pPr>
        <w:widowControl/>
        <w:rPr>
          <w:sz w:val="22"/>
          <w:szCs w:val="22"/>
        </w:rPr>
      </w:pPr>
    </w:p>
    <w:sectPr w:rsidR="005310A1" w:rsidRPr="005310A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A92" w:rsidRDefault="00374A92">
      <w:r>
        <w:separator/>
      </w:r>
    </w:p>
  </w:endnote>
  <w:endnote w:type="continuationSeparator" w:id="0">
    <w:p w:rsidR="00374A92" w:rsidRDefault="0037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A92" w:rsidRDefault="00374A9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374A92" w:rsidRDefault="00374A9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A92" w:rsidRDefault="00374A9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374A92" w:rsidRDefault="00374A92">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A92" w:rsidRDefault="00374A92">
      <w:r>
        <w:separator/>
      </w:r>
    </w:p>
  </w:footnote>
  <w:footnote w:type="continuationSeparator" w:id="0">
    <w:p w:rsidR="00374A92" w:rsidRDefault="00374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42093E"/>
    <w:multiLevelType w:val="hybridMultilevel"/>
    <w:tmpl w:val="77D49E0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8962BA"/>
    <w:multiLevelType w:val="hybridMultilevel"/>
    <w:tmpl w:val="7A6E64DE"/>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5F06DA"/>
    <w:multiLevelType w:val="multilevel"/>
    <w:tmpl w:val="CDAE2E5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6" w15:restartNumberingAfterBreak="0">
    <w:nsid w:val="2D182EFC"/>
    <w:multiLevelType w:val="multilevel"/>
    <w:tmpl w:val="8D44EB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7" w15:restartNumberingAfterBreak="0">
    <w:nsid w:val="2FD77559"/>
    <w:multiLevelType w:val="hybridMultilevel"/>
    <w:tmpl w:val="345E6DB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332D7B0E"/>
    <w:multiLevelType w:val="multilevel"/>
    <w:tmpl w:val="4F248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17198"/>
    <w:multiLevelType w:val="multilevel"/>
    <w:tmpl w:val="6ACEB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973A0"/>
    <w:multiLevelType w:val="multilevel"/>
    <w:tmpl w:val="05C4A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10"/>
  </w:num>
  <w:num w:numId="9">
    <w:abstractNumId w:val="8"/>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20FC"/>
    <w:rsid w:val="00007222"/>
    <w:rsid w:val="000225D4"/>
    <w:rsid w:val="00022E0C"/>
    <w:rsid w:val="00030EB2"/>
    <w:rsid w:val="00033318"/>
    <w:rsid w:val="00033928"/>
    <w:rsid w:val="000340CE"/>
    <w:rsid w:val="0003479D"/>
    <w:rsid w:val="00034F00"/>
    <w:rsid w:val="00040A3C"/>
    <w:rsid w:val="000459DE"/>
    <w:rsid w:val="000467A5"/>
    <w:rsid w:val="000508FD"/>
    <w:rsid w:val="000604E3"/>
    <w:rsid w:val="00061437"/>
    <w:rsid w:val="00064523"/>
    <w:rsid w:val="00070A5C"/>
    <w:rsid w:val="00070B4C"/>
    <w:rsid w:val="00070F21"/>
    <w:rsid w:val="00071FBC"/>
    <w:rsid w:val="00076BDD"/>
    <w:rsid w:val="000856E2"/>
    <w:rsid w:val="00085DFD"/>
    <w:rsid w:val="000868D0"/>
    <w:rsid w:val="00086A67"/>
    <w:rsid w:val="00087ADB"/>
    <w:rsid w:val="00091EA6"/>
    <w:rsid w:val="000A27B8"/>
    <w:rsid w:val="000A29E4"/>
    <w:rsid w:val="000E349B"/>
    <w:rsid w:val="000E402E"/>
    <w:rsid w:val="000E777E"/>
    <w:rsid w:val="000F42DD"/>
    <w:rsid w:val="000F6792"/>
    <w:rsid w:val="000F7D9B"/>
    <w:rsid w:val="00102D5B"/>
    <w:rsid w:val="00102F93"/>
    <w:rsid w:val="00105BAE"/>
    <w:rsid w:val="001107C9"/>
    <w:rsid w:val="00111773"/>
    <w:rsid w:val="001201A1"/>
    <w:rsid w:val="001238B9"/>
    <w:rsid w:val="00134B2F"/>
    <w:rsid w:val="0014421B"/>
    <w:rsid w:val="00154537"/>
    <w:rsid w:val="001576B4"/>
    <w:rsid w:val="00157C48"/>
    <w:rsid w:val="00157E3A"/>
    <w:rsid w:val="00161710"/>
    <w:rsid w:val="00164491"/>
    <w:rsid w:val="001709AE"/>
    <w:rsid w:val="00176F71"/>
    <w:rsid w:val="00177FF8"/>
    <w:rsid w:val="001806D9"/>
    <w:rsid w:val="00183F5A"/>
    <w:rsid w:val="001907E6"/>
    <w:rsid w:val="00190D5B"/>
    <w:rsid w:val="001A198D"/>
    <w:rsid w:val="001A35A0"/>
    <w:rsid w:val="001B6681"/>
    <w:rsid w:val="001C3AAE"/>
    <w:rsid w:val="001D5591"/>
    <w:rsid w:val="001D7100"/>
    <w:rsid w:val="001E1F27"/>
    <w:rsid w:val="001F0044"/>
    <w:rsid w:val="001F3F30"/>
    <w:rsid w:val="001F587E"/>
    <w:rsid w:val="001F5E74"/>
    <w:rsid w:val="001F641B"/>
    <w:rsid w:val="00200F8B"/>
    <w:rsid w:val="002030E8"/>
    <w:rsid w:val="00204697"/>
    <w:rsid w:val="0021176A"/>
    <w:rsid w:val="00212A8D"/>
    <w:rsid w:val="00214162"/>
    <w:rsid w:val="00216C70"/>
    <w:rsid w:val="002241EF"/>
    <w:rsid w:val="0023053D"/>
    <w:rsid w:val="00231475"/>
    <w:rsid w:val="0023528F"/>
    <w:rsid w:val="002378CC"/>
    <w:rsid w:val="00251478"/>
    <w:rsid w:val="0025203B"/>
    <w:rsid w:val="00254C5A"/>
    <w:rsid w:val="0025725D"/>
    <w:rsid w:val="002612B0"/>
    <w:rsid w:val="00267A73"/>
    <w:rsid w:val="002807E5"/>
    <w:rsid w:val="002819C0"/>
    <w:rsid w:val="002830F4"/>
    <w:rsid w:val="00286C79"/>
    <w:rsid w:val="00287223"/>
    <w:rsid w:val="00295160"/>
    <w:rsid w:val="002968EE"/>
    <w:rsid w:val="002A14AC"/>
    <w:rsid w:val="002A2A4C"/>
    <w:rsid w:val="002A3C5F"/>
    <w:rsid w:val="002A3F20"/>
    <w:rsid w:val="002B4B11"/>
    <w:rsid w:val="002B5438"/>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480E"/>
    <w:rsid w:val="00335837"/>
    <w:rsid w:val="00335938"/>
    <w:rsid w:val="003429CE"/>
    <w:rsid w:val="00342CC6"/>
    <w:rsid w:val="003443ED"/>
    <w:rsid w:val="00353999"/>
    <w:rsid w:val="00374911"/>
    <w:rsid w:val="00374A92"/>
    <w:rsid w:val="00381298"/>
    <w:rsid w:val="00382ED9"/>
    <w:rsid w:val="00384217"/>
    <w:rsid w:val="00387440"/>
    <w:rsid w:val="00393863"/>
    <w:rsid w:val="003941CA"/>
    <w:rsid w:val="00395EBD"/>
    <w:rsid w:val="00396766"/>
    <w:rsid w:val="00396978"/>
    <w:rsid w:val="003A006F"/>
    <w:rsid w:val="003A2D61"/>
    <w:rsid w:val="003B009D"/>
    <w:rsid w:val="003B523C"/>
    <w:rsid w:val="003B57EC"/>
    <w:rsid w:val="003B70D3"/>
    <w:rsid w:val="003C74BF"/>
    <w:rsid w:val="003D0DA6"/>
    <w:rsid w:val="003E21B4"/>
    <w:rsid w:val="003E2DA5"/>
    <w:rsid w:val="003E47C0"/>
    <w:rsid w:val="003F0072"/>
    <w:rsid w:val="003F0867"/>
    <w:rsid w:val="003F5018"/>
    <w:rsid w:val="003F7963"/>
    <w:rsid w:val="00402A6F"/>
    <w:rsid w:val="00405162"/>
    <w:rsid w:val="004072D7"/>
    <w:rsid w:val="00416E51"/>
    <w:rsid w:val="00417CF8"/>
    <w:rsid w:val="00420346"/>
    <w:rsid w:val="00420D39"/>
    <w:rsid w:val="00424117"/>
    <w:rsid w:val="004310CA"/>
    <w:rsid w:val="00440E5D"/>
    <w:rsid w:val="00441F4F"/>
    <w:rsid w:val="0044628E"/>
    <w:rsid w:val="00451DB7"/>
    <w:rsid w:val="00460608"/>
    <w:rsid w:val="00462C9E"/>
    <w:rsid w:val="00463E6E"/>
    <w:rsid w:val="0046558C"/>
    <w:rsid w:val="00470F4B"/>
    <w:rsid w:val="00474CDE"/>
    <w:rsid w:val="004763AE"/>
    <w:rsid w:val="0047654D"/>
    <w:rsid w:val="004770EC"/>
    <w:rsid w:val="00481A80"/>
    <w:rsid w:val="00481AE3"/>
    <w:rsid w:val="00482D9A"/>
    <w:rsid w:val="00485C5B"/>
    <w:rsid w:val="004945A7"/>
    <w:rsid w:val="004A5400"/>
    <w:rsid w:val="004B18D5"/>
    <w:rsid w:val="004B1E7E"/>
    <w:rsid w:val="004C2A14"/>
    <w:rsid w:val="004C58F4"/>
    <w:rsid w:val="004D49CC"/>
    <w:rsid w:val="004D5AFA"/>
    <w:rsid w:val="004D6725"/>
    <w:rsid w:val="004E030E"/>
    <w:rsid w:val="004E0E27"/>
    <w:rsid w:val="004E4C8B"/>
    <w:rsid w:val="004E7423"/>
    <w:rsid w:val="004E7838"/>
    <w:rsid w:val="004E7DCE"/>
    <w:rsid w:val="004F47D4"/>
    <w:rsid w:val="00500FC1"/>
    <w:rsid w:val="00501F97"/>
    <w:rsid w:val="00502E4A"/>
    <w:rsid w:val="00505A58"/>
    <w:rsid w:val="005118EF"/>
    <w:rsid w:val="00512799"/>
    <w:rsid w:val="0051377A"/>
    <w:rsid w:val="00515AC5"/>
    <w:rsid w:val="00523D80"/>
    <w:rsid w:val="005249C1"/>
    <w:rsid w:val="005304A6"/>
    <w:rsid w:val="00530BD4"/>
    <w:rsid w:val="005310A1"/>
    <w:rsid w:val="00532286"/>
    <w:rsid w:val="005375A7"/>
    <w:rsid w:val="00545722"/>
    <w:rsid w:val="0055441A"/>
    <w:rsid w:val="005654CA"/>
    <w:rsid w:val="005711E6"/>
    <w:rsid w:val="00573E17"/>
    <w:rsid w:val="00573F9E"/>
    <w:rsid w:val="00575332"/>
    <w:rsid w:val="005855D5"/>
    <w:rsid w:val="00585C70"/>
    <w:rsid w:val="00586D7F"/>
    <w:rsid w:val="005876C6"/>
    <w:rsid w:val="005957E5"/>
    <w:rsid w:val="005A3E8B"/>
    <w:rsid w:val="005B0CFF"/>
    <w:rsid w:val="005B1B2C"/>
    <w:rsid w:val="005B6A05"/>
    <w:rsid w:val="005B75E3"/>
    <w:rsid w:val="005C4210"/>
    <w:rsid w:val="005D2E63"/>
    <w:rsid w:val="005D7C2B"/>
    <w:rsid w:val="005E453F"/>
    <w:rsid w:val="005E6A1F"/>
    <w:rsid w:val="005F6C39"/>
    <w:rsid w:val="005F6E22"/>
    <w:rsid w:val="005F77D4"/>
    <w:rsid w:val="0060083A"/>
    <w:rsid w:val="006135A6"/>
    <w:rsid w:val="00614F33"/>
    <w:rsid w:val="006227E2"/>
    <w:rsid w:val="00623CB2"/>
    <w:rsid w:val="006241B5"/>
    <w:rsid w:val="00624DF2"/>
    <w:rsid w:val="00626575"/>
    <w:rsid w:val="00631728"/>
    <w:rsid w:val="00632A02"/>
    <w:rsid w:val="00635CA6"/>
    <w:rsid w:val="00640EEA"/>
    <w:rsid w:val="0064109C"/>
    <w:rsid w:val="00641497"/>
    <w:rsid w:val="00646730"/>
    <w:rsid w:val="00647558"/>
    <w:rsid w:val="0065168B"/>
    <w:rsid w:val="006557E0"/>
    <w:rsid w:val="00657FD1"/>
    <w:rsid w:val="006719BC"/>
    <w:rsid w:val="006732A0"/>
    <w:rsid w:val="00675F6F"/>
    <w:rsid w:val="0069597E"/>
    <w:rsid w:val="006A2E65"/>
    <w:rsid w:val="006A3462"/>
    <w:rsid w:val="006A34E1"/>
    <w:rsid w:val="006A63A7"/>
    <w:rsid w:val="006B1599"/>
    <w:rsid w:val="006C1EB7"/>
    <w:rsid w:val="006D05CF"/>
    <w:rsid w:val="006D0FD8"/>
    <w:rsid w:val="006D15FE"/>
    <w:rsid w:val="006D312E"/>
    <w:rsid w:val="006D4530"/>
    <w:rsid w:val="006D454A"/>
    <w:rsid w:val="006D5F8F"/>
    <w:rsid w:val="006E15D9"/>
    <w:rsid w:val="006F4672"/>
    <w:rsid w:val="007027D6"/>
    <w:rsid w:val="00714A8A"/>
    <w:rsid w:val="00716686"/>
    <w:rsid w:val="00721C53"/>
    <w:rsid w:val="00727438"/>
    <w:rsid w:val="007453FF"/>
    <w:rsid w:val="00754C4A"/>
    <w:rsid w:val="007555BE"/>
    <w:rsid w:val="00762508"/>
    <w:rsid w:val="007658D8"/>
    <w:rsid w:val="007719E4"/>
    <w:rsid w:val="00781E84"/>
    <w:rsid w:val="00783165"/>
    <w:rsid w:val="007879D2"/>
    <w:rsid w:val="00796426"/>
    <w:rsid w:val="007A1132"/>
    <w:rsid w:val="007A74C2"/>
    <w:rsid w:val="007B1F72"/>
    <w:rsid w:val="007B26F0"/>
    <w:rsid w:val="007B770D"/>
    <w:rsid w:val="007C286F"/>
    <w:rsid w:val="007C48D1"/>
    <w:rsid w:val="007C4920"/>
    <w:rsid w:val="007D3B34"/>
    <w:rsid w:val="007D6748"/>
    <w:rsid w:val="007E14E2"/>
    <w:rsid w:val="007E6B83"/>
    <w:rsid w:val="007F12BB"/>
    <w:rsid w:val="007F3EB0"/>
    <w:rsid w:val="007F4080"/>
    <w:rsid w:val="007F7A91"/>
    <w:rsid w:val="00800F79"/>
    <w:rsid w:val="008032FE"/>
    <w:rsid w:val="008072FF"/>
    <w:rsid w:val="008124A2"/>
    <w:rsid w:val="00814C2D"/>
    <w:rsid w:val="00821457"/>
    <w:rsid w:val="00821792"/>
    <w:rsid w:val="00834E22"/>
    <w:rsid w:val="0084464A"/>
    <w:rsid w:val="008458B4"/>
    <w:rsid w:val="008504EB"/>
    <w:rsid w:val="00856389"/>
    <w:rsid w:val="008641A4"/>
    <w:rsid w:val="00865092"/>
    <w:rsid w:val="00865C85"/>
    <w:rsid w:val="008665F3"/>
    <w:rsid w:val="008823F2"/>
    <w:rsid w:val="008856C5"/>
    <w:rsid w:val="00886349"/>
    <w:rsid w:val="00894936"/>
    <w:rsid w:val="0089673E"/>
    <w:rsid w:val="008A28BD"/>
    <w:rsid w:val="008A2C1B"/>
    <w:rsid w:val="008B498B"/>
    <w:rsid w:val="008B5472"/>
    <w:rsid w:val="008B5D35"/>
    <w:rsid w:val="008B7CC5"/>
    <w:rsid w:val="008C0FEE"/>
    <w:rsid w:val="008C2D5B"/>
    <w:rsid w:val="008D1260"/>
    <w:rsid w:val="008D692B"/>
    <w:rsid w:val="008E1864"/>
    <w:rsid w:val="008E75A9"/>
    <w:rsid w:val="008F4883"/>
    <w:rsid w:val="008F4D6D"/>
    <w:rsid w:val="0090304C"/>
    <w:rsid w:val="00911B90"/>
    <w:rsid w:val="009123AE"/>
    <w:rsid w:val="00914C38"/>
    <w:rsid w:val="00921E40"/>
    <w:rsid w:val="009222A6"/>
    <w:rsid w:val="00922EB0"/>
    <w:rsid w:val="00934B9A"/>
    <w:rsid w:val="009442D4"/>
    <w:rsid w:val="00952893"/>
    <w:rsid w:val="00952E7E"/>
    <w:rsid w:val="00955CA2"/>
    <w:rsid w:val="00955E3D"/>
    <w:rsid w:val="009653D4"/>
    <w:rsid w:val="009802CA"/>
    <w:rsid w:val="00980A86"/>
    <w:rsid w:val="00980D35"/>
    <w:rsid w:val="009823FA"/>
    <w:rsid w:val="009843D0"/>
    <w:rsid w:val="00990AA3"/>
    <w:rsid w:val="00993254"/>
    <w:rsid w:val="00994906"/>
    <w:rsid w:val="009959C7"/>
    <w:rsid w:val="00995CA8"/>
    <w:rsid w:val="009A0C25"/>
    <w:rsid w:val="009B0A47"/>
    <w:rsid w:val="009B1CDF"/>
    <w:rsid w:val="009B1EEE"/>
    <w:rsid w:val="009B38A7"/>
    <w:rsid w:val="009B61F1"/>
    <w:rsid w:val="009C0C9D"/>
    <w:rsid w:val="009D2985"/>
    <w:rsid w:val="009D3C21"/>
    <w:rsid w:val="009D46E2"/>
    <w:rsid w:val="009D4D1A"/>
    <w:rsid w:val="009D6236"/>
    <w:rsid w:val="009E0D7F"/>
    <w:rsid w:val="009E12AA"/>
    <w:rsid w:val="009E2FEF"/>
    <w:rsid w:val="009E3810"/>
    <w:rsid w:val="009F0021"/>
    <w:rsid w:val="009F1689"/>
    <w:rsid w:val="00A0294D"/>
    <w:rsid w:val="00A03943"/>
    <w:rsid w:val="00A2450C"/>
    <w:rsid w:val="00A25D52"/>
    <w:rsid w:val="00A34130"/>
    <w:rsid w:val="00A375CF"/>
    <w:rsid w:val="00A37731"/>
    <w:rsid w:val="00A404CB"/>
    <w:rsid w:val="00A4187D"/>
    <w:rsid w:val="00A51307"/>
    <w:rsid w:val="00A538AB"/>
    <w:rsid w:val="00A5579A"/>
    <w:rsid w:val="00A645AD"/>
    <w:rsid w:val="00A64CA0"/>
    <w:rsid w:val="00A6580E"/>
    <w:rsid w:val="00A65C53"/>
    <w:rsid w:val="00A67622"/>
    <w:rsid w:val="00A702BD"/>
    <w:rsid w:val="00A71AF0"/>
    <w:rsid w:val="00A746E4"/>
    <w:rsid w:val="00A8018A"/>
    <w:rsid w:val="00A83ACB"/>
    <w:rsid w:val="00A846AA"/>
    <w:rsid w:val="00A90810"/>
    <w:rsid w:val="00A942DB"/>
    <w:rsid w:val="00AA1A3B"/>
    <w:rsid w:val="00AB1421"/>
    <w:rsid w:val="00AB2883"/>
    <w:rsid w:val="00AB4037"/>
    <w:rsid w:val="00AB7B04"/>
    <w:rsid w:val="00AC0C85"/>
    <w:rsid w:val="00AD2143"/>
    <w:rsid w:val="00AD2B50"/>
    <w:rsid w:val="00AD4D95"/>
    <w:rsid w:val="00AE0071"/>
    <w:rsid w:val="00AE4EE3"/>
    <w:rsid w:val="00AE6FBC"/>
    <w:rsid w:val="00AF117B"/>
    <w:rsid w:val="00AF530E"/>
    <w:rsid w:val="00AF70B0"/>
    <w:rsid w:val="00B02783"/>
    <w:rsid w:val="00B0296A"/>
    <w:rsid w:val="00B03D1F"/>
    <w:rsid w:val="00B04E15"/>
    <w:rsid w:val="00B10BE1"/>
    <w:rsid w:val="00B16B13"/>
    <w:rsid w:val="00B16C18"/>
    <w:rsid w:val="00B21CA7"/>
    <w:rsid w:val="00B22F3B"/>
    <w:rsid w:val="00B24B9D"/>
    <w:rsid w:val="00B26D29"/>
    <w:rsid w:val="00B3182D"/>
    <w:rsid w:val="00B31CB9"/>
    <w:rsid w:val="00B349BE"/>
    <w:rsid w:val="00B35D41"/>
    <w:rsid w:val="00B40718"/>
    <w:rsid w:val="00B40F4D"/>
    <w:rsid w:val="00B419CA"/>
    <w:rsid w:val="00B45F28"/>
    <w:rsid w:val="00B54A57"/>
    <w:rsid w:val="00B5691D"/>
    <w:rsid w:val="00B579F1"/>
    <w:rsid w:val="00B62905"/>
    <w:rsid w:val="00B639C5"/>
    <w:rsid w:val="00B664F7"/>
    <w:rsid w:val="00B7289B"/>
    <w:rsid w:val="00B80318"/>
    <w:rsid w:val="00B84829"/>
    <w:rsid w:val="00B86868"/>
    <w:rsid w:val="00B916EB"/>
    <w:rsid w:val="00B92FE4"/>
    <w:rsid w:val="00B96E81"/>
    <w:rsid w:val="00BA4937"/>
    <w:rsid w:val="00BA55CE"/>
    <w:rsid w:val="00BB2AB2"/>
    <w:rsid w:val="00BB34FC"/>
    <w:rsid w:val="00BB375E"/>
    <w:rsid w:val="00BB59A8"/>
    <w:rsid w:val="00BB5D88"/>
    <w:rsid w:val="00BB7941"/>
    <w:rsid w:val="00BC03D5"/>
    <w:rsid w:val="00BD374B"/>
    <w:rsid w:val="00BD4F35"/>
    <w:rsid w:val="00BD72D1"/>
    <w:rsid w:val="00BE090E"/>
    <w:rsid w:val="00BE1EBF"/>
    <w:rsid w:val="00BE209C"/>
    <w:rsid w:val="00BE298A"/>
    <w:rsid w:val="00BF0D09"/>
    <w:rsid w:val="00BF0D97"/>
    <w:rsid w:val="00BF17F3"/>
    <w:rsid w:val="00C013F6"/>
    <w:rsid w:val="00C11E5F"/>
    <w:rsid w:val="00C2076B"/>
    <w:rsid w:val="00C20B9F"/>
    <w:rsid w:val="00C20F78"/>
    <w:rsid w:val="00C22E5F"/>
    <w:rsid w:val="00C367C6"/>
    <w:rsid w:val="00C55553"/>
    <w:rsid w:val="00C65F27"/>
    <w:rsid w:val="00C6697A"/>
    <w:rsid w:val="00C674DC"/>
    <w:rsid w:val="00C80EBD"/>
    <w:rsid w:val="00C944ED"/>
    <w:rsid w:val="00C9733E"/>
    <w:rsid w:val="00C97BFE"/>
    <w:rsid w:val="00CA0AAD"/>
    <w:rsid w:val="00CA60EE"/>
    <w:rsid w:val="00CA677B"/>
    <w:rsid w:val="00CA75B8"/>
    <w:rsid w:val="00CB2E80"/>
    <w:rsid w:val="00CB34A6"/>
    <w:rsid w:val="00CB5973"/>
    <w:rsid w:val="00CB5A9B"/>
    <w:rsid w:val="00CB71B9"/>
    <w:rsid w:val="00CB7817"/>
    <w:rsid w:val="00CC5952"/>
    <w:rsid w:val="00CD3D31"/>
    <w:rsid w:val="00CD506E"/>
    <w:rsid w:val="00CE0E61"/>
    <w:rsid w:val="00CE3494"/>
    <w:rsid w:val="00CE39E2"/>
    <w:rsid w:val="00CE51CC"/>
    <w:rsid w:val="00CE59D1"/>
    <w:rsid w:val="00CE6ED5"/>
    <w:rsid w:val="00CF0661"/>
    <w:rsid w:val="00CF0B50"/>
    <w:rsid w:val="00CF4403"/>
    <w:rsid w:val="00CF7EA9"/>
    <w:rsid w:val="00D00FAA"/>
    <w:rsid w:val="00D0483C"/>
    <w:rsid w:val="00D048DB"/>
    <w:rsid w:val="00D06FDE"/>
    <w:rsid w:val="00D11582"/>
    <w:rsid w:val="00D11D2D"/>
    <w:rsid w:val="00D139CC"/>
    <w:rsid w:val="00D17048"/>
    <w:rsid w:val="00D1794C"/>
    <w:rsid w:val="00D27454"/>
    <w:rsid w:val="00D27A57"/>
    <w:rsid w:val="00D27BCE"/>
    <w:rsid w:val="00D303F8"/>
    <w:rsid w:val="00D30A97"/>
    <w:rsid w:val="00D46465"/>
    <w:rsid w:val="00D522FC"/>
    <w:rsid w:val="00D5250E"/>
    <w:rsid w:val="00D75A18"/>
    <w:rsid w:val="00D830E6"/>
    <w:rsid w:val="00D87D66"/>
    <w:rsid w:val="00D94F64"/>
    <w:rsid w:val="00D95C10"/>
    <w:rsid w:val="00DA2C47"/>
    <w:rsid w:val="00DA34F3"/>
    <w:rsid w:val="00DA596B"/>
    <w:rsid w:val="00DA5AAC"/>
    <w:rsid w:val="00DA7D1C"/>
    <w:rsid w:val="00DA7E83"/>
    <w:rsid w:val="00DB1D54"/>
    <w:rsid w:val="00DB2728"/>
    <w:rsid w:val="00DB2E98"/>
    <w:rsid w:val="00DB491C"/>
    <w:rsid w:val="00DC305F"/>
    <w:rsid w:val="00DC46BF"/>
    <w:rsid w:val="00DC48A8"/>
    <w:rsid w:val="00DC7CE4"/>
    <w:rsid w:val="00DD06D6"/>
    <w:rsid w:val="00DD7DD7"/>
    <w:rsid w:val="00DE45E6"/>
    <w:rsid w:val="00DF1920"/>
    <w:rsid w:val="00DF2A5B"/>
    <w:rsid w:val="00DF319E"/>
    <w:rsid w:val="00DF4E44"/>
    <w:rsid w:val="00DF69C9"/>
    <w:rsid w:val="00DF7EEB"/>
    <w:rsid w:val="00E0274A"/>
    <w:rsid w:val="00E0771A"/>
    <w:rsid w:val="00E1579E"/>
    <w:rsid w:val="00E20F9E"/>
    <w:rsid w:val="00E223F6"/>
    <w:rsid w:val="00E2386B"/>
    <w:rsid w:val="00E32CDB"/>
    <w:rsid w:val="00E43C72"/>
    <w:rsid w:val="00E44E30"/>
    <w:rsid w:val="00E47577"/>
    <w:rsid w:val="00E53E73"/>
    <w:rsid w:val="00E54743"/>
    <w:rsid w:val="00E54E79"/>
    <w:rsid w:val="00E60AE8"/>
    <w:rsid w:val="00E64DBE"/>
    <w:rsid w:val="00E8060C"/>
    <w:rsid w:val="00EA5C1E"/>
    <w:rsid w:val="00EB5801"/>
    <w:rsid w:val="00EC7E9B"/>
    <w:rsid w:val="00ED5EC6"/>
    <w:rsid w:val="00EE0BF7"/>
    <w:rsid w:val="00EE6C3E"/>
    <w:rsid w:val="00EE6E7B"/>
    <w:rsid w:val="00EF1B0A"/>
    <w:rsid w:val="00EF4ADF"/>
    <w:rsid w:val="00EF4B6A"/>
    <w:rsid w:val="00F01DB1"/>
    <w:rsid w:val="00F143DB"/>
    <w:rsid w:val="00F2115D"/>
    <w:rsid w:val="00F25AFF"/>
    <w:rsid w:val="00F52E1E"/>
    <w:rsid w:val="00F54B7B"/>
    <w:rsid w:val="00F6549A"/>
    <w:rsid w:val="00F65F54"/>
    <w:rsid w:val="00F66FF9"/>
    <w:rsid w:val="00F73CB8"/>
    <w:rsid w:val="00F73D67"/>
    <w:rsid w:val="00F73D97"/>
    <w:rsid w:val="00F755B2"/>
    <w:rsid w:val="00F77017"/>
    <w:rsid w:val="00F82610"/>
    <w:rsid w:val="00F832D2"/>
    <w:rsid w:val="00F868ED"/>
    <w:rsid w:val="00F86DDF"/>
    <w:rsid w:val="00F87D87"/>
    <w:rsid w:val="00F902C3"/>
    <w:rsid w:val="00F97D4A"/>
    <w:rsid w:val="00FA24D6"/>
    <w:rsid w:val="00FA6C99"/>
    <w:rsid w:val="00FB0559"/>
    <w:rsid w:val="00FB3F09"/>
    <w:rsid w:val="00FB54F1"/>
    <w:rsid w:val="00FB5AF3"/>
    <w:rsid w:val="00FB7657"/>
    <w:rsid w:val="00FC076E"/>
    <w:rsid w:val="00FC1B12"/>
    <w:rsid w:val="00FC38A3"/>
    <w:rsid w:val="00FC47A3"/>
    <w:rsid w:val="00FD1008"/>
    <w:rsid w:val="00FE6C70"/>
    <w:rsid w:val="00FF1763"/>
    <w:rsid w:val="00FF4327"/>
    <w:rsid w:val="00FF6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C52CF"/>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3254"/>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B21CA7"/>
    <w:pPr>
      <w:widowControl/>
      <w:spacing w:before="100" w:beforeAutospacing="1" w:after="100" w:afterAutospacing="1"/>
    </w:pPr>
    <w:rPr>
      <w:rFonts w:ascii="Calibri" w:eastAsiaTheme="minorHAnsi" w:hAnsi="Calibri" w:cs="Calibri"/>
      <w:sz w:val="22"/>
      <w:szCs w:val="22"/>
    </w:rPr>
  </w:style>
  <w:style w:type="paragraph" w:styleId="Ingetavstnd">
    <w:name w:val="No Spacing"/>
    <w:uiPriority w:val="1"/>
    <w:qFormat/>
    <w:rsid w:val="00B21CA7"/>
    <w:pPr>
      <w:widowControl w:val="0"/>
    </w:pPr>
    <w:rPr>
      <w:sz w:val="24"/>
    </w:rPr>
  </w:style>
  <w:style w:type="paragraph" w:styleId="Fotnotstext">
    <w:name w:val="footnote text"/>
    <w:basedOn w:val="Normal"/>
    <w:link w:val="FotnotstextChar"/>
    <w:uiPriority w:val="99"/>
    <w:unhideWhenUsed/>
    <w:rsid w:val="00DB2728"/>
    <w:pPr>
      <w:widowControl/>
      <w:tabs>
        <w:tab w:val="left" w:pos="284"/>
      </w:tabs>
    </w:pPr>
    <w:rPr>
      <w:rFonts w:ascii="Arial" w:hAnsi="Arial"/>
      <w:sz w:val="20"/>
    </w:rPr>
  </w:style>
  <w:style w:type="character" w:customStyle="1" w:styleId="FotnotstextChar">
    <w:name w:val="Fotnotstext Char"/>
    <w:basedOn w:val="Standardstycketeckensnitt"/>
    <w:link w:val="Fotnotstext"/>
    <w:uiPriority w:val="99"/>
    <w:rsid w:val="00DB2728"/>
    <w:rPr>
      <w:rFonts w:ascii="Arial" w:hAnsi="Arial"/>
    </w:rPr>
  </w:style>
  <w:style w:type="character" w:styleId="Fotnotsreferens">
    <w:name w:val="footnote reference"/>
    <w:basedOn w:val="Standardstycketeckensnitt"/>
    <w:uiPriority w:val="99"/>
    <w:unhideWhenUsed/>
    <w:rsid w:val="00DB2728"/>
    <w:rPr>
      <w:vertAlign w:val="superscript"/>
    </w:rPr>
  </w:style>
  <w:style w:type="paragraph" w:styleId="Normaltindrag">
    <w:name w:val="Normal Indent"/>
    <w:basedOn w:val="Normal"/>
    <w:link w:val="NormaltindragChar"/>
    <w:unhideWhenUsed/>
    <w:rsid w:val="007C48D1"/>
    <w:pPr>
      <w:widowControl/>
      <w:spacing w:before="62" w:line="250" w:lineRule="atLeast"/>
      <w:ind w:left="1304"/>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7C48D1"/>
    <w:rPr>
      <w:rFonts w:eastAsiaTheme="minorHAnsi"/>
      <w:sz w:val="19"/>
      <w:szCs w:val="19"/>
      <w:lang w:eastAsia="en-US"/>
    </w:rPr>
  </w:style>
  <w:style w:type="character" w:customStyle="1" w:styleId="normaltextrun">
    <w:name w:val="normaltextrun"/>
    <w:basedOn w:val="Standardstycketeckensnitt"/>
    <w:rsid w:val="0061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06709">
      <w:bodyDiv w:val="1"/>
      <w:marLeft w:val="0"/>
      <w:marRight w:val="0"/>
      <w:marTop w:val="0"/>
      <w:marBottom w:val="0"/>
      <w:divBdr>
        <w:top w:val="none" w:sz="0" w:space="0" w:color="auto"/>
        <w:left w:val="none" w:sz="0" w:space="0" w:color="auto"/>
        <w:bottom w:val="none" w:sz="0" w:space="0" w:color="auto"/>
        <w:right w:val="none" w:sz="0" w:space="0" w:color="auto"/>
      </w:divBdr>
    </w:div>
    <w:div w:id="239366703">
      <w:bodyDiv w:val="1"/>
      <w:marLeft w:val="0"/>
      <w:marRight w:val="0"/>
      <w:marTop w:val="0"/>
      <w:marBottom w:val="0"/>
      <w:divBdr>
        <w:top w:val="none" w:sz="0" w:space="0" w:color="auto"/>
        <w:left w:val="none" w:sz="0" w:space="0" w:color="auto"/>
        <w:bottom w:val="none" w:sz="0" w:space="0" w:color="auto"/>
        <w:right w:val="none" w:sz="0" w:space="0" w:color="auto"/>
      </w:divBdr>
    </w:div>
    <w:div w:id="468396912">
      <w:bodyDiv w:val="1"/>
      <w:marLeft w:val="0"/>
      <w:marRight w:val="0"/>
      <w:marTop w:val="0"/>
      <w:marBottom w:val="0"/>
      <w:divBdr>
        <w:top w:val="none" w:sz="0" w:space="0" w:color="auto"/>
        <w:left w:val="none" w:sz="0" w:space="0" w:color="auto"/>
        <w:bottom w:val="none" w:sz="0" w:space="0" w:color="auto"/>
        <w:right w:val="none" w:sz="0" w:space="0" w:color="auto"/>
      </w:divBdr>
    </w:div>
    <w:div w:id="621812657">
      <w:bodyDiv w:val="1"/>
      <w:marLeft w:val="0"/>
      <w:marRight w:val="0"/>
      <w:marTop w:val="0"/>
      <w:marBottom w:val="0"/>
      <w:divBdr>
        <w:top w:val="none" w:sz="0" w:space="0" w:color="auto"/>
        <w:left w:val="none" w:sz="0" w:space="0" w:color="auto"/>
        <w:bottom w:val="none" w:sz="0" w:space="0" w:color="auto"/>
        <w:right w:val="none" w:sz="0" w:space="0" w:color="auto"/>
      </w:divBdr>
    </w:div>
    <w:div w:id="878057178">
      <w:bodyDiv w:val="1"/>
      <w:marLeft w:val="0"/>
      <w:marRight w:val="0"/>
      <w:marTop w:val="0"/>
      <w:marBottom w:val="0"/>
      <w:divBdr>
        <w:top w:val="none" w:sz="0" w:space="0" w:color="auto"/>
        <w:left w:val="none" w:sz="0" w:space="0" w:color="auto"/>
        <w:bottom w:val="none" w:sz="0" w:space="0" w:color="auto"/>
        <w:right w:val="none" w:sz="0" w:space="0" w:color="auto"/>
      </w:divBdr>
    </w:div>
    <w:div w:id="1088843909">
      <w:bodyDiv w:val="1"/>
      <w:marLeft w:val="0"/>
      <w:marRight w:val="0"/>
      <w:marTop w:val="0"/>
      <w:marBottom w:val="0"/>
      <w:divBdr>
        <w:top w:val="none" w:sz="0" w:space="0" w:color="auto"/>
        <w:left w:val="none" w:sz="0" w:space="0" w:color="auto"/>
        <w:bottom w:val="none" w:sz="0" w:space="0" w:color="auto"/>
        <w:right w:val="none" w:sz="0" w:space="0" w:color="auto"/>
      </w:divBdr>
    </w:div>
    <w:div w:id="1250310666">
      <w:bodyDiv w:val="1"/>
      <w:marLeft w:val="0"/>
      <w:marRight w:val="0"/>
      <w:marTop w:val="0"/>
      <w:marBottom w:val="0"/>
      <w:divBdr>
        <w:top w:val="none" w:sz="0" w:space="0" w:color="auto"/>
        <w:left w:val="none" w:sz="0" w:space="0" w:color="auto"/>
        <w:bottom w:val="none" w:sz="0" w:space="0" w:color="auto"/>
        <w:right w:val="none" w:sz="0" w:space="0" w:color="auto"/>
      </w:divBdr>
    </w:div>
    <w:div w:id="1438481119">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91944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mur.riksdagen.se/?dokumentId=3859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mur.riksdagen.se/?dokumentId=38548" TargetMode="External"/><Relationship Id="rId17" Type="http://schemas.openxmlformats.org/officeDocument/2006/relationships/hyperlink" Target="https://lemur.riksdagen.se/?dokumentId=38595" TargetMode="External"/><Relationship Id="rId2" Type="http://schemas.openxmlformats.org/officeDocument/2006/relationships/numbering" Target="numbering.xml"/><Relationship Id="rId16" Type="http://schemas.openxmlformats.org/officeDocument/2006/relationships/hyperlink" Target="https://lemur.riksdagen.se/?dokumentId=384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mur.riksdagen.se/?dokumentId=38552" TargetMode="External"/><Relationship Id="rId5" Type="http://schemas.openxmlformats.org/officeDocument/2006/relationships/webSettings" Target="webSettings.xml"/><Relationship Id="rId15" Type="http://schemas.openxmlformats.org/officeDocument/2006/relationships/hyperlink" Target="https://lemur.riksdagen.se/?dokumentId=38526" TargetMode="External"/><Relationship Id="rId10" Type="http://schemas.openxmlformats.org/officeDocument/2006/relationships/hyperlink" Target="http://lemur.riksdagen.se/?dokumentId=3827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emur.riksdagen.se/?dokumentId=3849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1DE56-9411-4A96-ADC4-9BE4BE09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4116</Words>
  <Characters>27645</Characters>
  <Application>Microsoft Office Word</Application>
  <DocSecurity>0</DocSecurity>
  <Lines>1626</Lines>
  <Paragraphs>453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Fällman</cp:lastModifiedBy>
  <cp:revision>4</cp:revision>
  <cp:lastPrinted>2022-04-07T10:53:00Z</cp:lastPrinted>
  <dcterms:created xsi:type="dcterms:W3CDTF">2022-04-07T10:58:00Z</dcterms:created>
  <dcterms:modified xsi:type="dcterms:W3CDTF">2022-04-07T10:59:00Z</dcterms:modified>
</cp:coreProperties>
</file>