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1852F2">
              <w:rPr>
                <w:b/>
              </w:rPr>
              <w:t>19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1852F2">
            <w:r>
              <w:t>201</w:t>
            </w:r>
            <w:r w:rsidR="00FE5A5A">
              <w:t>9</w:t>
            </w:r>
            <w:r w:rsidR="00520D71">
              <w:t>-</w:t>
            </w:r>
            <w:r w:rsidR="001852F2">
              <w:t>02-05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AF3402">
            <w:r>
              <w:t>11:</w:t>
            </w:r>
            <w:r w:rsidR="00B2693D">
              <w:t>00</w:t>
            </w:r>
            <w:r w:rsidR="00FA543D">
              <w:t>–</w:t>
            </w:r>
            <w:r w:rsidR="00AF3402">
              <w:t>11:50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1852F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EU-överläggning med regeringen enligt RO 7 kap. 12 § om Samordnad </w:t>
            </w:r>
            <w:r w:rsidR="006419A8">
              <w:rPr>
                <w:b/>
                <w:bCs/>
                <w:color w:val="000000"/>
                <w:szCs w:val="24"/>
              </w:rPr>
              <w:t>plan</w:t>
            </w:r>
            <w:r>
              <w:rPr>
                <w:b/>
                <w:bCs/>
                <w:color w:val="000000"/>
                <w:szCs w:val="24"/>
              </w:rPr>
              <w:t xml:space="preserve"> för artificiell intelligens</w:t>
            </w:r>
          </w:p>
          <w:p w:rsidR="001852F2" w:rsidRDefault="001852F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419A8" w:rsidRDefault="006419A8" w:rsidP="006419A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13632">
              <w:rPr>
                <w:bCs/>
                <w:color w:val="000000"/>
                <w:szCs w:val="24"/>
              </w:rPr>
              <w:t>Ut</w:t>
            </w:r>
            <w:r>
              <w:rPr>
                <w:bCs/>
                <w:color w:val="000000"/>
                <w:szCs w:val="24"/>
              </w:rPr>
              <w:t>skottet överlade med s</w:t>
            </w:r>
            <w:r w:rsidRPr="006419A8">
              <w:rPr>
                <w:bCs/>
                <w:color w:val="000000"/>
                <w:szCs w:val="24"/>
              </w:rPr>
              <w:t xml:space="preserve">tatsrådet Anders </w:t>
            </w:r>
            <w:proofErr w:type="spellStart"/>
            <w:r w:rsidRPr="006419A8">
              <w:rPr>
                <w:bCs/>
                <w:color w:val="000000"/>
                <w:szCs w:val="24"/>
              </w:rPr>
              <w:t>Ygeman</w:t>
            </w:r>
            <w:proofErr w:type="spellEnd"/>
            <w:r w:rsidRPr="006419A8">
              <w:rPr>
                <w:bCs/>
                <w:color w:val="000000"/>
                <w:szCs w:val="24"/>
              </w:rPr>
              <w:t xml:space="preserve">, departementssekreterare Helena </w:t>
            </w:r>
            <w:proofErr w:type="spellStart"/>
            <w:r w:rsidRPr="006419A8">
              <w:rPr>
                <w:bCs/>
                <w:color w:val="000000"/>
                <w:szCs w:val="24"/>
              </w:rPr>
              <w:t>Hånell</w:t>
            </w:r>
            <w:proofErr w:type="spellEnd"/>
            <w:r w:rsidRPr="006419A8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419A8">
              <w:rPr>
                <w:bCs/>
                <w:color w:val="000000"/>
                <w:szCs w:val="24"/>
              </w:rPr>
              <w:t>McKelvey</w:t>
            </w:r>
            <w:proofErr w:type="spellEnd"/>
            <w:r w:rsidRPr="006419A8">
              <w:rPr>
                <w:bCs/>
                <w:color w:val="000000"/>
                <w:szCs w:val="24"/>
              </w:rPr>
              <w:t>, kansliråd Johan Harvard, departementsråd Maria Rosander, departementssekreterare Isabel Sarenmalm och politisk sekreterare Johan Moström, samtliga från Näringsdepartementet</w:t>
            </w:r>
            <w:r>
              <w:rPr>
                <w:color w:val="000000"/>
                <w:szCs w:val="24"/>
              </w:rPr>
              <w:t xml:space="preserve">, om en Samordnad plan för </w:t>
            </w:r>
            <w:r w:rsidR="008548C1">
              <w:rPr>
                <w:color w:val="000000"/>
                <w:szCs w:val="24"/>
              </w:rPr>
              <w:t>artificiell</w:t>
            </w:r>
            <w:r>
              <w:rPr>
                <w:color w:val="000000"/>
                <w:szCs w:val="24"/>
              </w:rPr>
              <w:t xml:space="preserve"> intelligens.</w:t>
            </w:r>
          </w:p>
          <w:p w:rsidR="006419A8" w:rsidRDefault="006419A8" w:rsidP="006419A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6419A8" w:rsidRPr="00A7175F" w:rsidRDefault="006419A8" w:rsidP="006419A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A7175F">
              <w:rPr>
                <w:i/>
                <w:snapToGrid w:val="0"/>
              </w:rPr>
              <w:t>Underlag för överläggningen</w:t>
            </w:r>
          </w:p>
          <w:p w:rsidR="006419A8" w:rsidRPr="00A7175F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  <w:r w:rsidRPr="00352D24">
              <w:rPr>
                <w:snapToGrid w:val="0"/>
              </w:rPr>
              <w:t>Promemoria fr</w:t>
            </w:r>
            <w:r>
              <w:rPr>
                <w:snapToGrid w:val="0"/>
              </w:rPr>
              <w:t>ån Näringsdepartementet (dnr 1421</w:t>
            </w:r>
            <w:r w:rsidRPr="00352D24">
              <w:rPr>
                <w:snapToGrid w:val="0"/>
              </w:rPr>
              <w:t>-2018/19)</w:t>
            </w:r>
            <w:r>
              <w:rPr>
                <w:snapToGrid w:val="0"/>
              </w:rPr>
              <w:br/>
            </w:r>
          </w:p>
          <w:p w:rsidR="006419A8" w:rsidRPr="00A7175F" w:rsidRDefault="006419A8" w:rsidP="006419A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A7175F">
              <w:rPr>
                <w:i/>
                <w:snapToGrid w:val="0"/>
              </w:rPr>
              <w:t>Regeringens förslag till svensk ståndpunkt</w:t>
            </w:r>
          </w:p>
          <w:p w:rsidR="006419A8" w:rsidRPr="006419A8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  <w:r w:rsidRPr="006419A8">
              <w:rPr>
                <w:snapToGrid w:val="0"/>
              </w:rPr>
              <w:t>Kommissionens meddelande överensstä</w:t>
            </w:r>
            <w:r>
              <w:rPr>
                <w:snapToGrid w:val="0"/>
              </w:rPr>
              <w:t xml:space="preserve">mmer i hög grad med regeringens </w:t>
            </w:r>
            <w:r w:rsidRPr="006419A8">
              <w:rPr>
                <w:snapToGrid w:val="0"/>
              </w:rPr>
              <w:t>nationella inriktning för AI som antogs i maj 2018 och regeringen välkomnar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meddelandet och den plan som föreslås för att utveckla AI i Europa.</w:t>
            </w:r>
          </w:p>
          <w:p w:rsidR="006419A8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</w:p>
          <w:p w:rsidR="006419A8" w:rsidRPr="006419A8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  <w:r w:rsidRPr="006419A8">
              <w:rPr>
                <w:snapToGrid w:val="0"/>
              </w:rPr>
              <w:t xml:space="preserve">Regeringen stöder kommissionens förslag </w:t>
            </w:r>
            <w:r>
              <w:rPr>
                <w:snapToGrid w:val="0"/>
              </w:rPr>
              <w:t xml:space="preserve">att upprätthålla högnivågruppen </w:t>
            </w:r>
            <w:r w:rsidRPr="006419A8">
              <w:rPr>
                <w:snapToGrid w:val="0"/>
              </w:rPr>
              <w:t>DEI-AI för översynen av planens genomförande. Det är bra att befintliga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grupper som hanterar program i Horisont 2020 fortsätter med det även när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fokus på AI ökar. Överlag anser regeringen att det är viktigt att undvika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överlappning av insatser och att nya åtgärder i handlingsplanen förhåller sig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till närliggande initiativ.</w:t>
            </w:r>
          </w:p>
          <w:p w:rsidR="006419A8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</w:p>
          <w:p w:rsidR="006419A8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  <w:r w:rsidRPr="006419A8">
              <w:rPr>
                <w:snapToGrid w:val="0"/>
              </w:rPr>
              <w:t>För nästa programperiod har regeringen uttryc</w:t>
            </w:r>
            <w:r>
              <w:rPr>
                <w:snapToGrid w:val="0"/>
              </w:rPr>
              <w:t xml:space="preserve">kt att budgeten totalt sett ska </w:t>
            </w:r>
            <w:r w:rsidRPr="006419A8">
              <w:rPr>
                <w:snapToGrid w:val="0"/>
              </w:rPr>
              <w:t>minska och omprioriteringar bör ske till fördel för bl.a. forskning och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konkurrenskraft. Regeringen har välkomnat förslaget om inrättandet av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programmet för ett digitalt Europa och uttryckt att AI bör vara ett prioriterat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område i programmet. Det är viktigt att ett ökat fokus på AI sker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horisontellt och även om AI bedöms ha stor potential är det viktigt att en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satsning på AI inte tränger ut annat nödvändigt innovations- och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utvecklingsarbete.</w:t>
            </w:r>
          </w:p>
          <w:p w:rsidR="006419A8" w:rsidRPr="006419A8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</w:p>
          <w:p w:rsidR="006419A8" w:rsidRPr="006419A8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  <w:r w:rsidRPr="006419A8">
              <w:rPr>
                <w:snapToGrid w:val="0"/>
              </w:rPr>
              <w:t>Regeringen instämmer inte i förslaget med et</w:t>
            </w:r>
            <w:r>
              <w:rPr>
                <w:snapToGrid w:val="0"/>
              </w:rPr>
              <w:t xml:space="preserve">t investeringsstödjande program </w:t>
            </w:r>
            <w:r w:rsidRPr="006419A8">
              <w:rPr>
                <w:snapToGrid w:val="0"/>
              </w:rPr>
              <w:t xml:space="preserve">där </w:t>
            </w:r>
            <w:proofErr w:type="spellStart"/>
            <w:r w:rsidRPr="006419A8">
              <w:rPr>
                <w:snapToGrid w:val="0"/>
              </w:rPr>
              <w:t>InvestEU</w:t>
            </w:r>
            <w:proofErr w:type="spellEnd"/>
            <w:r w:rsidRPr="006419A8">
              <w:rPr>
                <w:snapToGrid w:val="0"/>
              </w:rPr>
              <w:t xml:space="preserve"> avses tillföra resurser för ökad tillgång till riskkapital för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affärsidéer inom AI, då tillgången till privat riskkapital inom detta område</w:t>
            </w:r>
            <w:r>
              <w:rPr>
                <w:snapToGrid w:val="0"/>
              </w:rPr>
              <w:t xml:space="preserve"> </w:t>
            </w:r>
            <w:r w:rsidRPr="006419A8">
              <w:rPr>
                <w:snapToGrid w:val="0"/>
              </w:rPr>
              <w:t>redan bedöms vara relativt god.</w:t>
            </w:r>
            <w:r>
              <w:rPr>
                <w:snapToGrid w:val="0"/>
              </w:rPr>
              <w:br/>
            </w:r>
          </w:p>
          <w:p w:rsidR="006419A8" w:rsidRPr="00352D24" w:rsidRDefault="006419A8" w:rsidP="006419A8">
            <w:pPr>
              <w:tabs>
                <w:tab w:val="left" w:pos="1701"/>
              </w:tabs>
              <w:rPr>
                <w:bCs/>
                <w:i/>
                <w:color w:val="000000"/>
                <w:szCs w:val="24"/>
              </w:rPr>
            </w:pPr>
            <w:r w:rsidRPr="00352D24">
              <w:rPr>
                <w:bCs/>
                <w:i/>
                <w:color w:val="000000"/>
                <w:szCs w:val="24"/>
              </w:rPr>
              <w:t>Utskottet</w:t>
            </w:r>
          </w:p>
          <w:p w:rsidR="006419A8" w:rsidRPr="00352D24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  <w:r w:rsidRPr="00352D24">
              <w:rPr>
                <w:snapToGrid w:val="0"/>
              </w:rPr>
              <w:t>Ordföranden konstaterade att det finns stöd i utsko</w:t>
            </w:r>
            <w:r>
              <w:rPr>
                <w:snapToGrid w:val="0"/>
              </w:rPr>
              <w:t>ttet för regeringens ståndpunkt.</w:t>
            </w:r>
          </w:p>
          <w:p w:rsidR="006419A8" w:rsidRPr="00352D24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</w:p>
          <w:p w:rsidR="006419A8" w:rsidRDefault="006419A8" w:rsidP="006419A8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snapToGrid w:val="0"/>
              </w:rPr>
              <w:t>Sverigedemokraterna</w:t>
            </w:r>
            <w:r w:rsidRPr="00352D24">
              <w:rPr>
                <w:snapToGrid w:val="0"/>
              </w:rPr>
              <w:t xml:space="preserve"> anmälde </w:t>
            </w:r>
            <w:r>
              <w:rPr>
                <w:snapToGrid w:val="0"/>
              </w:rPr>
              <w:t xml:space="preserve">en avvikande mening och ansåg att den första meningen i den tredje paragrafen borde ha följande lydelse: </w:t>
            </w:r>
            <w:r>
              <w:rPr>
                <w:color w:val="000000"/>
              </w:rPr>
              <w:t>Regeringen vidhåller sin uppfattning att budgeten för nästa programperiod totalt sett ska minska och att omprioriteringar bör ske till fördel för bland annat forskning och konkurrenskraft.  </w:t>
            </w:r>
          </w:p>
          <w:p w:rsidR="006419A8" w:rsidRDefault="006419A8" w:rsidP="006419A8">
            <w:pPr>
              <w:tabs>
                <w:tab w:val="left" w:pos="1701"/>
              </w:tabs>
              <w:rPr>
                <w:color w:val="000000"/>
              </w:rPr>
            </w:pPr>
          </w:p>
          <w:p w:rsidR="006419A8" w:rsidRDefault="006419A8" w:rsidP="006419A8">
            <w:pPr>
              <w:tabs>
                <w:tab w:val="left" w:pos="1701"/>
              </w:tabs>
              <w:rPr>
                <w:snapToGrid w:val="0"/>
              </w:rPr>
            </w:pPr>
            <w:r w:rsidRPr="00687A14">
              <w:rPr>
                <w:snapToGrid w:val="0"/>
              </w:rPr>
              <w:t xml:space="preserve">Vänsterpartiet anmälde en avvikande mening och ansåg att följande mening borde tillföras den svenska ståndpunkten: </w:t>
            </w:r>
            <w:r w:rsidR="00687A14" w:rsidRPr="00687A14">
              <w:rPr>
                <w:snapToGrid w:val="0"/>
              </w:rPr>
              <w:t>AI-forskning för militära ändamål ska inte vara en del av handlingsplanen eller finansieras via försvarsfonden.</w:t>
            </w:r>
            <w:r w:rsidR="00687A14">
              <w:rPr>
                <w:snapToGrid w:val="0"/>
              </w:rPr>
              <w:t xml:space="preserve"> </w:t>
            </w:r>
          </w:p>
          <w:p w:rsidR="00A93E23" w:rsidRDefault="00A93E23" w:rsidP="006419A8">
            <w:pPr>
              <w:tabs>
                <w:tab w:val="left" w:pos="1701"/>
              </w:tabs>
              <w:rPr>
                <w:snapToGrid w:val="0"/>
              </w:rPr>
            </w:pPr>
          </w:p>
          <w:p w:rsidR="00A93E23" w:rsidRPr="00A93E23" w:rsidRDefault="00A93E23" w:rsidP="006419A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93E23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1852F2" w:rsidRDefault="001852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B27C0" w:rsidTr="0001177E">
        <w:tc>
          <w:tcPr>
            <w:tcW w:w="567" w:type="dxa"/>
          </w:tcPr>
          <w:p w:rsidR="00BB27C0" w:rsidRPr="003B4DE8" w:rsidRDefault="00BB27C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B27C0" w:rsidRDefault="00BB27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EU-information inför konkurrenskraftsrådet 18 februari gällande Samordnad plan för artificiell intelligens</w:t>
            </w:r>
          </w:p>
          <w:p w:rsidR="00A93E23" w:rsidRPr="00A93E23" w:rsidRDefault="00A93E23" w:rsidP="00A93E2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93E23" w:rsidRPr="00A93E23" w:rsidRDefault="00A93E23" w:rsidP="00A93E2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93E23">
              <w:rPr>
                <w:bCs/>
                <w:color w:val="000000"/>
                <w:szCs w:val="24"/>
              </w:rPr>
              <w:t xml:space="preserve">Utskottet informerades av statsrådet Anders </w:t>
            </w:r>
            <w:proofErr w:type="spellStart"/>
            <w:r w:rsidRPr="00A93E23">
              <w:rPr>
                <w:bCs/>
                <w:color w:val="000000"/>
                <w:szCs w:val="24"/>
              </w:rPr>
              <w:t>Ygeman</w:t>
            </w:r>
            <w:proofErr w:type="spellEnd"/>
            <w:r w:rsidRPr="00A93E23">
              <w:rPr>
                <w:bCs/>
                <w:color w:val="000000"/>
                <w:szCs w:val="24"/>
              </w:rPr>
              <w:t xml:space="preserve">, departementssekreterare Helena </w:t>
            </w:r>
            <w:proofErr w:type="spellStart"/>
            <w:r w:rsidRPr="00A93E23">
              <w:rPr>
                <w:bCs/>
                <w:color w:val="000000"/>
                <w:szCs w:val="24"/>
              </w:rPr>
              <w:t>Hånell</w:t>
            </w:r>
            <w:proofErr w:type="spellEnd"/>
            <w:r w:rsidRPr="00A93E23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A93E23">
              <w:rPr>
                <w:bCs/>
                <w:color w:val="000000"/>
                <w:szCs w:val="24"/>
              </w:rPr>
              <w:t>McKelvey</w:t>
            </w:r>
            <w:proofErr w:type="spellEnd"/>
            <w:r w:rsidRPr="00A93E23">
              <w:rPr>
                <w:bCs/>
                <w:color w:val="000000"/>
                <w:szCs w:val="24"/>
              </w:rPr>
              <w:t xml:space="preserve">, kansliråd Johan Harvard, departementsråd Maria Rosander, departementssekreterare Isabel Sarenmalm och politisk sekreterare Johan Moström, samtliga från Näringsdepartementet, </w:t>
            </w:r>
            <w:r>
              <w:rPr>
                <w:bCs/>
                <w:color w:val="000000"/>
                <w:szCs w:val="24"/>
              </w:rPr>
              <w:t xml:space="preserve">inför konkurrenskraftsrådet 18 februari gällande Samordnad plan för artificiell intelligens. </w:t>
            </w:r>
          </w:p>
          <w:p w:rsidR="00A93E23" w:rsidRPr="00A93E23" w:rsidRDefault="00A93E23" w:rsidP="00A93E2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93E23" w:rsidRPr="00A93E23" w:rsidRDefault="00A93E23" w:rsidP="00A93E23">
            <w:pPr>
              <w:tabs>
                <w:tab w:val="left" w:pos="1701"/>
              </w:tabs>
              <w:rPr>
                <w:bCs/>
                <w:i/>
                <w:color w:val="000000"/>
                <w:szCs w:val="24"/>
              </w:rPr>
            </w:pPr>
            <w:r w:rsidRPr="00A93E23">
              <w:rPr>
                <w:bCs/>
                <w:i/>
                <w:color w:val="000000"/>
                <w:szCs w:val="24"/>
              </w:rPr>
              <w:t>Underlag för informationen</w:t>
            </w:r>
          </w:p>
          <w:p w:rsidR="00A93E23" w:rsidRDefault="00A93E23" w:rsidP="00A93E2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93E23">
              <w:rPr>
                <w:bCs/>
                <w:color w:val="000000"/>
                <w:szCs w:val="24"/>
              </w:rPr>
              <w:t>Promemoria frå</w:t>
            </w:r>
            <w:r>
              <w:rPr>
                <w:bCs/>
                <w:color w:val="000000"/>
                <w:szCs w:val="24"/>
              </w:rPr>
              <w:t>n Näringsdepartementet (dnr 1422</w:t>
            </w:r>
            <w:r w:rsidRPr="00A93E23">
              <w:rPr>
                <w:bCs/>
                <w:color w:val="000000"/>
                <w:szCs w:val="24"/>
              </w:rPr>
              <w:t>-2018/19)</w:t>
            </w:r>
          </w:p>
          <w:p w:rsidR="00A93E23" w:rsidRPr="00A93E23" w:rsidRDefault="00A93E23" w:rsidP="00A93E2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B27C0" w:rsidRPr="00A93E23" w:rsidRDefault="00A93E23" w:rsidP="00A93E2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93E23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BB27C0" w:rsidRDefault="00BB27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1852F2">
              <w:rPr>
                <w:snapToGrid w:val="0"/>
              </w:rPr>
              <w:t>:18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1852F2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1852F2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AF3402">
              <w:rPr>
                <w:snapToGrid w:val="0"/>
              </w:rPr>
              <w:t xml:space="preserve"> bilaga 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1852F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Gymnasieskola (UbU11)</w:t>
            </w:r>
          </w:p>
          <w:p w:rsidR="001852F2" w:rsidRDefault="001852F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852F2" w:rsidRPr="0092582B" w:rsidRDefault="001852F2" w:rsidP="001852F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2582B">
              <w:rPr>
                <w:bCs/>
                <w:color w:val="000000"/>
                <w:szCs w:val="24"/>
              </w:rPr>
              <w:t>Utskottet behandlade motioner.</w:t>
            </w:r>
          </w:p>
          <w:p w:rsidR="001852F2" w:rsidRPr="0092582B" w:rsidRDefault="001852F2" w:rsidP="001852F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852F2" w:rsidRPr="0092582B" w:rsidRDefault="001852F2" w:rsidP="001852F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2582B">
              <w:rPr>
                <w:bCs/>
                <w:color w:val="000000"/>
                <w:szCs w:val="24"/>
              </w:rPr>
              <w:t>Ärendet bordlades.</w:t>
            </w:r>
          </w:p>
          <w:p w:rsidR="001852F2" w:rsidRDefault="001852F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1852F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Studiestöd (UbU15)</w:t>
            </w:r>
          </w:p>
          <w:p w:rsidR="001852F2" w:rsidRDefault="001852F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852F2" w:rsidRPr="0092582B" w:rsidRDefault="001852F2" w:rsidP="001852F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2582B">
              <w:rPr>
                <w:bCs/>
                <w:color w:val="000000"/>
                <w:szCs w:val="24"/>
              </w:rPr>
              <w:t>Utskottet behandlade motioner.</w:t>
            </w:r>
          </w:p>
          <w:p w:rsidR="001852F2" w:rsidRPr="0092582B" w:rsidRDefault="001852F2" w:rsidP="001852F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852F2" w:rsidRDefault="001852F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92582B">
              <w:rPr>
                <w:bCs/>
                <w:color w:val="000000"/>
                <w:szCs w:val="24"/>
              </w:rPr>
              <w:lastRenderedPageBreak/>
              <w:t>Ärendet bordlades.</w:t>
            </w:r>
          </w:p>
          <w:p w:rsidR="001852F2" w:rsidRDefault="001852F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F340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tillträde till högre utbildning</w:t>
            </w:r>
          </w:p>
          <w:p w:rsidR="00AF3402" w:rsidRDefault="00AF340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F3402" w:rsidRPr="00AF3402" w:rsidRDefault="00AF340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F3402">
              <w:rPr>
                <w:bCs/>
                <w:color w:val="000000"/>
                <w:szCs w:val="24"/>
              </w:rPr>
              <w:t>Kansliet informerade</w:t>
            </w:r>
            <w:r>
              <w:rPr>
                <w:bCs/>
                <w:color w:val="000000"/>
                <w:szCs w:val="24"/>
              </w:rPr>
              <w:t xml:space="preserve"> om</w:t>
            </w:r>
            <w:r w:rsidRPr="00AF3402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regelverket kring </w:t>
            </w:r>
            <w:r w:rsidRPr="00AF3402">
              <w:rPr>
                <w:bCs/>
                <w:color w:val="000000"/>
                <w:szCs w:val="24"/>
              </w:rPr>
              <w:t>tillträde till högre utbildning.</w:t>
            </w:r>
          </w:p>
          <w:p w:rsidR="001852F2" w:rsidRDefault="001852F2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1852F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1852F2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1852F2">
              <w:rPr>
                <w:szCs w:val="24"/>
              </w:rPr>
              <w:t>7 februari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 w:rsidR="001852F2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  <w:p w:rsidR="00AF3402" w:rsidRDefault="00AF3402" w:rsidP="001852F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B27C0" w:rsidP="00D817DA">
            <w:pPr>
              <w:tabs>
                <w:tab w:val="left" w:pos="1701"/>
              </w:tabs>
            </w:pPr>
            <w:r>
              <w:t>Jonas Brynhildsen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852F2">
              <w:t>torsdagen den 7 februari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3B4DE8">
            <w:pPr>
              <w:tabs>
                <w:tab w:val="left" w:pos="1701"/>
              </w:tabs>
            </w:pPr>
          </w:p>
          <w:p w:rsidR="00BB27C0" w:rsidRDefault="00BB27C0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1852F2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1852F2">
              <w:t>19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AF3402">
              <w:rPr>
                <w:sz w:val="22"/>
              </w:rPr>
              <w:t xml:space="preserve">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340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6110B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00117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EC27A5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F3402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9E1FCA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F3402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F3402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402D5D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Pr="003D41A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F340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AF3402" w:rsidRPr="003D41A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AF3402" w:rsidRDefault="00AF3402" w:rsidP="00AF34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61535F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C0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52F2"/>
    <w:rsid w:val="00186651"/>
    <w:rsid w:val="001A287E"/>
    <w:rsid w:val="001D5522"/>
    <w:rsid w:val="001D58C0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1535F"/>
    <w:rsid w:val="00622525"/>
    <w:rsid w:val="00637376"/>
    <w:rsid w:val="006419A8"/>
    <w:rsid w:val="00650ADB"/>
    <w:rsid w:val="00656ECC"/>
    <w:rsid w:val="00666846"/>
    <w:rsid w:val="00667E8B"/>
    <w:rsid w:val="00680665"/>
    <w:rsid w:val="00687A14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548C1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93E23"/>
    <w:rsid w:val="00A956F9"/>
    <w:rsid w:val="00AB2E46"/>
    <w:rsid w:val="00AB3B80"/>
    <w:rsid w:val="00AB5776"/>
    <w:rsid w:val="00AD44A0"/>
    <w:rsid w:val="00AF3402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27C0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9397E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74A0C-A567-438B-B881-B288F09C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2</TotalTime>
  <Pages>4</Pages>
  <Words>734</Words>
  <Characters>5053</Characters>
  <Application>Microsoft Office Word</Application>
  <DocSecurity>0</DocSecurity>
  <Lines>1010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2019-02-07T11:40:00Z</dcterms:created>
  <dcterms:modified xsi:type="dcterms:W3CDTF">2019-02-07T11:41:00Z</dcterms:modified>
</cp:coreProperties>
</file>