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508" w:rsidRPr="00D81184" w:rsidRDefault="00003508" w:rsidP="00003508">
      <w:pPr>
        <w:ind w:right="-193"/>
        <w:jc w:val="both"/>
        <w:rPr>
          <w:rFonts w:ascii="OrigGarmnd BT" w:hAnsi="OrigGarmnd BT"/>
          <w:color w:val="000000"/>
          <w:sz w:val="24"/>
          <w:szCs w:val="24"/>
        </w:rPr>
      </w:pPr>
      <w:r w:rsidRPr="00D81184">
        <w:rPr>
          <w:rFonts w:ascii="OrigGarmnd BT" w:hAnsi="OrigGarmnd BT"/>
          <w:b/>
          <w:bCs/>
          <w:color w:val="000000"/>
          <w:sz w:val="24"/>
          <w:szCs w:val="24"/>
        </w:rPr>
        <w:t>REGERINGSKANSLIET</w:t>
      </w:r>
      <w:r w:rsidRPr="00D81184">
        <w:rPr>
          <w:rFonts w:ascii="OrigGarmnd BT" w:hAnsi="OrigGarmnd BT"/>
          <w:color w:val="000000"/>
          <w:sz w:val="24"/>
          <w:szCs w:val="24"/>
        </w:rPr>
        <w:tab/>
      </w:r>
      <w:r w:rsidRPr="00D81184">
        <w:rPr>
          <w:rFonts w:ascii="OrigGarmnd BT" w:hAnsi="OrigGarmnd BT"/>
          <w:color w:val="000000"/>
          <w:sz w:val="24"/>
          <w:szCs w:val="24"/>
        </w:rPr>
        <w:tab/>
      </w:r>
      <w:r w:rsidRPr="00D81184">
        <w:rPr>
          <w:rFonts w:ascii="OrigGarmnd BT" w:hAnsi="OrigGarmnd BT"/>
          <w:color w:val="000000"/>
          <w:sz w:val="24"/>
          <w:szCs w:val="24"/>
        </w:rPr>
        <w:tab/>
      </w:r>
    </w:p>
    <w:p w:rsidR="00003508" w:rsidRPr="00D81184" w:rsidRDefault="00003508" w:rsidP="00003508">
      <w:pPr>
        <w:ind w:right="-193"/>
        <w:jc w:val="both"/>
        <w:rPr>
          <w:rFonts w:ascii="OrigGarmnd BT" w:hAnsi="OrigGarmnd BT"/>
          <w:color w:val="000000"/>
          <w:sz w:val="24"/>
          <w:szCs w:val="24"/>
        </w:rPr>
      </w:pPr>
      <w:r w:rsidRPr="00D81184">
        <w:rPr>
          <w:rFonts w:ascii="OrigGarmnd BT" w:hAnsi="OrigGarmnd BT"/>
          <w:color w:val="000000"/>
          <w:sz w:val="24"/>
          <w:szCs w:val="24"/>
        </w:rPr>
        <w:t>Utrikesdepartementet</w:t>
      </w:r>
      <w:r w:rsidRPr="00D81184">
        <w:rPr>
          <w:rFonts w:ascii="OrigGarmnd BT" w:hAnsi="OrigGarmnd BT"/>
          <w:color w:val="000000"/>
          <w:sz w:val="24"/>
          <w:szCs w:val="24"/>
        </w:rPr>
        <w:tab/>
      </w:r>
      <w:r w:rsidRPr="00D81184">
        <w:rPr>
          <w:rFonts w:ascii="OrigGarmnd BT" w:hAnsi="OrigGarmnd BT"/>
          <w:color w:val="000000"/>
          <w:sz w:val="24"/>
          <w:szCs w:val="24"/>
        </w:rPr>
        <w:tab/>
      </w:r>
      <w:r w:rsidRPr="00D81184">
        <w:rPr>
          <w:rFonts w:ascii="OrigGarmnd BT" w:hAnsi="OrigGarmnd BT"/>
          <w:color w:val="000000"/>
          <w:sz w:val="24"/>
          <w:szCs w:val="24"/>
        </w:rPr>
        <w:tab/>
        <w:t>Kommenterad dagordning</w:t>
      </w:r>
      <w:r w:rsidRPr="00D81184">
        <w:rPr>
          <w:rFonts w:ascii="OrigGarmnd BT" w:hAnsi="OrigGarmnd BT"/>
          <w:b/>
          <w:color w:val="000000"/>
          <w:sz w:val="24"/>
          <w:szCs w:val="24"/>
        </w:rPr>
        <w:t xml:space="preserve"> </w:t>
      </w:r>
    </w:p>
    <w:p w:rsidR="00003508" w:rsidRPr="00D81184" w:rsidRDefault="00003508" w:rsidP="00003508">
      <w:pPr>
        <w:jc w:val="both"/>
        <w:rPr>
          <w:rFonts w:ascii="OrigGarmnd BT" w:hAnsi="OrigGarmnd BT"/>
          <w:color w:val="000000"/>
          <w:sz w:val="24"/>
          <w:szCs w:val="24"/>
        </w:rPr>
      </w:pPr>
      <w:r w:rsidRPr="00D81184">
        <w:rPr>
          <w:rFonts w:ascii="OrigGarmnd BT" w:hAnsi="OrigGarmnd BT"/>
          <w:color w:val="000000"/>
          <w:sz w:val="24"/>
          <w:szCs w:val="24"/>
        </w:rPr>
        <w:tab/>
      </w:r>
      <w:r w:rsidRPr="00D81184">
        <w:rPr>
          <w:rFonts w:ascii="OrigGarmnd BT" w:hAnsi="OrigGarmnd BT"/>
          <w:color w:val="000000"/>
          <w:sz w:val="24"/>
          <w:szCs w:val="24"/>
        </w:rPr>
        <w:tab/>
      </w:r>
      <w:r w:rsidRPr="00D81184">
        <w:rPr>
          <w:rFonts w:ascii="OrigGarmnd BT" w:hAnsi="OrigGarmnd BT"/>
          <w:color w:val="000000"/>
          <w:sz w:val="24"/>
          <w:szCs w:val="24"/>
        </w:rPr>
        <w:tab/>
      </w:r>
      <w:r w:rsidRPr="00D81184">
        <w:rPr>
          <w:rFonts w:ascii="OrigGarmnd BT" w:hAnsi="OrigGarmnd BT"/>
          <w:color w:val="000000"/>
          <w:sz w:val="24"/>
          <w:szCs w:val="24"/>
        </w:rPr>
        <w:tab/>
      </w:r>
      <w:r w:rsidRPr="00D81184">
        <w:rPr>
          <w:rFonts w:ascii="OrigGarmnd BT" w:hAnsi="OrigGarmnd BT"/>
          <w:color w:val="000000"/>
          <w:sz w:val="24"/>
          <w:szCs w:val="24"/>
        </w:rPr>
        <w:tab/>
        <w:t>Ministerrådet</w:t>
      </w:r>
      <w:r w:rsidRPr="00D81184">
        <w:rPr>
          <w:rFonts w:ascii="OrigGarmnd BT" w:hAnsi="OrigGarmnd BT"/>
          <w:color w:val="000000"/>
          <w:sz w:val="24"/>
          <w:szCs w:val="24"/>
        </w:rPr>
        <w:tab/>
      </w:r>
      <w:r w:rsidRPr="00D81184">
        <w:rPr>
          <w:rFonts w:ascii="OrigGarmnd BT" w:hAnsi="OrigGarmnd BT"/>
          <w:color w:val="000000"/>
          <w:sz w:val="24"/>
          <w:szCs w:val="24"/>
        </w:rPr>
        <w:tab/>
      </w:r>
      <w:r w:rsidRPr="00D81184">
        <w:rPr>
          <w:rFonts w:ascii="OrigGarmnd BT" w:hAnsi="OrigGarmnd BT"/>
          <w:color w:val="000000"/>
          <w:sz w:val="24"/>
          <w:szCs w:val="24"/>
        </w:rPr>
        <w:tab/>
      </w:r>
      <w:r w:rsidRPr="00D81184">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003508" w:rsidRPr="00D81184" w:rsidTr="00003508">
        <w:tblPrEx>
          <w:tblCellMar>
            <w:top w:w="0" w:type="dxa"/>
            <w:bottom w:w="0" w:type="dxa"/>
          </w:tblCellMar>
        </w:tblPrEx>
        <w:trPr>
          <w:trHeight w:val="284"/>
        </w:trPr>
        <w:tc>
          <w:tcPr>
            <w:tcW w:w="4911" w:type="dxa"/>
          </w:tcPr>
          <w:p w:rsidR="00003508" w:rsidRPr="00D81184" w:rsidRDefault="00003508" w:rsidP="00003508">
            <w:pPr>
              <w:tabs>
                <w:tab w:val="left" w:pos="284"/>
              </w:tabs>
              <w:jc w:val="both"/>
              <w:rPr>
                <w:rFonts w:ascii="OrigGarmnd BT" w:hAnsi="OrigGarmnd BT"/>
                <w:b/>
                <w:bCs/>
                <w:iCs/>
                <w:sz w:val="24"/>
                <w:szCs w:val="24"/>
              </w:rPr>
            </w:pPr>
          </w:p>
        </w:tc>
      </w:tr>
    </w:tbl>
    <w:p w:rsidR="00003508" w:rsidRPr="00D81184" w:rsidRDefault="00003508" w:rsidP="00003508">
      <w:pPr>
        <w:tabs>
          <w:tab w:val="left" w:pos="284"/>
        </w:tabs>
        <w:jc w:val="both"/>
        <w:rPr>
          <w:rFonts w:ascii="OrigGarmnd BT" w:hAnsi="OrigGarmnd BT"/>
          <w:color w:val="000000"/>
          <w:sz w:val="24"/>
          <w:szCs w:val="24"/>
        </w:rPr>
      </w:pPr>
      <w:r w:rsidRPr="00D81184">
        <w:rPr>
          <w:rFonts w:ascii="OrigGarmnd BT" w:hAnsi="OrigGarmnd BT"/>
          <w:color w:val="000000"/>
          <w:sz w:val="24"/>
          <w:szCs w:val="24"/>
        </w:rPr>
        <w:t>Enheten för Europeiska unionen</w:t>
      </w:r>
      <w:r w:rsidRPr="00D81184">
        <w:rPr>
          <w:rFonts w:ascii="OrigGarmnd BT" w:hAnsi="OrigGarmnd BT"/>
          <w:color w:val="000000"/>
          <w:sz w:val="24"/>
          <w:szCs w:val="24"/>
        </w:rPr>
        <w:tab/>
      </w:r>
      <w:r w:rsidRPr="00D81184">
        <w:rPr>
          <w:rFonts w:ascii="OrigGarmnd BT" w:hAnsi="OrigGarmnd BT"/>
          <w:color w:val="000000"/>
          <w:sz w:val="24"/>
          <w:szCs w:val="24"/>
        </w:rPr>
        <w:tab/>
      </w:r>
    </w:p>
    <w:p w:rsidR="00003508" w:rsidRPr="00D81184" w:rsidRDefault="00003508" w:rsidP="00003508">
      <w:pPr>
        <w:jc w:val="both"/>
        <w:rPr>
          <w:rFonts w:ascii="OrigGarmnd BT" w:hAnsi="OrigGarmnd BT"/>
          <w:b/>
          <w:sz w:val="24"/>
          <w:szCs w:val="24"/>
          <w:u w:val="single"/>
        </w:rPr>
      </w:pPr>
      <w:r w:rsidRPr="00D81184">
        <w:rPr>
          <w:rFonts w:ascii="OrigGarmnd BT" w:hAnsi="OrigGarmnd BT"/>
          <w:color w:val="000000"/>
          <w:sz w:val="24"/>
          <w:szCs w:val="24"/>
        </w:rPr>
        <w:tab/>
      </w:r>
      <w:r w:rsidRPr="00D81184">
        <w:rPr>
          <w:rFonts w:ascii="OrigGarmnd BT" w:hAnsi="OrigGarmnd BT"/>
          <w:color w:val="000000"/>
          <w:sz w:val="24"/>
          <w:szCs w:val="24"/>
        </w:rPr>
        <w:tab/>
      </w:r>
      <w:r w:rsidRPr="00D81184">
        <w:rPr>
          <w:rFonts w:ascii="OrigGarmnd BT" w:hAnsi="OrigGarmnd BT"/>
          <w:color w:val="000000"/>
          <w:sz w:val="24"/>
          <w:szCs w:val="24"/>
        </w:rPr>
        <w:tab/>
      </w:r>
      <w:r w:rsidRPr="00D81184">
        <w:rPr>
          <w:rFonts w:ascii="OrigGarmnd BT" w:hAnsi="OrigGarmnd BT"/>
          <w:color w:val="000000"/>
          <w:sz w:val="24"/>
          <w:szCs w:val="24"/>
        </w:rPr>
        <w:tab/>
      </w:r>
    </w:p>
    <w:p w:rsidR="00003508" w:rsidRPr="00D81184" w:rsidRDefault="00003508" w:rsidP="00003508">
      <w:pPr>
        <w:pStyle w:val="UDrubrik"/>
        <w:spacing w:line="240" w:lineRule="auto"/>
        <w:ind w:left="1418"/>
        <w:rPr>
          <w:rFonts w:ascii="OrigGarmnd BT" w:hAnsi="OrigGarmnd BT"/>
          <w:sz w:val="24"/>
          <w:szCs w:val="24"/>
          <w:u w:val="single"/>
        </w:rPr>
      </w:pPr>
    </w:p>
    <w:p w:rsidR="00003508" w:rsidRPr="00D81184" w:rsidRDefault="00003508" w:rsidP="00003508">
      <w:pPr>
        <w:pStyle w:val="UDrubrik"/>
        <w:spacing w:line="240" w:lineRule="auto"/>
        <w:ind w:left="1418"/>
        <w:rPr>
          <w:rFonts w:ascii="OrigGarmnd BT" w:hAnsi="OrigGarmnd BT"/>
          <w:sz w:val="24"/>
          <w:szCs w:val="24"/>
          <w:u w:val="single"/>
        </w:rPr>
      </w:pPr>
    </w:p>
    <w:p w:rsidR="00003508" w:rsidRPr="00D81184" w:rsidRDefault="00003508" w:rsidP="00003508">
      <w:pPr>
        <w:pStyle w:val="UDrubrik"/>
        <w:spacing w:line="240" w:lineRule="auto"/>
        <w:ind w:left="1418"/>
        <w:rPr>
          <w:rFonts w:ascii="OrigGarmnd BT" w:hAnsi="OrigGarmnd BT"/>
          <w:sz w:val="24"/>
          <w:szCs w:val="24"/>
          <w:u w:val="single"/>
        </w:rPr>
      </w:pPr>
      <w:r w:rsidRPr="00D81184">
        <w:rPr>
          <w:rFonts w:ascii="OrigGarmnd BT" w:hAnsi="OrigGarmnd BT"/>
          <w:sz w:val="24"/>
          <w:szCs w:val="24"/>
          <w:u w:val="single"/>
        </w:rPr>
        <w:t xml:space="preserve"> </w:t>
      </w:r>
    </w:p>
    <w:p w:rsidR="00003508" w:rsidRPr="00D81184" w:rsidRDefault="00003508" w:rsidP="00003508">
      <w:pPr>
        <w:rPr>
          <w:rFonts w:ascii="OrigGarmnd BT" w:hAnsi="OrigGarmnd BT"/>
          <w:sz w:val="24"/>
          <w:szCs w:val="24"/>
        </w:rPr>
      </w:pPr>
    </w:p>
    <w:p w:rsidR="00003508" w:rsidRPr="00D81184" w:rsidRDefault="00003508" w:rsidP="00003508">
      <w:pPr>
        <w:pStyle w:val="UDrubrik"/>
        <w:spacing w:line="240" w:lineRule="auto"/>
        <w:jc w:val="center"/>
        <w:rPr>
          <w:rFonts w:ascii="OrigGarmnd BT" w:hAnsi="OrigGarmnd BT"/>
          <w:sz w:val="24"/>
          <w:szCs w:val="24"/>
          <w:u w:val="single"/>
        </w:rPr>
      </w:pPr>
      <w:r w:rsidRPr="00D81184">
        <w:rPr>
          <w:rFonts w:ascii="OrigGarmnd BT" w:hAnsi="OrigGarmnd BT"/>
          <w:sz w:val="24"/>
          <w:szCs w:val="24"/>
          <w:u w:val="single"/>
        </w:rPr>
        <w:t xml:space="preserve">Kommenterad dagordning för utrikesrådet </w:t>
      </w:r>
    </w:p>
    <w:p w:rsidR="00003508" w:rsidRPr="00D81184" w:rsidRDefault="00003508" w:rsidP="00003508">
      <w:pPr>
        <w:pStyle w:val="UDrubrik"/>
        <w:spacing w:line="240" w:lineRule="auto"/>
        <w:jc w:val="center"/>
        <w:rPr>
          <w:rFonts w:ascii="OrigGarmnd BT" w:hAnsi="OrigGarmnd BT"/>
        </w:rPr>
      </w:pPr>
      <w:r w:rsidRPr="00D81184">
        <w:rPr>
          <w:rFonts w:ascii="OrigGarmnd BT" w:hAnsi="OrigGarmnd BT"/>
          <w:u w:val="single"/>
        </w:rPr>
        <w:t>den</w:t>
      </w:r>
      <w:bookmarkStart w:id="0" w:name="_Toc128393595"/>
      <w:r w:rsidRPr="00D81184">
        <w:rPr>
          <w:rFonts w:ascii="OrigGarmnd BT" w:hAnsi="OrigGarmnd BT"/>
          <w:u w:val="single"/>
        </w:rPr>
        <w:t xml:space="preserve"> 14 november </w:t>
      </w:r>
      <w:r w:rsidRPr="00D81184">
        <w:rPr>
          <w:rFonts w:ascii="OrigGarmnd BT" w:hAnsi="OrigGarmnd BT"/>
          <w:sz w:val="24"/>
          <w:szCs w:val="24"/>
          <w:u w:val="single"/>
        </w:rPr>
        <w:t>2011</w:t>
      </w:r>
    </w:p>
    <w:p w:rsidR="00003508" w:rsidRPr="00D81184" w:rsidRDefault="00003508" w:rsidP="00003508">
      <w:pPr>
        <w:rPr>
          <w:rFonts w:ascii="OrigGarmnd BT" w:hAnsi="OrigGarmnd BT"/>
          <w:sz w:val="24"/>
          <w:szCs w:val="24"/>
        </w:rPr>
      </w:pPr>
      <w:bookmarkStart w:id="1" w:name="_Toc150232148"/>
      <w:bookmarkStart w:id="2" w:name="_Toc150242355"/>
      <w:bookmarkEnd w:id="0"/>
    </w:p>
    <w:p w:rsidR="00003508" w:rsidRPr="00D81184" w:rsidRDefault="00003508" w:rsidP="00003508">
      <w:pPr>
        <w:rPr>
          <w:rFonts w:ascii="OrigGarmnd BT" w:hAnsi="OrigGarmnd BT"/>
          <w:b/>
          <w:bCs/>
          <w:sz w:val="24"/>
          <w:szCs w:val="24"/>
          <w:u w:val="single"/>
        </w:rPr>
      </w:pPr>
      <w:r w:rsidRPr="00D81184">
        <w:rPr>
          <w:rFonts w:ascii="OrigGarmnd BT" w:hAnsi="OrigGarmnd BT"/>
          <w:b/>
          <w:bCs/>
          <w:sz w:val="24"/>
          <w:szCs w:val="24"/>
          <w:u w:val="single"/>
        </w:rPr>
        <w:t>Utrikesministrarnas möte</w:t>
      </w:r>
    </w:p>
    <w:p w:rsidR="00003508" w:rsidRPr="00D81184" w:rsidRDefault="00003508" w:rsidP="00003508">
      <w:pPr>
        <w:rPr>
          <w:rFonts w:ascii="OrigGarmnd BT" w:hAnsi="OrigGarmnd BT"/>
          <w:bCs/>
          <w:sz w:val="24"/>
          <w:szCs w:val="24"/>
        </w:rPr>
      </w:pPr>
    </w:p>
    <w:p w:rsidR="00003508" w:rsidRPr="00D81184" w:rsidRDefault="00003508" w:rsidP="00003508">
      <w:pPr>
        <w:rPr>
          <w:rFonts w:ascii="OrigGarmnd BT" w:hAnsi="OrigGarmnd BT"/>
          <w:b/>
          <w:bCs/>
          <w:sz w:val="24"/>
          <w:szCs w:val="24"/>
        </w:rPr>
      </w:pPr>
      <w:r w:rsidRPr="00D81184">
        <w:rPr>
          <w:rFonts w:ascii="OrigGarmnd BT" w:hAnsi="OrigGarmnd BT"/>
          <w:b/>
          <w:bCs/>
          <w:sz w:val="24"/>
          <w:szCs w:val="24"/>
        </w:rPr>
        <w:t>1. Godkännande av den preliminära dagordningen</w:t>
      </w:r>
      <w:bookmarkEnd w:id="1"/>
      <w:bookmarkEnd w:id="2"/>
    </w:p>
    <w:p w:rsidR="00003508" w:rsidRPr="00D81184" w:rsidRDefault="00003508" w:rsidP="00003508">
      <w:pPr>
        <w:rPr>
          <w:rFonts w:ascii="OrigGarmnd BT" w:hAnsi="OrigGarmnd BT"/>
          <w:bCs/>
          <w:sz w:val="24"/>
          <w:szCs w:val="24"/>
        </w:rPr>
      </w:pPr>
    </w:p>
    <w:p w:rsidR="00003508" w:rsidRPr="00D81184" w:rsidRDefault="00003508" w:rsidP="00003508">
      <w:pPr>
        <w:rPr>
          <w:rFonts w:ascii="OrigGarmnd BT" w:hAnsi="OrigGarmnd BT"/>
          <w:b/>
          <w:sz w:val="24"/>
          <w:szCs w:val="24"/>
        </w:rPr>
      </w:pPr>
      <w:r w:rsidRPr="00D81184">
        <w:rPr>
          <w:rFonts w:ascii="OrigGarmnd BT" w:hAnsi="OrigGarmnd BT"/>
          <w:b/>
          <w:sz w:val="24"/>
          <w:szCs w:val="24"/>
        </w:rPr>
        <w:t>2. Godkännande av A-punktslistan</w:t>
      </w:r>
    </w:p>
    <w:p w:rsidR="00003508" w:rsidRPr="00D81184" w:rsidRDefault="00003508" w:rsidP="00003508">
      <w:pPr>
        <w:rPr>
          <w:rFonts w:ascii="OrigGarmnd BT" w:hAnsi="OrigGarmnd BT"/>
          <w:b/>
          <w:sz w:val="24"/>
          <w:szCs w:val="24"/>
        </w:rPr>
      </w:pPr>
    </w:p>
    <w:p w:rsidR="00003508" w:rsidRPr="00D81184" w:rsidRDefault="00003508" w:rsidP="00003508">
      <w:pPr>
        <w:rPr>
          <w:rFonts w:ascii="OrigGarmnd BT" w:hAnsi="OrigGarmnd BT"/>
          <w:b/>
          <w:sz w:val="24"/>
          <w:szCs w:val="24"/>
        </w:rPr>
      </w:pPr>
      <w:r w:rsidRPr="00D81184">
        <w:rPr>
          <w:rFonts w:ascii="OrigGarmnd BT" w:hAnsi="OrigGarmnd BT"/>
          <w:b/>
          <w:sz w:val="24"/>
          <w:szCs w:val="24"/>
        </w:rPr>
        <w:t xml:space="preserve">3. Afghanistan </w:t>
      </w:r>
    </w:p>
    <w:p w:rsidR="00003508" w:rsidRPr="00D81184" w:rsidRDefault="00003508" w:rsidP="00003508">
      <w:pPr>
        <w:overflowPunct/>
        <w:textAlignment w:val="auto"/>
        <w:rPr>
          <w:rFonts w:ascii="OrigGarmnd BT" w:hAnsi="OrigGarmnd BT" w:cs="OrigGarmnd BT"/>
          <w:i/>
          <w:iCs/>
          <w:color w:val="000000"/>
          <w:sz w:val="24"/>
          <w:szCs w:val="24"/>
          <w:lang w:eastAsia="sv-SE"/>
        </w:rPr>
      </w:pPr>
      <w:r w:rsidRPr="00D81184">
        <w:rPr>
          <w:rFonts w:ascii="OrigGarmnd BT" w:hAnsi="OrigGarmnd BT" w:cs="OrigGarmnd BT"/>
          <w:i/>
          <w:iCs/>
          <w:color w:val="000000"/>
          <w:sz w:val="24"/>
          <w:szCs w:val="24"/>
          <w:lang w:eastAsia="sv-SE"/>
        </w:rPr>
        <w:t>Diskussions- och beslutspunkt</w:t>
      </w:r>
    </w:p>
    <w:p w:rsidR="00003508" w:rsidRPr="00D81184" w:rsidRDefault="00003508" w:rsidP="00003508">
      <w:pPr>
        <w:tabs>
          <w:tab w:val="left" w:pos="2835"/>
        </w:tabs>
        <w:overflowPunct/>
        <w:textAlignment w:val="auto"/>
        <w:rPr>
          <w:rFonts w:ascii="OrigGarmnd BT" w:hAnsi="OrigGarmnd BT" w:cs="OrigGarmnd BT"/>
          <w:color w:val="000000"/>
          <w:sz w:val="24"/>
          <w:szCs w:val="24"/>
          <w:lang w:eastAsia="sv-SE"/>
        </w:rPr>
      </w:pPr>
    </w:p>
    <w:p w:rsidR="00003508" w:rsidRPr="00D81184" w:rsidRDefault="00003508" w:rsidP="00003508">
      <w:pPr>
        <w:tabs>
          <w:tab w:val="left" w:pos="2835"/>
        </w:tabs>
        <w:overflowPunct/>
        <w:textAlignment w:val="auto"/>
        <w:rPr>
          <w:rFonts w:ascii="OrigGarmnd BT" w:hAnsi="OrigGarmnd BT" w:cs="OrigGarmnd BT"/>
          <w:color w:val="000000"/>
          <w:sz w:val="24"/>
          <w:szCs w:val="24"/>
          <w:lang w:eastAsia="sv-SE"/>
        </w:rPr>
      </w:pPr>
      <w:r w:rsidRPr="00D81184">
        <w:rPr>
          <w:rFonts w:ascii="OrigGarmnd BT" w:hAnsi="OrigGarmnd BT" w:cs="OrigGarmnd BT"/>
          <w:color w:val="000000"/>
          <w:sz w:val="24"/>
          <w:szCs w:val="24"/>
          <w:lang w:eastAsia="sv-SE"/>
        </w:rPr>
        <w:t xml:space="preserve">Som en uppföljning till antagandet av rådsslutsatser om Afghanistan vid utrikesrådet den 18 juli, och som en förberedelse för den internationella konferensen i Bonn den 5 december, kommer ministrarna att diskutera EU:s långsiktiga engagemang i Afghanistan. Ministrarna förväntas även besluta om mandat för förhandling av ett avtal för samarbete och utveckling mellan EU och Afghanistan. </w:t>
      </w:r>
    </w:p>
    <w:p w:rsidR="00003508" w:rsidRPr="00D81184" w:rsidRDefault="00003508" w:rsidP="00003508">
      <w:pPr>
        <w:tabs>
          <w:tab w:val="left" w:pos="2835"/>
        </w:tabs>
        <w:overflowPunct/>
        <w:textAlignment w:val="auto"/>
        <w:rPr>
          <w:rFonts w:ascii="OrigGarmnd BT" w:hAnsi="OrigGarmnd BT" w:cs="OrigGarmnd BT"/>
          <w:color w:val="000000"/>
          <w:sz w:val="24"/>
          <w:szCs w:val="24"/>
          <w:lang w:eastAsia="sv-SE"/>
        </w:rPr>
      </w:pPr>
    </w:p>
    <w:p w:rsidR="00003508" w:rsidRPr="00D81184" w:rsidRDefault="00003508" w:rsidP="00003508">
      <w:pPr>
        <w:rPr>
          <w:rFonts w:ascii="OrigGarmnd BT" w:hAnsi="OrigGarmnd BT"/>
          <w:b/>
          <w:sz w:val="24"/>
          <w:szCs w:val="24"/>
        </w:rPr>
      </w:pPr>
      <w:r w:rsidRPr="00D81184">
        <w:rPr>
          <w:rFonts w:ascii="OrigGarmnd BT" w:hAnsi="OrigGarmnd BT" w:cs="OrigGarmnd BT"/>
          <w:color w:val="000000"/>
          <w:sz w:val="24"/>
          <w:szCs w:val="24"/>
          <w:u w:val="single"/>
          <w:lang w:eastAsia="sv-SE"/>
        </w:rPr>
        <w:t>Regeringens ståndpunkt:</w:t>
      </w:r>
      <w:r w:rsidRPr="00D81184">
        <w:rPr>
          <w:rFonts w:ascii="OrigGarmnd BT" w:hAnsi="OrigGarmnd BT" w:cs="OrigGarmnd BT"/>
          <w:color w:val="000000"/>
          <w:sz w:val="24"/>
          <w:szCs w:val="24"/>
          <w:lang w:eastAsia="sv-SE"/>
        </w:rPr>
        <w:t xml:space="preserve"> Regeringen välkomnar en diskussion om EU:s långsiktiga engagemang i Afghanistan, med särskilt fokus på den internationella konferensen i Bonn. Det är angeläget att EU sänder en tydlig signal om ett långsiktigt, i huvudsak civilt, åtagande för att bistå Afghanistan även efter 2014, samtidigt som tydliga krav ställs på Afghanistan att leva upp till sina åtaganden. Antagandet av ett mandat för förhandling av ett avtal för samarbete och utveckling mellan EU och Afghanistan är en central del i EU:s fortsatta engagemang.</w:t>
      </w:r>
    </w:p>
    <w:p w:rsidR="00003508" w:rsidRPr="00D81184" w:rsidRDefault="00003508" w:rsidP="00003508">
      <w:pPr>
        <w:rPr>
          <w:rFonts w:ascii="OrigGarmnd BT" w:hAnsi="OrigGarmnd BT"/>
          <w:b/>
          <w:sz w:val="24"/>
          <w:szCs w:val="24"/>
        </w:rPr>
      </w:pPr>
    </w:p>
    <w:p w:rsidR="00003508" w:rsidRPr="00D81184" w:rsidRDefault="00003508" w:rsidP="00003508">
      <w:pPr>
        <w:rPr>
          <w:rFonts w:ascii="OrigGarmnd BT" w:hAnsi="OrigGarmnd BT"/>
          <w:b/>
          <w:sz w:val="24"/>
          <w:szCs w:val="24"/>
        </w:rPr>
      </w:pPr>
    </w:p>
    <w:p w:rsidR="00003508" w:rsidRPr="00D81184" w:rsidRDefault="00003508" w:rsidP="00003508">
      <w:pPr>
        <w:rPr>
          <w:rFonts w:ascii="OrigGarmnd BT" w:hAnsi="OrigGarmnd BT"/>
          <w:b/>
          <w:sz w:val="24"/>
          <w:szCs w:val="24"/>
        </w:rPr>
      </w:pPr>
      <w:r w:rsidRPr="00D81184">
        <w:rPr>
          <w:rFonts w:ascii="OrigGarmnd BT" w:hAnsi="OrigGarmnd BT"/>
          <w:b/>
          <w:sz w:val="24"/>
          <w:szCs w:val="24"/>
        </w:rPr>
        <w:t xml:space="preserve">4.  Södra grannskapet </w:t>
      </w:r>
    </w:p>
    <w:p w:rsidR="00003508" w:rsidRPr="00D81184" w:rsidRDefault="00003508" w:rsidP="00003508">
      <w:pPr>
        <w:rPr>
          <w:rFonts w:ascii="OrigGarmnd BT" w:hAnsi="OrigGarmnd BT"/>
          <w:b/>
          <w:sz w:val="24"/>
          <w:szCs w:val="24"/>
        </w:rPr>
      </w:pPr>
    </w:p>
    <w:p w:rsidR="00003508" w:rsidRPr="00D81184" w:rsidRDefault="00003508" w:rsidP="00003508">
      <w:pPr>
        <w:rPr>
          <w:rFonts w:ascii="OrigGarmnd BT" w:hAnsi="OrigGarmnd BT"/>
          <w:b/>
          <w:i/>
          <w:sz w:val="24"/>
          <w:szCs w:val="24"/>
          <w:lang w:eastAsia="sv-SE"/>
        </w:rPr>
      </w:pPr>
      <w:r w:rsidRPr="00D81184">
        <w:rPr>
          <w:rFonts w:ascii="OrigGarmnd BT" w:hAnsi="OrigGarmnd BT"/>
          <w:b/>
          <w:i/>
          <w:sz w:val="24"/>
          <w:szCs w:val="24"/>
          <w:lang w:eastAsia="sv-SE"/>
        </w:rPr>
        <w:t>- Libyen</w:t>
      </w:r>
    </w:p>
    <w:p w:rsidR="00003508" w:rsidRPr="00D81184" w:rsidRDefault="00003508" w:rsidP="00003508">
      <w:pPr>
        <w:pStyle w:val="Brdtext1"/>
        <w:rPr>
          <w:i/>
        </w:rPr>
      </w:pPr>
      <w:r w:rsidRPr="00D81184">
        <w:rPr>
          <w:i/>
        </w:rPr>
        <w:t>Diskussions- och ev. beslutspunkt</w:t>
      </w:r>
    </w:p>
    <w:p w:rsidR="00003508" w:rsidRPr="00D81184" w:rsidRDefault="00003508" w:rsidP="00003508">
      <w:pPr>
        <w:pStyle w:val="Brdtext1"/>
      </w:pPr>
    </w:p>
    <w:p w:rsidR="00003508" w:rsidRPr="00D81184" w:rsidRDefault="00003508" w:rsidP="00003508">
      <w:pPr>
        <w:pStyle w:val="Brdtext1"/>
      </w:pPr>
      <w:r w:rsidRPr="00D81184">
        <w:rPr>
          <w:b/>
        </w:rPr>
        <w:t>Regeringens ståndpunkt:</w:t>
      </w:r>
      <w:r w:rsidRPr="00D81184">
        <w:t xml:space="preserve"> Regeringen ser fram emot bildandet av en libysk interimsregering med uppgift att leda arbetet med fred och försoning och förbereda för fria och demokratiska val i Libyen. Regeringen stöder FN:s ledande roll att - utifrån Libyens behov och efterfrågan - samordna internationella insatser, inklusive EU:s, för att bidra till uppbyggnaden av ett fritt och demokratiskt Libyen som baseras på rättsstatens principer och där mänskliga rättigheter respekteras. Regeringen står bakom EU:s uttryckta beredskap att tillhandahålla ytterligare stöd för att bidra till att skapa ett demokratiskt Libyen. </w:t>
      </w:r>
    </w:p>
    <w:p w:rsidR="00003508" w:rsidRPr="00D81184" w:rsidRDefault="00003508" w:rsidP="00003508">
      <w:pPr>
        <w:pStyle w:val="Brdtext1"/>
      </w:pPr>
    </w:p>
    <w:p w:rsidR="00003508" w:rsidRPr="00D81184" w:rsidRDefault="00003508" w:rsidP="00003508">
      <w:pPr>
        <w:rPr>
          <w:rFonts w:ascii="OrigGarmnd BT" w:hAnsi="OrigGarmnd BT"/>
          <w:b/>
          <w:i/>
          <w:sz w:val="24"/>
          <w:szCs w:val="24"/>
          <w:lang w:eastAsia="sv-SE"/>
        </w:rPr>
      </w:pPr>
      <w:r w:rsidRPr="00D81184">
        <w:rPr>
          <w:rFonts w:ascii="OrigGarmnd BT" w:hAnsi="OrigGarmnd BT"/>
          <w:b/>
          <w:i/>
          <w:sz w:val="24"/>
          <w:szCs w:val="24"/>
          <w:lang w:eastAsia="sv-SE"/>
        </w:rPr>
        <w:t xml:space="preserve">- Syrien </w:t>
      </w:r>
    </w:p>
    <w:p w:rsidR="00003508" w:rsidRPr="00D81184" w:rsidRDefault="00003508" w:rsidP="00003508">
      <w:pPr>
        <w:rPr>
          <w:rFonts w:ascii="OrigGarmnd BT" w:hAnsi="OrigGarmnd BT"/>
          <w:i/>
          <w:sz w:val="24"/>
          <w:szCs w:val="24"/>
          <w:lang w:eastAsia="sv-SE"/>
        </w:rPr>
      </w:pPr>
      <w:r w:rsidRPr="00D81184">
        <w:rPr>
          <w:rFonts w:ascii="OrigGarmnd BT" w:hAnsi="OrigGarmnd BT"/>
          <w:i/>
          <w:sz w:val="24"/>
          <w:szCs w:val="24"/>
          <w:lang w:eastAsia="sv-SE"/>
        </w:rPr>
        <w:t>Diskussions- och ev. beslutspunkt</w:t>
      </w:r>
    </w:p>
    <w:p w:rsidR="00003508" w:rsidRPr="00D81184" w:rsidRDefault="00003508" w:rsidP="00003508">
      <w:pPr>
        <w:rPr>
          <w:rFonts w:ascii="OrigGarmnd BT" w:hAnsi="OrigGarmnd BT"/>
          <w:sz w:val="24"/>
          <w:szCs w:val="24"/>
          <w:u w:val="single"/>
          <w:lang w:eastAsia="sv-SE"/>
        </w:rPr>
      </w:pPr>
    </w:p>
    <w:p w:rsidR="00003508" w:rsidRPr="00D81184" w:rsidRDefault="00003508" w:rsidP="00003508">
      <w:pPr>
        <w:rPr>
          <w:rFonts w:ascii="OrigGarmnd BT" w:hAnsi="OrigGarmnd BT"/>
          <w:sz w:val="24"/>
          <w:szCs w:val="24"/>
          <w:u w:val="single"/>
        </w:rPr>
      </w:pPr>
      <w:r w:rsidRPr="00D81184">
        <w:rPr>
          <w:rFonts w:ascii="OrigGarmnd BT" w:hAnsi="OrigGarmnd BT"/>
          <w:sz w:val="24"/>
          <w:szCs w:val="24"/>
          <w:u w:val="single"/>
          <w:lang w:eastAsia="sv-SE"/>
        </w:rPr>
        <w:t>Regeringens ståndpunkt</w:t>
      </w:r>
      <w:r w:rsidRPr="00D81184">
        <w:rPr>
          <w:rFonts w:ascii="OrigGarmnd BT" w:hAnsi="OrigGarmnd BT"/>
          <w:sz w:val="24"/>
          <w:szCs w:val="24"/>
          <w:lang w:eastAsia="sv-SE"/>
        </w:rPr>
        <w:t xml:space="preserve">: </w:t>
      </w:r>
      <w:r w:rsidRPr="00D81184">
        <w:rPr>
          <w:rFonts w:ascii="OrigGarmnd BT" w:hAnsi="OrigGarmnd BT"/>
          <w:sz w:val="24"/>
          <w:szCs w:val="24"/>
        </w:rPr>
        <w:t xml:space="preserve">Regeringen stödjer fortsatta ansträngningar för att våldet omedelbart ska upphöra i Syrien. Assad måste avgå för att trovärdiga reformer ska kunna komma till stånd. Regeringen stödjer ett fortsatt aktivt EU-arbete för att snarast få FN:s säkerhetsråd att behandla situationen i Syrien. Utökade EU-sanktioner måste övervägas för att sända ett tydligt budskap till regimen att den upptrappade våldsanvändningen är oacceptabel. Regeringen understryker vikten av att humanitära aktörer och internationell media ges omedelbart och ovillkorligt tillträde till berörda områden. </w:t>
      </w:r>
    </w:p>
    <w:p w:rsidR="00003508" w:rsidRPr="00D81184" w:rsidRDefault="00003508" w:rsidP="00003508">
      <w:pPr>
        <w:rPr>
          <w:rFonts w:ascii="OrigGarmnd BT" w:hAnsi="OrigGarmnd BT"/>
          <w:sz w:val="24"/>
          <w:szCs w:val="24"/>
          <w:lang w:eastAsia="sv-SE"/>
        </w:rPr>
      </w:pPr>
    </w:p>
    <w:p w:rsidR="00003508" w:rsidRPr="00D81184" w:rsidRDefault="00003508" w:rsidP="00003508">
      <w:pPr>
        <w:rPr>
          <w:rFonts w:ascii="OrigGarmnd BT" w:hAnsi="OrigGarmnd BT"/>
          <w:b/>
          <w:i/>
          <w:sz w:val="24"/>
          <w:szCs w:val="24"/>
          <w:lang w:eastAsia="sv-SE"/>
        </w:rPr>
      </w:pPr>
      <w:r w:rsidRPr="00D81184">
        <w:rPr>
          <w:rFonts w:ascii="OrigGarmnd BT" w:hAnsi="OrigGarmnd BT"/>
          <w:b/>
          <w:i/>
          <w:sz w:val="24"/>
          <w:szCs w:val="24"/>
          <w:lang w:eastAsia="sv-SE"/>
        </w:rPr>
        <w:t>- Tunisien</w:t>
      </w:r>
    </w:p>
    <w:p w:rsidR="00003508" w:rsidRPr="00D81184" w:rsidRDefault="00003508" w:rsidP="00003508">
      <w:pPr>
        <w:rPr>
          <w:rFonts w:ascii="OrigGarmnd BT" w:hAnsi="OrigGarmnd BT"/>
          <w:i/>
          <w:sz w:val="24"/>
          <w:szCs w:val="24"/>
          <w:lang w:eastAsia="sv-SE"/>
        </w:rPr>
      </w:pPr>
      <w:r w:rsidRPr="00D81184">
        <w:rPr>
          <w:rFonts w:ascii="OrigGarmnd BT" w:hAnsi="OrigGarmnd BT"/>
          <w:i/>
          <w:sz w:val="24"/>
          <w:szCs w:val="24"/>
          <w:lang w:eastAsia="sv-SE"/>
        </w:rPr>
        <w:t>Diskussions- och ev. beslutspunkt</w:t>
      </w:r>
    </w:p>
    <w:p w:rsidR="00003508" w:rsidRPr="00D81184" w:rsidRDefault="00003508" w:rsidP="00003508">
      <w:pPr>
        <w:rPr>
          <w:rFonts w:ascii="OrigGarmnd BT" w:hAnsi="OrigGarmnd BT" w:cs="Helv"/>
          <w:sz w:val="24"/>
          <w:szCs w:val="24"/>
          <w:lang w:eastAsia="sv-SE"/>
        </w:rPr>
      </w:pPr>
    </w:p>
    <w:p w:rsidR="00003508" w:rsidRPr="00D81184" w:rsidRDefault="00003508" w:rsidP="00003508">
      <w:pPr>
        <w:rPr>
          <w:rFonts w:ascii="OrigGarmnd BT" w:hAnsi="OrigGarmnd BT" w:cs="Helv"/>
          <w:sz w:val="24"/>
          <w:szCs w:val="24"/>
          <w:lang w:eastAsia="sv-SE"/>
        </w:rPr>
      </w:pPr>
      <w:r w:rsidRPr="00D81184">
        <w:rPr>
          <w:rFonts w:ascii="OrigGarmnd BT" w:hAnsi="OrigGarmnd BT" w:cs="Helv"/>
          <w:sz w:val="24"/>
          <w:szCs w:val="24"/>
          <w:lang w:eastAsia="sv-SE"/>
        </w:rPr>
        <w:t xml:space="preserve">EU:s utrikesministrar förväntas diskutera situationen i Tunisien efter valet till den konstituerande församlingen som hölls den 23 oktober och inför bildande av en interimsregering. </w:t>
      </w:r>
    </w:p>
    <w:p w:rsidR="00003508" w:rsidRPr="00D81184" w:rsidRDefault="00003508" w:rsidP="00003508">
      <w:pPr>
        <w:rPr>
          <w:rFonts w:ascii="OrigGarmnd BT" w:hAnsi="OrigGarmnd BT" w:cs="Helv"/>
          <w:sz w:val="24"/>
          <w:szCs w:val="24"/>
          <w:u w:val="single"/>
          <w:lang w:eastAsia="sv-SE"/>
        </w:rPr>
      </w:pPr>
    </w:p>
    <w:p w:rsidR="00003508" w:rsidRPr="00D81184" w:rsidRDefault="00003508" w:rsidP="00003508">
      <w:pPr>
        <w:rPr>
          <w:rFonts w:ascii="OrigGarmnd BT" w:hAnsi="OrigGarmnd BT"/>
          <w:sz w:val="24"/>
          <w:szCs w:val="24"/>
        </w:rPr>
      </w:pPr>
      <w:r w:rsidRPr="00D81184">
        <w:rPr>
          <w:rFonts w:ascii="OrigGarmnd BT" w:hAnsi="OrigGarmnd BT" w:cs="Helv"/>
          <w:sz w:val="24"/>
          <w:szCs w:val="24"/>
          <w:u w:val="single"/>
          <w:lang w:eastAsia="sv-SE"/>
        </w:rPr>
        <w:t>Regeringens ståndpunkt:</w:t>
      </w:r>
      <w:r w:rsidRPr="00D81184">
        <w:rPr>
          <w:rFonts w:ascii="OrigGarmnd BT" w:hAnsi="OrigGarmnd BT" w:cs="Helv"/>
          <w:sz w:val="24"/>
          <w:szCs w:val="24"/>
          <w:lang w:eastAsia="sv-SE"/>
        </w:rPr>
        <w:t xml:space="preserve"> </w:t>
      </w:r>
      <w:r w:rsidRPr="00D81184">
        <w:rPr>
          <w:rFonts w:ascii="OrigGarmnd BT" w:hAnsi="OrigGarmnd BT"/>
          <w:sz w:val="24"/>
          <w:szCs w:val="24"/>
        </w:rPr>
        <w:t xml:space="preserve">Regeringen välkomnar det höga valdeltagandet i valet till den konstituerande församlingen. En framgångsrik reformprocess i Tunisien är av stor betydelse för hela regionen. Det är positivt att EU och Tunisien inlett förhandlingar om ett </w:t>
      </w:r>
      <w:r w:rsidR="007440F1" w:rsidRPr="00D81184">
        <w:rPr>
          <w:rFonts w:ascii="OrigGarmnd BT" w:hAnsi="OrigGarmnd BT"/>
          <w:sz w:val="24"/>
          <w:szCs w:val="24"/>
        </w:rPr>
        <w:t>privilegierat</w:t>
      </w:r>
      <w:r w:rsidRPr="00D81184">
        <w:rPr>
          <w:rFonts w:ascii="OrigGarmnd BT" w:hAnsi="OrigGarmnd BT"/>
          <w:sz w:val="24"/>
          <w:szCs w:val="24"/>
        </w:rPr>
        <w:t xml:space="preserve"> partnerskap.</w:t>
      </w:r>
    </w:p>
    <w:p w:rsidR="00003508" w:rsidRPr="00D81184" w:rsidRDefault="00003508" w:rsidP="00003508">
      <w:pPr>
        <w:rPr>
          <w:rFonts w:ascii="OrigGarmnd BT" w:hAnsi="OrigGarmnd BT"/>
          <w:i/>
          <w:sz w:val="24"/>
          <w:szCs w:val="24"/>
          <w:lang w:eastAsia="sv-SE"/>
        </w:rPr>
      </w:pPr>
    </w:p>
    <w:p w:rsidR="00003508" w:rsidRPr="00D81184" w:rsidRDefault="00003508" w:rsidP="00003508">
      <w:pPr>
        <w:rPr>
          <w:rFonts w:ascii="OrigGarmnd BT" w:hAnsi="OrigGarmnd BT"/>
          <w:i/>
          <w:sz w:val="24"/>
          <w:szCs w:val="24"/>
          <w:lang w:eastAsia="sv-SE"/>
        </w:rPr>
      </w:pPr>
    </w:p>
    <w:p w:rsidR="00003508" w:rsidRPr="00D81184" w:rsidRDefault="00003508" w:rsidP="00003508">
      <w:pPr>
        <w:rPr>
          <w:rFonts w:ascii="OrigGarmnd BT" w:hAnsi="OrigGarmnd BT"/>
          <w:b/>
          <w:i/>
          <w:sz w:val="24"/>
          <w:szCs w:val="24"/>
        </w:rPr>
      </w:pPr>
      <w:r w:rsidRPr="00D81184">
        <w:rPr>
          <w:rFonts w:ascii="OrigGarmnd BT" w:hAnsi="OrigGarmnd BT"/>
          <w:b/>
          <w:i/>
          <w:sz w:val="24"/>
          <w:szCs w:val="24"/>
        </w:rPr>
        <w:t xml:space="preserve">- Jemen </w:t>
      </w:r>
    </w:p>
    <w:p w:rsidR="00003508" w:rsidRPr="00D81184" w:rsidRDefault="00003508" w:rsidP="00003508">
      <w:pPr>
        <w:rPr>
          <w:rFonts w:ascii="OrigGarmnd BT" w:hAnsi="OrigGarmnd BT"/>
          <w:i/>
          <w:sz w:val="24"/>
          <w:szCs w:val="24"/>
          <w:lang w:eastAsia="sv-SE"/>
        </w:rPr>
      </w:pPr>
      <w:r w:rsidRPr="00D81184">
        <w:rPr>
          <w:rFonts w:ascii="OrigGarmnd BT" w:hAnsi="OrigGarmnd BT"/>
          <w:i/>
          <w:sz w:val="24"/>
          <w:szCs w:val="24"/>
          <w:lang w:eastAsia="sv-SE"/>
        </w:rPr>
        <w:t>Diskussions- och ev. beslutspunkt</w:t>
      </w:r>
    </w:p>
    <w:p w:rsidR="00003508" w:rsidRPr="00D81184" w:rsidRDefault="00003508" w:rsidP="00003508">
      <w:pPr>
        <w:rPr>
          <w:rFonts w:ascii="OrigGarmnd BT" w:hAnsi="OrigGarmnd BT"/>
          <w:sz w:val="24"/>
          <w:szCs w:val="24"/>
          <w:u w:val="single"/>
          <w:lang w:eastAsia="sv-SE"/>
        </w:rPr>
      </w:pPr>
    </w:p>
    <w:p w:rsidR="00003508" w:rsidRPr="00D81184" w:rsidRDefault="00003508" w:rsidP="00003508">
      <w:pPr>
        <w:rPr>
          <w:rFonts w:ascii="OrigGarmnd BT" w:hAnsi="OrigGarmnd BT"/>
          <w:i/>
          <w:sz w:val="24"/>
          <w:szCs w:val="24"/>
          <w:lang w:eastAsia="sv-SE"/>
        </w:rPr>
      </w:pPr>
      <w:r w:rsidRPr="00D81184">
        <w:rPr>
          <w:rFonts w:ascii="OrigGarmnd BT" w:hAnsi="OrigGarmnd BT"/>
          <w:sz w:val="24"/>
          <w:szCs w:val="24"/>
          <w:u w:val="single"/>
          <w:lang w:eastAsia="sv-SE"/>
        </w:rPr>
        <w:t>Regeringens ståndpunkt</w:t>
      </w:r>
      <w:r w:rsidRPr="00D81184">
        <w:rPr>
          <w:rFonts w:ascii="OrigGarmnd BT" w:hAnsi="OrigGarmnd BT"/>
          <w:sz w:val="24"/>
          <w:szCs w:val="24"/>
          <w:lang w:eastAsia="sv-SE"/>
        </w:rPr>
        <w:t xml:space="preserve">: </w:t>
      </w:r>
      <w:r w:rsidRPr="00D81184">
        <w:rPr>
          <w:rFonts w:ascii="OrigGarmnd BT" w:hAnsi="OrigGarmnd BT"/>
          <w:bCs/>
          <w:sz w:val="24"/>
          <w:szCs w:val="24"/>
          <w:lang w:eastAsia="sv-SE"/>
        </w:rPr>
        <w:t xml:space="preserve">Regeringen välkomnar EU:s engagemang för en fredlig lösning av situationen i Jemen i form av att en politisk övergångsprocess. Vidare är det välkommet att EU liksom Sverige ökat sitt bidrag till att lindra den dramatiskt förvärrade humanitära situationen i landet. </w:t>
      </w:r>
    </w:p>
    <w:p w:rsidR="00003508" w:rsidRPr="00D81184" w:rsidRDefault="00003508" w:rsidP="00003508">
      <w:pPr>
        <w:rPr>
          <w:rFonts w:ascii="OrigGarmnd BT" w:hAnsi="OrigGarmnd BT"/>
          <w:sz w:val="24"/>
          <w:szCs w:val="24"/>
          <w:lang w:eastAsia="sv-SE"/>
        </w:rPr>
      </w:pPr>
    </w:p>
    <w:p w:rsidR="00003508" w:rsidRPr="00D81184" w:rsidRDefault="00003508" w:rsidP="00003508">
      <w:pPr>
        <w:rPr>
          <w:rFonts w:ascii="OrigGarmnd BT" w:hAnsi="OrigGarmnd BT"/>
          <w:b/>
          <w:sz w:val="24"/>
          <w:szCs w:val="24"/>
        </w:rPr>
      </w:pPr>
    </w:p>
    <w:p w:rsidR="00003508" w:rsidRPr="00D81184" w:rsidRDefault="00003508" w:rsidP="00003508">
      <w:pPr>
        <w:rPr>
          <w:rFonts w:ascii="OrigGarmnd BT" w:hAnsi="OrigGarmnd BT"/>
          <w:b/>
          <w:i/>
          <w:sz w:val="24"/>
          <w:szCs w:val="24"/>
        </w:rPr>
      </w:pPr>
      <w:r w:rsidRPr="00D81184">
        <w:rPr>
          <w:rFonts w:ascii="OrigGarmnd BT" w:hAnsi="OrigGarmnd BT"/>
          <w:b/>
          <w:sz w:val="24"/>
          <w:szCs w:val="24"/>
        </w:rPr>
        <w:t>5.  Afrikas horn</w:t>
      </w:r>
    </w:p>
    <w:p w:rsidR="00003508" w:rsidRPr="00D81184" w:rsidRDefault="00003508" w:rsidP="00003508">
      <w:pPr>
        <w:rPr>
          <w:rFonts w:ascii="OrigGarmnd BT" w:hAnsi="OrigGarmnd BT"/>
          <w:b/>
          <w:sz w:val="24"/>
          <w:szCs w:val="24"/>
        </w:rPr>
      </w:pPr>
    </w:p>
    <w:p w:rsidR="00003508" w:rsidRPr="00D81184" w:rsidRDefault="00003508" w:rsidP="00003508">
      <w:pPr>
        <w:rPr>
          <w:rFonts w:ascii="OrigGarmnd BT" w:hAnsi="OrigGarmnd BT"/>
          <w:b/>
          <w:i/>
          <w:sz w:val="24"/>
          <w:szCs w:val="24"/>
        </w:rPr>
      </w:pPr>
      <w:r w:rsidRPr="00D81184">
        <w:rPr>
          <w:rFonts w:ascii="OrigGarmnd BT" w:hAnsi="OrigGarmnd BT"/>
          <w:b/>
          <w:i/>
          <w:sz w:val="24"/>
          <w:szCs w:val="24"/>
        </w:rPr>
        <w:t>- Strategiskt ramverk för Afrikas horn</w:t>
      </w:r>
    </w:p>
    <w:p w:rsidR="00003508" w:rsidRPr="00D81184" w:rsidRDefault="00003508" w:rsidP="00003508">
      <w:pPr>
        <w:rPr>
          <w:rFonts w:ascii="OrigGarmnd BT" w:hAnsi="OrigGarmnd BT"/>
          <w:i/>
          <w:sz w:val="24"/>
          <w:szCs w:val="24"/>
        </w:rPr>
      </w:pPr>
      <w:r w:rsidRPr="00D81184">
        <w:rPr>
          <w:rFonts w:ascii="OrigGarmnd BT" w:hAnsi="OrigGarmnd BT"/>
          <w:i/>
          <w:sz w:val="24"/>
          <w:szCs w:val="24"/>
        </w:rPr>
        <w:t>Diskussions- och beslutspunkt</w:t>
      </w: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sz w:val="24"/>
          <w:szCs w:val="24"/>
        </w:rPr>
      </w:pPr>
      <w:r w:rsidRPr="00D81184">
        <w:rPr>
          <w:rFonts w:ascii="OrigGarmnd BT" w:hAnsi="OrigGarmnd BT"/>
          <w:sz w:val="24"/>
          <w:szCs w:val="24"/>
        </w:rPr>
        <w:t xml:space="preserve">Rådet förväntas anta ett Strategiskt ramverk för Afrikas horn. </w:t>
      </w:r>
      <w:r w:rsidR="00F255CF" w:rsidRPr="00D81184">
        <w:rPr>
          <w:rFonts w:ascii="OrigGarmnd BT" w:hAnsi="OrigGarmnd BT" w:cs="Helv"/>
          <w:color w:val="000000"/>
          <w:sz w:val="24"/>
          <w:szCs w:val="24"/>
          <w:lang w:eastAsia="sv-SE"/>
        </w:rPr>
        <w:t xml:space="preserve">Genom att anta ett strategiskt ramverk för Afrikas horn bekräftas EU:s fortsatta engagemang och en bred utnyttjande av de instrument som finns till förfogande: utvecklingsbistånd och humanitärt stöd;  politisk dialog; krishanteringsinstrument inklusive GSFP; och handel.  Ramverket skapar även en plattform för att säkerställa en koherent användande av EU:s instrument. </w:t>
      </w:r>
      <w:r w:rsidRPr="00D81184">
        <w:rPr>
          <w:rFonts w:ascii="OrigGarmnd BT" w:hAnsi="OrigGarmnd BT"/>
          <w:sz w:val="24"/>
          <w:szCs w:val="24"/>
        </w:rPr>
        <w:t>Som uppföljning väntas HR Ashton vid utrikesrådet  i december föreslå att en EUSR för Afrikas horn utses.</w:t>
      </w: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sz w:val="24"/>
          <w:szCs w:val="24"/>
        </w:rPr>
      </w:pPr>
      <w:r w:rsidRPr="00D81184">
        <w:rPr>
          <w:rFonts w:ascii="OrigGarmnd BT" w:hAnsi="OrigGarmnd BT"/>
          <w:sz w:val="24"/>
          <w:szCs w:val="24"/>
          <w:u w:val="single"/>
        </w:rPr>
        <w:t>Regeringens ståndpunkt:</w:t>
      </w:r>
      <w:r w:rsidRPr="00D81184">
        <w:rPr>
          <w:rFonts w:ascii="OrigGarmnd BT" w:hAnsi="OrigGarmnd BT"/>
          <w:sz w:val="24"/>
          <w:szCs w:val="24"/>
        </w:rPr>
        <w:t xml:space="preserve"> Regeringen välkomnar att rådet antar ett strategiskt ramverk för Afrikas Horn. Grunden för detta lades bl.a. genom EU:s policy för Afrikas horn som antogs under det svenska ordförandeskapet i EU 2009. Det strategiska ramverket kan bidra till ett mer sammanhållet långsiktigt EU-engagemang i regionen. </w:t>
      </w: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b/>
          <w:i/>
          <w:sz w:val="24"/>
          <w:szCs w:val="24"/>
        </w:rPr>
      </w:pPr>
      <w:r w:rsidRPr="00D81184">
        <w:rPr>
          <w:rFonts w:ascii="OrigGarmnd BT" w:hAnsi="OrigGarmnd BT"/>
          <w:b/>
          <w:i/>
          <w:sz w:val="24"/>
          <w:szCs w:val="24"/>
        </w:rPr>
        <w:t>- Somalia</w:t>
      </w:r>
    </w:p>
    <w:p w:rsidR="00003508" w:rsidRPr="00D81184" w:rsidRDefault="00003508" w:rsidP="00003508">
      <w:pPr>
        <w:rPr>
          <w:rFonts w:ascii="OrigGarmnd BT" w:hAnsi="OrigGarmnd BT"/>
          <w:i/>
          <w:iCs/>
          <w:color w:val="000000"/>
          <w:sz w:val="24"/>
          <w:szCs w:val="24"/>
          <w:lang w:eastAsia="sv-SE"/>
        </w:rPr>
      </w:pPr>
      <w:r w:rsidRPr="00D81184">
        <w:rPr>
          <w:rFonts w:ascii="OrigGarmnd BT" w:hAnsi="OrigGarmnd BT"/>
          <w:i/>
          <w:iCs/>
          <w:color w:val="000000"/>
          <w:sz w:val="24"/>
          <w:szCs w:val="24"/>
          <w:lang w:eastAsia="sv-SE"/>
        </w:rPr>
        <w:t>Diskussions- och beslutspunkt</w:t>
      </w: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sz w:val="24"/>
          <w:szCs w:val="24"/>
        </w:rPr>
      </w:pPr>
      <w:r w:rsidRPr="00D81184">
        <w:rPr>
          <w:rFonts w:ascii="OrigGarmnd BT" w:hAnsi="OrigGarmnd BT"/>
          <w:sz w:val="24"/>
          <w:szCs w:val="24"/>
        </w:rPr>
        <w:t xml:space="preserve">I samband ministrarnas diskussion om Afrikas Horn förväntas ett särskilt fokus på Somalia. Ministrarna väntas diskutera den politiska situationen i Somalia efter att de somaliska parterna i augusti antagit en färdplan för avslutande av övergångsperioden till augusti 2012. Ministrarna väntas även diskutera säkerhetssituationen i landet liksom problematiken med sjöröveri utanför Somalias kust, och EUNAVFOR:s operation Atalanta. </w:t>
      </w: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color w:val="000000"/>
          <w:sz w:val="24"/>
          <w:szCs w:val="24"/>
          <w:lang w:eastAsia="sv-SE"/>
        </w:rPr>
      </w:pPr>
      <w:r w:rsidRPr="00D81184">
        <w:rPr>
          <w:rFonts w:ascii="OrigGarmnd BT" w:hAnsi="OrigGarmnd BT"/>
          <w:sz w:val="24"/>
          <w:szCs w:val="24"/>
          <w:u w:val="single"/>
        </w:rPr>
        <w:t>Regeringens ståndpunkt</w:t>
      </w:r>
      <w:r w:rsidRPr="00D81184">
        <w:rPr>
          <w:rFonts w:ascii="OrigGarmnd BT" w:hAnsi="OrigGarmnd BT"/>
          <w:sz w:val="24"/>
          <w:szCs w:val="24"/>
        </w:rPr>
        <w:t xml:space="preserve"> V</w:t>
      </w:r>
      <w:r w:rsidRPr="00D81184">
        <w:rPr>
          <w:rFonts w:ascii="OrigGarmnd BT" w:hAnsi="OrigGarmnd BT"/>
          <w:color w:val="000000"/>
          <w:sz w:val="24"/>
          <w:szCs w:val="24"/>
          <w:lang w:eastAsia="sv-SE"/>
        </w:rPr>
        <w:t xml:space="preserve">iktigt att EU inför utgången av gällande övergångsmandat i augusti 2012 ger ett tydligt budskap till övergångsinstitutionerna (TFIs) och andra somaliska aktörer i den politiska processen om deras ansvar att fullfölja överenskomna åtaganden. EU har tillsammans med FN och regionala aktörer en viktig roll i övervakningen av hur detta arbete genomförs. Beredskap finns att enligt fastställda villkor stödja processen. </w:t>
      </w:r>
    </w:p>
    <w:p w:rsidR="00003508" w:rsidRPr="00D81184" w:rsidRDefault="00003508" w:rsidP="00003508">
      <w:pPr>
        <w:rPr>
          <w:rFonts w:ascii="OrigGarmnd BT" w:hAnsi="OrigGarmnd BT"/>
          <w:color w:val="000000"/>
          <w:sz w:val="24"/>
          <w:szCs w:val="24"/>
          <w:lang w:eastAsia="sv-SE"/>
        </w:rPr>
      </w:pPr>
    </w:p>
    <w:p w:rsidR="00003508" w:rsidRPr="00D81184" w:rsidRDefault="00003508" w:rsidP="00003508">
      <w:pPr>
        <w:rPr>
          <w:rFonts w:ascii="OrigGarmnd BT" w:hAnsi="OrigGarmnd BT"/>
          <w:color w:val="000000"/>
          <w:sz w:val="24"/>
          <w:szCs w:val="24"/>
          <w:lang w:eastAsia="sv-SE"/>
        </w:rPr>
      </w:pPr>
      <w:r w:rsidRPr="00D81184">
        <w:rPr>
          <w:rFonts w:ascii="OrigGarmnd BT" w:hAnsi="OrigGarmnd BT"/>
          <w:color w:val="000000"/>
          <w:sz w:val="24"/>
          <w:szCs w:val="24"/>
          <w:lang w:eastAsia="sv-SE"/>
        </w:rPr>
        <w:t xml:space="preserve">I piratbekämpningen krävs en bredare ansats för att komma till rätta med piratproblematikens grundorsaker. Fortsatt behov av </w:t>
      </w:r>
      <w:r w:rsidR="004B4740" w:rsidRPr="00D81184">
        <w:rPr>
          <w:rFonts w:ascii="OrigGarmnd BT" w:hAnsi="OrigGarmnd BT"/>
          <w:color w:val="000000"/>
          <w:sz w:val="24"/>
          <w:szCs w:val="24"/>
          <w:lang w:eastAsia="sv-SE"/>
        </w:rPr>
        <w:t xml:space="preserve">främst </w:t>
      </w:r>
      <w:r w:rsidRPr="00D81184">
        <w:rPr>
          <w:rFonts w:ascii="OrigGarmnd BT" w:hAnsi="OrigGarmnd BT"/>
          <w:color w:val="000000"/>
          <w:sz w:val="24"/>
          <w:szCs w:val="24"/>
          <w:lang w:eastAsia="sv-SE"/>
        </w:rPr>
        <w:t xml:space="preserve">eskortstöd till humanitära transporter motiverar en mandatförlängning för operation Atalanta. </w:t>
      </w: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b/>
          <w:sz w:val="24"/>
          <w:szCs w:val="24"/>
        </w:rPr>
      </w:pPr>
      <w:r w:rsidRPr="00D81184">
        <w:rPr>
          <w:rFonts w:ascii="OrigGarmnd BT" w:hAnsi="OrigGarmnd BT"/>
          <w:b/>
          <w:sz w:val="24"/>
          <w:szCs w:val="24"/>
        </w:rPr>
        <w:t>6. Serbien/Kosovo</w:t>
      </w:r>
    </w:p>
    <w:p w:rsidR="00003508" w:rsidRPr="00D81184" w:rsidRDefault="00003508" w:rsidP="00003508">
      <w:pPr>
        <w:rPr>
          <w:rFonts w:ascii="OrigGarmnd BT" w:hAnsi="OrigGarmnd BT"/>
          <w:i/>
          <w:sz w:val="24"/>
          <w:szCs w:val="24"/>
        </w:rPr>
      </w:pPr>
      <w:r w:rsidRPr="00D81184">
        <w:rPr>
          <w:rFonts w:ascii="OrigGarmnd BT" w:hAnsi="OrigGarmnd BT"/>
          <w:i/>
          <w:sz w:val="24"/>
          <w:szCs w:val="24"/>
        </w:rPr>
        <w:t>Diskussionspunkt</w:t>
      </w: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sz w:val="24"/>
          <w:szCs w:val="24"/>
        </w:rPr>
      </w:pPr>
      <w:r w:rsidRPr="00D81184">
        <w:rPr>
          <w:rFonts w:ascii="OrigGarmnd BT" w:hAnsi="OrigGarmnd BT"/>
          <w:sz w:val="24"/>
          <w:szCs w:val="24"/>
        </w:rPr>
        <w:t xml:space="preserve">Rådet förväntas diskutera Serbien och Kosovo, med inriktning på ländernas EU-närmanden och den pågående dialogprocessen mellan de två länderna som faciliteras av EU. Den 12 oktober presenterade Kommissionen sitt årliga utvidgningspaket, där Serbien rekommenderas kandidatlandstatus under förutsättning att landet åter engagerar sig i dialogen med Kosovo och så snart som möjligt implementerar de överenskommelser som redan slutits inom ramen för dialogen.  </w:t>
      </w:r>
    </w:p>
    <w:p w:rsidR="00003508" w:rsidRPr="00D81184" w:rsidRDefault="00003508" w:rsidP="00003508">
      <w:pPr>
        <w:rPr>
          <w:rFonts w:ascii="OrigGarmnd BT" w:hAnsi="OrigGarmnd BT"/>
          <w:sz w:val="24"/>
          <w:szCs w:val="24"/>
        </w:rPr>
      </w:pPr>
    </w:p>
    <w:p w:rsidR="00003508" w:rsidRPr="00D81184" w:rsidRDefault="00003508" w:rsidP="00003508">
      <w:pPr>
        <w:overflowPunct/>
        <w:textAlignment w:val="auto"/>
        <w:rPr>
          <w:rFonts w:ascii="Helv" w:hAnsi="Helv" w:cs="Helv"/>
          <w:color w:val="000000"/>
          <w:lang w:eastAsia="sv-SE"/>
        </w:rPr>
      </w:pPr>
      <w:r w:rsidRPr="00D81184">
        <w:rPr>
          <w:rFonts w:ascii="OrigGarmnd BT" w:hAnsi="OrigGarmnd BT" w:cs="OrigGarmnd BT"/>
          <w:color w:val="000000"/>
          <w:sz w:val="24"/>
          <w:szCs w:val="24"/>
          <w:u w:val="single"/>
          <w:lang w:eastAsia="sv-SE"/>
        </w:rPr>
        <w:t>Regeringens ståndpunkt:</w:t>
      </w:r>
      <w:r w:rsidRPr="00D81184">
        <w:rPr>
          <w:rFonts w:ascii="OrigGarmnd BT" w:hAnsi="OrigGarmnd BT" w:cs="OrigGarmnd BT"/>
          <w:color w:val="000000"/>
          <w:sz w:val="24"/>
          <w:szCs w:val="24"/>
          <w:lang w:eastAsia="sv-SE"/>
        </w:rPr>
        <w:t xml:space="preserve"> Regeringen verkar för att Serbien skall uppnå kandidatlandstatus samt förhandlingsstart. Regeringen stödjer att dialogen mellan Belgrad och Pristina återupptas så snart som möjligt och att implementering sker av redan gjorda överenskommelser. </w:t>
      </w: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b/>
          <w:sz w:val="24"/>
          <w:szCs w:val="24"/>
        </w:rPr>
      </w:pPr>
      <w:r w:rsidRPr="00D81184">
        <w:rPr>
          <w:rFonts w:ascii="OrigGarmnd BT" w:hAnsi="OrigGarmnd BT"/>
          <w:b/>
          <w:sz w:val="24"/>
          <w:szCs w:val="24"/>
        </w:rPr>
        <w:t>7. GSFP</w:t>
      </w:r>
    </w:p>
    <w:p w:rsidR="00003508" w:rsidRPr="00D81184" w:rsidRDefault="00003508" w:rsidP="00003508">
      <w:pPr>
        <w:overflowPunct/>
        <w:textAlignment w:val="auto"/>
        <w:rPr>
          <w:rFonts w:ascii="OrigGarmnd BT" w:hAnsi="OrigGarmnd BT" w:cs="OrigGarmnd BT"/>
          <w:i/>
          <w:iCs/>
          <w:color w:val="000000"/>
          <w:sz w:val="24"/>
          <w:szCs w:val="24"/>
          <w:lang w:eastAsia="sv-SE"/>
        </w:rPr>
      </w:pPr>
      <w:r w:rsidRPr="00D81184">
        <w:rPr>
          <w:rFonts w:ascii="OrigGarmnd BT" w:hAnsi="OrigGarmnd BT" w:cs="OrigGarmnd BT"/>
          <w:i/>
          <w:iCs/>
          <w:color w:val="000000"/>
          <w:sz w:val="24"/>
          <w:szCs w:val="24"/>
          <w:lang w:eastAsia="sv-SE"/>
        </w:rPr>
        <w:t>Diskussionspunkt</w:t>
      </w:r>
    </w:p>
    <w:p w:rsidR="001B305A" w:rsidRPr="00D81184" w:rsidRDefault="001B305A" w:rsidP="00003508">
      <w:pPr>
        <w:overflowPunct/>
        <w:textAlignment w:val="auto"/>
        <w:rPr>
          <w:rFonts w:ascii="OrigGarmnd BT" w:hAnsi="OrigGarmnd BT" w:cs="OrigGarmnd BT"/>
          <w:color w:val="000000"/>
          <w:sz w:val="24"/>
          <w:szCs w:val="24"/>
          <w:lang w:eastAsia="sv-SE"/>
        </w:rPr>
      </w:pPr>
    </w:p>
    <w:p w:rsidR="00003508" w:rsidRPr="00D81184" w:rsidRDefault="00003508" w:rsidP="00003508">
      <w:pPr>
        <w:overflowPunct/>
        <w:textAlignment w:val="auto"/>
        <w:rPr>
          <w:rFonts w:ascii="OrigGarmnd BT" w:hAnsi="OrigGarmnd BT" w:cs="OrigGarmnd BT"/>
          <w:color w:val="000000"/>
          <w:sz w:val="24"/>
          <w:szCs w:val="24"/>
          <w:lang w:eastAsia="sv-SE"/>
        </w:rPr>
      </w:pPr>
      <w:r w:rsidRPr="00D81184">
        <w:rPr>
          <w:rFonts w:ascii="OrigGarmnd BT" w:hAnsi="OrigGarmnd BT" w:cs="OrigGarmnd BT"/>
          <w:color w:val="000000"/>
          <w:sz w:val="24"/>
          <w:szCs w:val="24"/>
          <w:lang w:eastAsia="sv-SE"/>
        </w:rPr>
        <w:t xml:space="preserve">Diskussionen under lunchen om EU:s gemensamma säkerhets- och försvarspolitik (GSFP) kommer att kretsa kring åtgärder för vidareutveckla politikområdet. </w:t>
      </w:r>
    </w:p>
    <w:p w:rsidR="001B305A" w:rsidRPr="00D81184" w:rsidRDefault="001B305A" w:rsidP="00003508">
      <w:pPr>
        <w:overflowPunct/>
        <w:textAlignment w:val="auto"/>
        <w:rPr>
          <w:rFonts w:ascii="OrigGarmnd BT" w:hAnsi="OrigGarmnd BT" w:cs="OrigGarmnd BT"/>
          <w:color w:val="000000"/>
          <w:sz w:val="24"/>
          <w:szCs w:val="24"/>
          <w:u w:val="single"/>
          <w:lang w:eastAsia="sv-SE"/>
        </w:rPr>
      </w:pPr>
    </w:p>
    <w:p w:rsidR="00003508" w:rsidRPr="00D81184" w:rsidRDefault="00003508" w:rsidP="00003508">
      <w:pPr>
        <w:overflowPunct/>
        <w:textAlignment w:val="auto"/>
        <w:rPr>
          <w:rFonts w:ascii="OrigGarmnd BT" w:hAnsi="OrigGarmnd BT" w:cs="OrigGarmnd BT"/>
          <w:color w:val="000000"/>
          <w:sz w:val="24"/>
          <w:szCs w:val="24"/>
          <w:lang w:eastAsia="sv-SE"/>
        </w:rPr>
      </w:pPr>
      <w:r w:rsidRPr="00D81184">
        <w:rPr>
          <w:rFonts w:ascii="OrigGarmnd BT" w:hAnsi="OrigGarmnd BT" w:cs="OrigGarmnd BT"/>
          <w:color w:val="000000"/>
          <w:sz w:val="24"/>
          <w:szCs w:val="24"/>
          <w:u w:val="single"/>
          <w:lang w:eastAsia="sv-SE"/>
        </w:rPr>
        <w:t>Regeringens ståndpunkt</w:t>
      </w:r>
      <w:r w:rsidRPr="00D81184">
        <w:rPr>
          <w:rFonts w:ascii="OrigGarmnd BT" w:hAnsi="OrigGarmnd BT" w:cs="OrigGarmnd BT"/>
          <w:color w:val="000000"/>
          <w:sz w:val="24"/>
          <w:szCs w:val="24"/>
          <w:lang w:eastAsia="sv-SE"/>
        </w:rPr>
        <w:t xml:space="preserve">: Regeringen </w:t>
      </w:r>
      <w:r w:rsidRPr="00D81184">
        <w:rPr>
          <w:rFonts w:ascii="OrigGarmnd BT" w:hAnsi="OrigGarmnd BT" w:cs="OrigGarmnd BT"/>
          <w:sz w:val="24"/>
          <w:szCs w:val="24"/>
          <w:lang w:eastAsia="sv-SE"/>
        </w:rPr>
        <w:t>välkomnar en diskussion om förslag</w:t>
      </w:r>
      <w:r w:rsidRPr="00D81184">
        <w:rPr>
          <w:rFonts w:ascii="OrigGarmnd BT" w:hAnsi="OrigGarmnd BT" w:cs="OrigGarmnd BT"/>
          <w:color w:val="000000"/>
          <w:sz w:val="24"/>
          <w:szCs w:val="24"/>
          <w:lang w:eastAsia="sv-SE"/>
        </w:rPr>
        <w:t xml:space="preserve"> på hur EU:s krishanteringsförmåga kan stärkas och bättre samordnas. </w:t>
      </w: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b/>
          <w:sz w:val="24"/>
          <w:szCs w:val="24"/>
        </w:rPr>
      </w:pPr>
      <w:r w:rsidRPr="00D81184">
        <w:rPr>
          <w:rFonts w:ascii="OrigGarmnd BT" w:hAnsi="OrigGarmnd BT"/>
          <w:b/>
          <w:sz w:val="24"/>
          <w:szCs w:val="24"/>
        </w:rPr>
        <w:t>8. EU-USA toppmötet (ev.)</w:t>
      </w:r>
    </w:p>
    <w:p w:rsidR="00003508" w:rsidRPr="00D81184" w:rsidRDefault="00003508" w:rsidP="00003508">
      <w:pPr>
        <w:rPr>
          <w:rFonts w:ascii="OrigGarmnd BT" w:hAnsi="OrigGarmnd BT"/>
          <w:i/>
          <w:sz w:val="24"/>
          <w:szCs w:val="24"/>
        </w:rPr>
      </w:pPr>
      <w:r w:rsidRPr="00D81184">
        <w:rPr>
          <w:rFonts w:ascii="OrigGarmnd BT" w:hAnsi="OrigGarmnd BT"/>
          <w:i/>
          <w:sz w:val="24"/>
          <w:szCs w:val="24"/>
        </w:rPr>
        <w:t>Diskussionspunkt</w:t>
      </w:r>
    </w:p>
    <w:p w:rsidR="00003508" w:rsidRPr="00D81184" w:rsidRDefault="00003508" w:rsidP="00003508">
      <w:pPr>
        <w:overflowPunct/>
        <w:textAlignment w:val="auto"/>
        <w:rPr>
          <w:rFonts w:ascii="OrigGarmnd BT" w:hAnsi="OrigGarmnd BT"/>
          <w:color w:val="000000"/>
          <w:sz w:val="24"/>
          <w:szCs w:val="24"/>
          <w:lang w:eastAsia="sv-SE"/>
        </w:rPr>
      </w:pPr>
    </w:p>
    <w:p w:rsidR="00003508" w:rsidRPr="00D81184" w:rsidRDefault="00003508" w:rsidP="00003508">
      <w:pPr>
        <w:overflowPunct/>
        <w:textAlignment w:val="auto"/>
        <w:rPr>
          <w:rFonts w:ascii="OrigGarmnd BT" w:hAnsi="OrigGarmnd BT"/>
          <w:color w:val="000000"/>
          <w:sz w:val="24"/>
          <w:szCs w:val="24"/>
          <w:lang w:eastAsia="sv-SE"/>
        </w:rPr>
      </w:pPr>
      <w:r w:rsidRPr="00D81184">
        <w:rPr>
          <w:rFonts w:ascii="OrigGarmnd BT" w:hAnsi="OrigGarmnd BT"/>
          <w:color w:val="000000"/>
          <w:sz w:val="24"/>
          <w:szCs w:val="24"/>
          <w:lang w:eastAsia="sv-SE"/>
        </w:rPr>
        <w:t>Diskussion inför toppmötet EU-USA som hålls i Washington DC 28 november. Ekonomi och jobbskapande väntas få störst utrymme vid toppmötet, men även utrikes- och säkerhetspolitiska frågor.</w:t>
      </w:r>
    </w:p>
    <w:p w:rsidR="00003508" w:rsidRPr="00D81184" w:rsidRDefault="00003508" w:rsidP="00003508">
      <w:pPr>
        <w:overflowPunct/>
        <w:textAlignment w:val="auto"/>
        <w:rPr>
          <w:rFonts w:ascii="OrigGarmnd BT" w:hAnsi="OrigGarmnd BT"/>
          <w:color w:val="000000"/>
          <w:sz w:val="24"/>
          <w:szCs w:val="24"/>
          <w:lang w:eastAsia="sv-SE"/>
        </w:rPr>
      </w:pPr>
    </w:p>
    <w:p w:rsidR="00003508" w:rsidRPr="00D81184" w:rsidRDefault="00003508" w:rsidP="00003508">
      <w:pPr>
        <w:rPr>
          <w:rFonts w:ascii="OrigGarmnd BT" w:hAnsi="OrigGarmnd BT"/>
          <w:sz w:val="24"/>
          <w:szCs w:val="24"/>
        </w:rPr>
      </w:pPr>
      <w:r w:rsidRPr="00D81184">
        <w:rPr>
          <w:rFonts w:ascii="OrigGarmnd BT" w:hAnsi="OrigGarmnd BT"/>
          <w:color w:val="000000"/>
          <w:sz w:val="24"/>
          <w:szCs w:val="24"/>
          <w:u w:val="single"/>
          <w:lang w:eastAsia="sv-SE"/>
        </w:rPr>
        <w:t>Regeringens ståndpunkt:</w:t>
      </w:r>
      <w:r w:rsidRPr="00D81184">
        <w:rPr>
          <w:rFonts w:ascii="OrigGarmnd BT" w:hAnsi="OrigGarmnd BT"/>
          <w:color w:val="000000"/>
          <w:sz w:val="24"/>
          <w:szCs w:val="24"/>
          <w:lang w:eastAsia="sv-SE"/>
        </w:rPr>
        <w:t xml:space="preserve"> Sverige stöder toppmötets fokus på ekonomi och jobbskapande, där Transatlantiska Ekonomiska Rådet 29 nov bör ges ett kraftfullt mandat för att driva på den transatlantiska ekonomiska integrationen. Vid sidan av en konkret dialog om aktuella utrikes- och säkerhetspolitiska frågor och samarbete rörande frihet och säkerhet på nätet verkar Sverige även för en hög ambitionsnivå vad gäller det transatlantiska utvecklingssamarbetet och klimatfrågan.</w:t>
      </w: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sz w:val="24"/>
          <w:szCs w:val="24"/>
        </w:rPr>
      </w:pPr>
    </w:p>
    <w:p w:rsidR="00003508" w:rsidRPr="00D81184" w:rsidRDefault="00003508" w:rsidP="00003508">
      <w:pPr>
        <w:rPr>
          <w:rFonts w:ascii="OrigGarmnd BT" w:hAnsi="OrigGarmnd BT"/>
          <w:b/>
          <w:sz w:val="24"/>
          <w:szCs w:val="24"/>
        </w:rPr>
      </w:pPr>
      <w:r w:rsidRPr="00D81184">
        <w:rPr>
          <w:rFonts w:ascii="OrigGarmnd BT" w:hAnsi="OrigGarmnd BT"/>
          <w:b/>
          <w:sz w:val="24"/>
          <w:szCs w:val="24"/>
        </w:rPr>
        <w:t>9. AOB</w:t>
      </w:r>
    </w:p>
    <w:p w:rsidR="00003508" w:rsidRPr="00D81184" w:rsidRDefault="00003508" w:rsidP="00003508">
      <w:pPr>
        <w:rPr>
          <w:rFonts w:ascii="OrigGarmnd BT" w:hAnsi="OrigGarmnd BT"/>
          <w:sz w:val="24"/>
          <w:szCs w:val="24"/>
        </w:rPr>
      </w:pPr>
    </w:p>
    <w:p w:rsidR="00003508" w:rsidRPr="00D81184" w:rsidRDefault="00003508" w:rsidP="00003508"/>
    <w:p w:rsidR="00003508" w:rsidRPr="00D81184" w:rsidRDefault="00003508"/>
    <w:sectPr w:rsidR="00003508" w:rsidRPr="00D81184">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49F" w:rsidRPr="00D81184" w:rsidRDefault="00E4349F">
      <w:r w:rsidRPr="00D81184">
        <w:separator/>
      </w:r>
    </w:p>
  </w:endnote>
  <w:endnote w:type="continuationSeparator" w:id="0">
    <w:p w:rsidR="00E4349F" w:rsidRPr="00D81184" w:rsidRDefault="00E4349F">
      <w:r w:rsidRPr="00D8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508" w:rsidRPr="00D81184" w:rsidRDefault="00003508" w:rsidP="00003508">
    <w:pPr>
      <w:pStyle w:val="Sidfot"/>
      <w:framePr w:wrap="around" w:vAnchor="text" w:hAnchor="margin" w:xAlign="right" w:y="1"/>
      <w:rPr>
        <w:rStyle w:val="Sidnummer"/>
      </w:rPr>
    </w:pPr>
    <w:r w:rsidRPr="00D81184">
      <w:rPr>
        <w:rStyle w:val="Sidnummer"/>
      </w:rPr>
      <w:fldChar w:fldCharType="begin" w:fldLock="1"/>
    </w:r>
    <w:r w:rsidRPr="00D81184">
      <w:rPr>
        <w:rStyle w:val="Sidnummer"/>
      </w:rPr>
      <w:instrText xml:space="preserve">PAGE  </w:instrText>
    </w:r>
    <w:r w:rsidRPr="00D81184">
      <w:rPr>
        <w:rStyle w:val="Sidnummer"/>
      </w:rPr>
      <w:fldChar w:fldCharType="end"/>
    </w:r>
  </w:p>
  <w:p w:rsidR="00003508" w:rsidRPr="00D81184" w:rsidRDefault="00003508" w:rsidP="0000350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508" w:rsidRPr="00D81184" w:rsidRDefault="00003508" w:rsidP="00003508">
    <w:pPr>
      <w:pStyle w:val="Sidfot"/>
      <w:ind w:right="360"/>
    </w:pPr>
    <w:r w:rsidRPr="00D81184">
      <w:rPr>
        <w:rStyle w:val="Sidnummer"/>
      </w:rPr>
      <w:tab/>
    </w:r>
    <w:r w:rsidRPr="00D81184">
      <w:rPr>
        <w:rStyle w:val="Sidnummer"/>
      </w:rPr>
      <w:tab/>
    </w:r>
    <w:r w:rsidRPr="00D81184">
      <w:rPr>
        <w:rStyle w:val="Sidnummer"/>
      </w:rPr>
      <w:fldChar w:fldCharType="begin" w:fldLock="1"/>
    </w:r>
    <w:r w:rsidRPr="00D81184">
      <w:rPr>
        <w:rStyle w:val="Sidnummer"/>
      </w:rPr>
      <w:instrText xml:space="preserve"> PAGE </w:instrText>
    </w:r>
    <w:r w:rsidRPr="00D81184">
      <w:rPr>
        <w:rStyle w:val="Sidnummer"/>
      </w:rPr>
      <w:fldChar w:fldCharType="separate"/>
    </w:r>
    <w:r w:rsidR="00657A2C" w:rsidRPr="00D81184">
      <w:rPr>
        <w:rStyle w:val="Sidnummer"/>
      </w:rPr>
      <w:t>4</w:t>
    </w:r>
    <w:r w:rsidRPr="00D81184">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49F" w:rsidRPr="00D81184" w:rsidRDefault="00E4349F">
      <w:r w:rsidRPr="00D81184">
        <w:separator/>
      </w:r>
    </w:p>
  </w:footnote>
  <w:footnote w:type="continuationSeparator" w:id="0">
    <w:p w:rsidR="00E4349F" w:rsidRPr="00D81184" w:rsidRDefault="00E4349F">
      <w:r w:rsidRPr="00D81184">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08"/>
    <w:rsid w:val="00003508"/>
    <w:rsid w:val="001B305A"/>
    <w:rsid w:val="004B4740"/>
    <w:rsid w:val="00657A2C"/>
    <w:rsid w:val="007440F1"/>
    <w:rsid w:val="00D81184"/>
    <w:rsid w:val="00E4349F"/>
    <w:rsid w:val="00E43A9F"/>
    <w:rsid w:val="00EC1366"/>
    <w:rsid w:val="00F255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62FB30-44E9-4802-98E2-C2438CC8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508"/>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003508"/>
  </w:style>
  <w:style w:type="paragraph" w:styleId="Sidfot">
    <w:name w:val="footer"/>
    <w:basedOn w:val="Normal"/>
    <w:rsid w:val="00003508"/>
    <w:pPr>
      <w:tabs>
        <w:tab w:val="center" w:pos="4153"/>
        <w:tab w:val="right" w:pos="8306"/>
      </w:tabs>
    </w:pPr>
    <w:rPr>
      <w:sz w:val="24"/>
    </w:rPr>
  </w:style>
  <w:style w:type="paragraph" w:customStyle="1" w:styleId="UDrubrik">
    <w:name w:val="UDrubrik"/>
    <w:basedOn w:val="Normal"/>
    <w:next w:val="Normal"/>
    <w:rsid w:val="00003508"/>
    <w:pPr>
      <w:spacing w:line="320" w:lineRule="exact"/>
    </w:pPr>
    <w:rPr>
      <w:rFonts w:ascii="Arial" w:hAnsi="Arial"/>
      <w:b/>
      <w:sz w:val="22"/>
    </w:rPr>
  </w:style>
  <w:style w:type="paragraph" w:customStyle="1" w:styleId="Brdtext1">
    <w:name w:val="Brödtext1"/>
    <w:basedOn w:val="Normal"/>
    <w:rsid w:val="00003508"/>
    <w:pPr>
      <w:overflowPunct/>
      <w:autoSpaceDE/>
      <w:autoSpaceDN/>
      <w:adjustRightInd/>
      <w:spacing w:line="320" w:lineRule="exact"/>
      <w:textAlignment w:val="auto"/>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6376</Characters>
  <Application>Microsoft Office Word</Application>
  <DocSecurity>4</DocSecurity>
  <Lines>172</Lines>
  <Paragraphs>58</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2011-11-07T13:39:00Z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