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4D77A5" w:rsidRPr="00D0436F">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4D77A5" w:rsidRPr="00D0436F" w:rsidRDefault="00D0436F">
            <w:pPr>
              <w:pStyle w:val="EntLogo"/>
            </w:pPr>
            <w:r w:rsidRPr="00D0436F">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77A5" w:rsidRPr="00D0436F">
        <w:tblPrEx>
          <w:tblCellMar>
            <w:top w:w="0" w:type="dxa"/>
            <w:left w:w="0" w:type="dxa"/>
            <w:bottom w:w="0" w:type="dxa"/>
            <w:right w:w="0" w:type="dxa"/>
          </w:tblCellMar>
        </w:tblPrEx>
        <w:trPr>
          <w:cantSplit/>
          <w:trHeight w:val="1120"/>
        </w:trPr>
        <w:tc>
          <w:tcPr>
            <w:tcW w:w="4821" w:type="dxa"/>
            <w:gridSpan w:val="2"/>
          </w:tcPr>
          <w:p w:rsidR="006639C8" w:rsidRPr="00D0436F" w:rsidRDefault="006639C8">
            <w:pPr>
              <w:pStyle w:val="EntInstit"/>
            </w:pPr>
            <w:bookmarkStart w:id="0" w:name="Entete"/>
            <w:bookmarkEnd w:id="0"/>
            <w:r w:rsidRPr="00D0436F">
              <w:t>EUROPEISKA</w:t>
            </w:r>
          </w:p>
          <w:p w:rsidR="004D77A5" w:rsidRPr="00D0436F" w:rsidRDefault="006639C8">
            <w:pPr>
              <w:pStyle w:val="EntInstit"/>
            </w:pPr>
            <w:r w:rsidRPr="00D0436F">
              <w:t>UNIONENS RÅD</w:t>
            </w:r>
          </w:p>
        </w:tc>
        <w:tc>
          <w:tcPr>
            <w:tcW w:w="1701" w:type="dxa"/>
          </w:tcPr>
          <w:p w:rsidR="004D77A5" w:rsidRPr="00D0436F" w:rsidRDefault="004D77A5">
            <w:pPr>
              <w:spacing w:line="240" w:lineRule="auto"/>
              <w:jc w:val="right"/>
              <w:rPr>
                <w:b/>
              </w:rPr>
            </w:pPr>
          </w:p>
        </w:tc>
        <w:tc>
          <w:tcPr>
            <w:tcW w:w="4820" w:type="dxa"/>
            <w:gridSpan w:val="2"/>
          </w:tcPr>
          <w:p w:rsidR="004D77A5" w:rsidRPr="00D0436F" w:rsidRDefault="006639C8">
            <w:pPr>
              <w:pStyle w:val="EntRefer"/>
            </w:pPr>
            <w:bookmarkStart w:id="1" w:name="Lieu"/>
            <w:bookmarkEnd w:id="1"/>
            <w:r w:rsidRPr="00D0436F">
              <w:t>Bryssel den</w:t>
            </w:r>
            <w:r w:rsidR="004D77A5" w:rsidRPr="00D0436F">
              <w:t xml:space="preserve"> </w:t>
            </w:r>
            <w:bookmarkStart w:id="2" w:name="Date"/>
            <w:bookmarkEnd w:id="2"/>
            <w:r w:rsidRPr="00D0436F">
              <w:t>14 mars 2008</w:t>
            </w:r>
            <w:r w:rsidR="004D77A5" w:rsidRPr="00D0436F">
              <w:t xml:space="preserve"> </w:t>
            </w:r>
            <w:bookmarkStart w:id="3" w:name="DateEntree"/>
            <w:bookmarkEnd w:id="3"/>
          </w:p>
          <w:p w:rsidR="004D77A5" w:rsidRPr="00D0436F" w:rsidRDefault="006639C8">
            <w:pPr>
              <w:pStyle w:val="EntRefer"/>
            </w:pPr>
            <w:bookmarkStart w:id="4" w:name="LangueOrig"/>
            <w:bookmarkEnd w:id="4"/>
            <w:r w:rsidRPr="00D0436F">
              <w:t>(OR. en)</w:t>
            </w:r>
          </w:p>
        </w:tc>
      </w:tr>
      <w:tr w:rsidR="004D77A5" w:rsidRPr="00D0436F">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4D77A5" w:rsidRPr="00D0436F" w:rsidRDefault="004D77A5">
            <w:pPr>
              <w:pStyle w:val="EntRefer"/>
              <w:jc w:val="center"/>
            </w:pPr>
            <w:bookmarkStart w:id="5" w:name="DossierInterInst"/>
            <w:bookmarkEnd w:id="5"/>
          </w:p>
        </w:tc>
        <w:tc>
          <w:tcPr>
            <w:tcW w:w="1701" w:type="dxa"/>
            <w:vAlign w:val="center"/>
          </w:tcPr>
          <w:p w:rsidR="004D77A5" w:rsidRPr="00D0436F" w:rsidRDefault="004D77A5">
            <w:pPr>
              <w:spacing w:line="240" w:lineRule="auto"/>
              <w:rPr>
                <w:b/>
              </w:rPr>
            </w:pPr>
          </w:p>
        </w:tc>
        <w:tc>
          <w:tcPr>
            <w:tcW w:w="3970" w:type="dxa"/>
          </w:tcPr>
          <w:p w:rsidR="004D77A5" w:rsidRPr="00D0436F" w:rsidRDefault="006639C8">
            <w:pPr>
              <w:pStyle w:val="EntRefer"/>
            </w:pPr>
            <w:bookmarkStart w:id="6" w:name="Cote"/>
            <w:bookmarkEnd w:id="6"/>
            <w:r w:rsidRPr="00D0436F">
              <w:t>7652/08</w:t>
            </w:r>
          </w:p>
          <w:p w:rsidR="004D77A5" w:rsidRPr="00D0436F" w:rsidRDefault="004D77A5">
            <w:pPr>
              <w:pStyle w:val="EntRefer"/>
            </w:pPr>
            <w:bookmarkStart w:id="7" w:name="CoteRev"/>
            <w:bookmarkEnd w:id="7"/>
          </w:p>
          <w:p w:rsidR="004D77A5" w:rsidRPr="00D0436F" w:rsidRDefault="004D77A5">
            <w:pPr>
              <w:pStyle w:val="EntRefer"/>
            </w:pPr>
          </w:p>
          <w:p w:rsidR="004D77A5" w:rsidRPr="00D0436F" w:rsidRDefault="004D77A5">
            <w:pPr>
              <w:pStyle w:val="EntRefer"/>
            </w:pPr>
            <w:bookmarkStart w:id="8" w:name="CoteSec"/>
            <w:bookmarkEnd w:id="8"/>
          </w:p>
          <w:p w:rsidR="004D77A5" w:rsidRPr="00D0436F" w:rsidRDefault="004D77A5">
            <w:pPr>
              <w:pStyle w:val="EntRefer"/>
            </w:pPr>
          </w:p>
        </w:tc>
      </w:tr>
      <w:tr w:rsidR="004D77A5" w:rsidRPr="00D0436F">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4D77A5" w:rsidRPr="00D0436F" w:rsidRDefault="004D77A5">
            <w:pPr>
              <w:pStyle w:val="EntRefer"/>
              <w:jc w:val="center"/>
            </w:pPr>
            <w:bookmarkStart w:id="9" w:name="SousEmbargo"/>
            <w:bookmarkEnd w:id="9"/>
          </w:p>
        </w:tc>
        <w:tc>
          <w:tcPr>
            <w:tcW w:w="1701" w:type="dxa"/>
            <w:vAlign w:val="center"/>
          </w:tcPr>
          <w:p w:rsidR="004D77A5" w:rsidRPr="00D0436F" w:rsidRDefault="004D77A5">
            <w:pPr>
              <w:spacing w:line="240" w:lineRule="auto"/>
              <w:rPr>
                <w:b/>
              </w:rPr>
            </w:pPr>
          </w:p>
        </w:tc>
        <w:tc>
          <w:tcPr>
            <w:tcW w:w="3970" w:type="dxa"/>
          </w:tcPr>
          <w:p w:rsidR="004D77A5" w:rsidRPr="00D0436F" w:rsidRDefault="001D68B6">
            <w:pPr>
              <w:pStyle w:val="EntRefer"/>
              <w:tabs>
                <w:tab w:val="right" w:pos="1984"/>
              </w:tabs>
            </w:pPr>
            <w:r w:rsidRPr="00D0436F">
              <w:t>CONCL 1</w:t>
            </w:r>
          </w:p>
        </w:tc>
      </w:tr>
    </w:tbl>
    <w:p w:rsidR="004D77A5" w:rsidRPr="00D0436F" w:rsidRDefault="004D77A5">
      <w:pPr>
        <w:pStyle w:val="EntRefer"/>
      </w:pPr>
      <w:bookmarkStart w:id="10" w:name="AC"/>
    </w:p>
    <w:p w:rsidR="004D77A5" w:rsidRPr="00D0436F" w:rsidRDefault="006639C8" w:rsidP="001D68B6">
      <w:pPr>
        <w:pStyle w:val="EntRefer"/>
        <w:outlineLvl w:val="0"/>
      </w:pPr>
      <w:bookmarkStart w:id="11" w:name="Title"/>
      <w:bookmarkEnd w:id="11"/>
      <w:r w:rsidRPr="00D0436F">
        <w:t>FÖLJENOT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4D77A5" w:rsidRPr="00D0436F">
        <w:tblPrEx>
          <w:tblCellMar>
            <w:top w:w="0" w:type="dxa"/>
            <w:left w:w="0" w:type="dxa"/>
            <w:bottom w:w="0" w:type="dxa"/>
            <w:right w:w="0" w:type="dxa"/>
          </w:tblCellMar>
        </w:tblPrEx>
        <w:tc>
          <w:tcPr>
            <w:tcW w:w="1985" w:type="dxa"/>
            <w:tcBorders>
              <w:top w:val="single" w:sz="4" w:space="0" w:color="auto"/>
            </w:tcBorders>
          </w:tcPr>
          <w:p w:rsidR="004D77A5" w:rsidRPr="00D0436F" w:rsidRDefault="004D77A5">
            <w:pPr>
              <w:pStyle w:val="EntEmet"/>
            </w:pPr>
            <w:bookmarkStart w:id="12" w:name="Ref"/>
            <w:bookmarkStart w:id="13" w:name="RefDu"/>
            <w:r w:rsidRPr="00D0436F">
              <w:t>från:</w:t>
            </w:r>
            <w:bookmarkEnd w:id="13"/>
          </w:p>
        </w:tc>
        <w:tc>
          <w:tcPr>
            <w:tcW w:w="7654" w:type="dxa"/>
            <w:tcBorders>
              <w:top w:val="single" w:sz="4" w:space="0" w:color="auto"/>
            </w:tcBorders>
          </w:tcPr>
          <w:p w:rsidR="004D77A5" w:rsidRPr="00D0436F" w:rsidRDefault="001D68B6">
            <w:pPr>
              <w:pStyle w:val="EntEmet"/>
            </w:pPr>
            <w:r w:rsidRPr="00D0436F">
              <w:t>Ordförandeskapet</w:t>
            </w:r>
          </w:p>
        </w:tc>
      </w:tr>
      <w:tr w:rsidR="004D77A5" w:rsidRPr="00D0436F">
        <w:tblPrEx>
          <w:tblCellMar>
            <w:top w:w="0" w:type="dxa"/>
            <w:left w:w="0" w:type="dxa"/>
            <w:bottom w:w="0" w:type="dxa"/>
            <w:right w:w="0" w:type="dxa"/>
          </w:tblCellMar>
        </w:tblPrEx>
        <w:tc>
          <w:tcPr>
            <w:tcW w:w="1985" w:type="dxa"/>
            <w:tcBorders>
              <w:bottom w:val="single" w:sz="4" w:space="0" w:color="auto"/>
            </w:tcBorders>
          </w:tcPr>
          <w:p w:rsidR="004D77A5" w:rsidRPr="00D0436F" w:rsidRDefault="004D77A5">
            <w:pPr>
              <w:pStyle w:val="EntEmet"/>
            </w:pPr>
            <w:bookmarkStart w:id="14" w:name="RefA"/>
            <w:bookmarkStart w:id="15" w:name="RefRow_A"/>
            <w:r w:rsidRPr="00D0436F">
              <w:t>till:</w:t>
            </w:r>
            <w:bookmarkEnd w:id="14"/>
          </w:p>
        </w:tc>
        <w:tc>
          <w:tcPr>
            <w:tcW w:w="7654" w:type="dxa"/>
            <w:tcBorders>
              <w:bottom w:val="single" w:sz="4" w:space="0" w:color="auto"/>
            </w:tcBorders>
          </w:tcPr>
          <w:p w:rsidR="004D77A5" w:rsidRPr="00D0436F" w:rsidRDefault="001D68B6">
            <w:pPr>
              <w:pStyle w:val="EntEmet"/>
            </w:pPr>
            <w:r w:rsidRPr="00D0436F">
              <w:t>Delegationerna</w:t>
            </w:r>
          </w:p>
        </w:tc>
      </w:tr>
      <w:bookmarkEnd w:id="12"/>
      <w:bookmarkEnd w:id="15"/>
      <w:tr w:rsidR="004D77A5" w:rsidRPr="00D0436F">
        <w:tblPrEx>
          <w:tblCellMar>
            <w:top w:w="0" w:type="dxa"/>
            <w:left w:w="0" w:type="dxa"/>
            <w:bottom w:w="0" w:type="dxa"/>
            <w:right w:w="0" w:type="dxa"/>
          </w:tblCellMar>
        </w:tblPrEx>
        <w:tc>
          <w:tcPr>
            <w:tcW w:w="1985" w:type="dxa"/>
            <w:tcBorders>
              <w:top w:val="single" w:sz="4" w:space="0" w:color="auto"/>
              <w:bottom w:val="single" w:sz="4" w:space="0" w:color="auto"/>
            </w:tcBorders>
          </w:tcPr>
          <w:p w:rsidR="004D77A5" w:rsidRPr="00D0436F" w:rsidRDefault="004D77A5">
            <w:pPr>
              <w:pStyle w:val="EntEmet"/>
            </w:pPr>
            <w:r w:rsidRPr="00D0436F">
              <w:t>Ärende:</w:t>
            </w:r>
          </w:p>
        </w:tc>
        <w:tc>
          <w:tcPr>
            <w:tcW w:w="7654" w:type="dxa"/>
            <w:tcBorders>
              <w:top w:val="single" w:sz="4" w:space="0" w:color="auto"/>
              <w:bottom w:val="single" w:sz="4" w:space="0" w:color="auto"/>
            </w:tcBorders>
          </w:tcPr>
          <w:p w:rsidR="004D77A5" w:rsidRPr="00D0436F" w:rsidRDefault="001D68B6">
            <w:pPr>
              <w:pStyle w:val="EntEmet"/>
            </w:pPr>
            <w:bookmarkStart w:id="16" w:name="Subject"/>
            <w:bookmarkEnd w:id="16"/>
            <w:r w:rsidRPr="00D0436F">
              <w:t>EUROPEISKA RÅDET I BRYSSEL</w:t>
            </w:r>
            <w:r w:rsidRPr="00D0436F">
              <w:br/>
              <w:t>DEN 13</w:t>
            </w:r>
            <w:r w:rsidRPr="00D0436F">
              <w:sym w:font="Symbol" w:char="F02D"/>
            </w:r>
            <w:r w:rsidRPr="00D0436F">
              <w:t>14 MARS 2008</w:t>
            </w:r>
            <w:r w:rsidRPr="00D0436F">
              <w:br/>
            </w:r>
            <w:r w:rsidRPr="00D0436F">
              <w:br/>
              <w:t>ORDFÖRANDESKAPETS SLUTSATSER</w:t>
            </w:r>
          </w:p>
        </w:tc>
      </w:tr>
    </w:tbl>
    <w:p w:rsidR="004D77A5" w:rsidRPr="00D0436F" w:rsidRDefault="004D77A5">
      <w:pPr>
        <w:spacing w:line="240" w:lineRule="auto"/>
      </w:pPr>
    </w:p>
    <w:p w:rsidR="004D77A5" w:rsidRPr="00D0436F" w:rsidRDefault="004D77A5">
      <w:pPr>
        <w:tabs>
          <w:tab w:val="left" w:pos="3969"/>
        </w:tabs>
      </w:pPr>
    </w:p>
    <w:bookmarkEnd w:id="10"/>
    <w:p w:rsidR="004D77A5" w:rsidRPr="00D0436F" w:rsidRDefault="00DE23B3">
      <w:r w:rsidRPr="00D0436F">
        <w:t>För delegationerna bifogas ordförandeskapets slutsatser från Europeiska rådet i Bryssel (den 13</w:t>
      </w:r>
      <w:r w:rsidRPr="00D0436F">
        <w:sym w:font="Symbol" w:char="F02D"/>
      </w:r>
      <w:r w:rsidRPr="00D0436F">
        <w:t>14 mars 2008).</w:t>
      </w:r>
    </w:p>
    <w:p w:rsidR="004D77A5" w:rsidRPr="00D0436F" w:rsidRDefault="004D77A5" w:rsidP="006639C8"/>
    <w:p w:rsidR="004D77A5" w:rsidRPr="00D0436F" w:rsidRDefault="004D77A5">
      <w:pPr>
        <w:spacing w:line="240" w:lineRule="auto"/>
      </w:pPr>
    </w:p>
    <w:p w:rsidR="00F229DA" w:rsidRPr="00D0436F" w:rsidRDefault="00F229DA">
      <w:pPr>
        <w:jc w:val="center"/>
      </w:pPr>
      <w:r w:rsidRPr="00D0436F">
        <w:t>___________</w:t>
      </w:r>
    </w:p>
    <w:p w:rsidR="00F229DA" w:rsidRPr="00D0436F" w:rsidRDefault="00F229DA">
      <w:pPr>
        <w:spacing w:line="240" w:lineRule="auto"/>
      </w:pPr>
    </w:p>
    <w:p w:rsidR="00F229DA" w:rsidRPr="00D0436F" w:rsidRDefault="00F229DA">
      <w:pPr>
        <w:spacing w:line="240" w:lineRule="auto"/>
        <w:sectPr w:rsidR="00F229DA" w:rsidRPr="00D0436F">
          <w:headerReference w:type="default" r:id="rId8"/>
          <w:footerReference w:type="default" r:id="rId9"/>
          <w:footnotePr>
            <w:numRestart w:val="eachPage"/>
          </w:footnotePr>
          <w:endnotePr>
            <w:numFmt w:val="decimal"/>
          </w:endnotePr>
          <w:pgSz w:w="11907" w:h="16840" w:code="9"/>
          <w:pgMar w:top="1134" w:right="1134" w:bottom="1134" w:left="1134" w:header="567" w:footer="567" w:gutter="0"/>
          <w:cols w:space="720"/>
        </w:sectPr>
      </w:pPr>
    </w:p>
    <w:p w:rsidR="00F229DA" w:rsidRPr="00D0436F" w:rsidRDefault="00F229DA" w:rsidP="00F229DA">
      <w:pPr>
        <w:rPr>
          <w:i/>
        </w:rPr>
      </w:pPr>
      <w:r w:rsidRPr="00D0436F">
        <w:rPr>
          <w:i/>
          <w:color w:val="000000"/>
        </w:rPr>
        <w:lastRenderedPageBreak/>
        <w:t>Innan Europeiska rådets möte inleddes höll Europaparlamentets ordförande Hans</w:t>
      </w:r>
      <w:r w:rsidRPr="00D0436F">
        <w:rPr>
          <w:i/>
          <w:color w:val="000000"/>
        </w:rPr>
        <w:noBreakHyphen/>
        <w:t>Gert Pöttering en föredragning som åtföljdes av en diskussion.</w:t>
      </w:r>
    </w:p>
    <w:p w:rsidR="00F229DA" w:rsidRPr="00D0436F" w:rsidRDefault="00F229DA" w:rsidP="00F229DA">
      <w:pPr>
        <w:spacing w:line="240" w:lineRule="auto"/>
        <w:jc w:val="center"/>
      </w:pPr>
    </w:p>
    <w:p w:rsidR="00F229DA" w:rsidRPr="00D0436F" w:rsidRDefault="00F229DA" w:rsidP="00F229DA">
      <w:pPr>
        <w:spacing w:line="240" w:lineRule="auto"/>
        <w:jc w:val="center"/>
      </w:pPr>
      <w:r w:rsidRPr="00D0436F">
        <w:sym w:font="Symbol" w:char="F0B0"/>
      </w:r>
    </w:p>
    <w:p w:rsidR="00F229DA" w:rsidRPr="00D0436F" w:rsidRDefault="00F229DA" w:rsidP="00F229DA">
      <w:pPr>
        <w:spacing w:line="240" w:lineRule="auto"/>
        <w:jc w:val="center"/>
      </w:pPr>
    </w:p>
    <w:p w:rsidR="00F229DA" w:rsidRPr="00D0436F" w:rsidRDefault="00F229DA" w:rsidP="00F229DA">
      <w:pPr>
        <w:spacing w:line="240" w:lineRule="auto"/>
        <w:jc w:val="center"/>
      </w:pPr>
      <w:r w:rsidRPr="00D0436F">
        <w:sym w:font="Symbol" w:char="F0B0"/>
      </w:r>
      <w:r w:rsidRPr="00D0436F">
        <w:tab/>
      </w:r>
      <w:r w:rsidRPr="00D0436F">
        <w:sym w:font="Symbol" w:char="F0B0"/>
      </w:r>
    </w:p>
    <w:p w:rsidR="00F229DA" w:rsidRPr="00D0436F" w:rsidRDefault="00F229DA" w:rsidP="00F229DA">
      <w:pPr>
        <w:spacing w:line="240" w:lineRule="auto"/>
        <w:jc w:val="center"/>
      </w:pPr>
    </w:p>
    <w:p w:rsidR="00F229DA" w:rsidRPr="00D0436F" w:rsidRDefault="00F229DA" w:rsidP="00A62686">
      <w:pPr>
        <w:spacing w:line="346" w:lineRule="auto"/>
        <w:ind w:left="567" w:hanging="567"/>
      </w:pPr>
      <w:r w:rsidRPr="00D0436F">
        <w:t>1.</w:t>
      </w:r>
      <w:r w:rsidRPr="00D0436F">
        <w:tab/>
        <w:t>Europeiska unionens ekonomi fortsätter att i grunden vara sund. De offentliga underskotten har mer än halverats sedan 2005 och den offentliga skulden har också minskat till strax under 60 %. Den ekonomiska tillväxten uppgick under 2007 till 2,9 % men kommer förmodligen att vara lägre i år. 6,5 miljoner arbetstillfällen har skapats under de senaste två åren. Även om konjunkturfaktorer har spelat en roll beror denna utveckling dock delvis på de strukturreformer som har genomförts under de senaste åren inom ramen för Lissabonstrategin och på de gynnsamma effekterna av euron och den inre marknaden.</w:t>
      </w:r>
    </w:p>
    <w:p w:rsidR="00F229DA" w:rsidRPr="00D0436F" w:rsidRDefault="00F229DA" w:rsidP="00A62686">
      <w:pPr>
        <w:spacing w:line="346" w:lineRule="auto"/>
        <w:ind w:left="567" w:hanging="567"/>
      </w:pPr>
    </w:p>
    <w:p w:rsidR="00F229DA" w:rsidRPr="00D0436F" w:rsidRDefault="00F229DA" w:rsidP="00A62686">
      <w:pPr>
        <w:spacing w:line="346" w:lineRule="auto"/>
        <w:ind w:left="567" w:hanging="567"/>
      </w:pPr>
      <w:r w:rsidRPr="00D0436F">
        <w:t>2.</w:t>
      </w:r>
      <w:r w:rsidRPr="00D0436F">
        <w:tab/>
        <w:t>Utsikterna för världsekonomin har emellertid försämrats under den senaste tiden som ett resultat av den vikande konjunkturen i Förenta staterna samt av att olje</w:t>
      </w:r>
      <w:r w:rsidRPr="00D0436F">
        <w:noBreakHyphen/>
        <w:t xml:space="preserve"> och råvarupriserna stigit och att finansmarknaderna för närvarande är turbulenta. </w:t>
      </w:r>
      <w:r w:rsidR="00F93B33" w:rsidRPr="00D0436F">
        <w:t xml:space="preserve">Alltför stor volatilitet och okontrollerade valutakursfluktuationer är ogynnsamma för den ekonomiska tillväxten. Under nuvarande omständigheter är vi oroade över de alltför stora valutakursfluktuationerna. </w:t>
      </w:r>
      <w:r w:rsidRPr="00D0436F">
        <w:t>Det är därför desto viktigare att unionen undviker självbelåtenhet och istället fortsätter sitt reformarbete genom att fullt ut genomföra de nationella reformprogrammen och de integrerade riktlinjerna för tillväxt och sysselsättning. Insatserna för att fullborda och fördjupa den inre marknaden måste fortsätta. En nära samordnad ekonomisk och finansiell politik måste inriktas på makroekonomisk stabilitet, ta vara på tillfällen till globalisering och möta kommande utmaningar, bland annat åldrande befolkning, klimatförändringar och energi. För att säkerställa större stabilitet på finansmarknaderna krävs det också åtgärder som syftar till att öka deras öppenhet och funktionalitet och ytterligare förbättra övervakningen och lagstiftningen på nationell nivå, EU-nivå och global nivå.</w:t>
      </w:r>
    </w:p>
    <w:p w:rsidR="00F229DA" w:rsidRPr="00D0436F" w:rsidRDefault="00F229DA" w:rsidP="00A62686">
      <w:pPr>
        <w:spacing w:line="346" w:lineRule="auto"/>
        <w:ind w:left="567" w:hanging="567"/>
      </w:pPr>
    </w:p>
    <w:p w:rsidR="00F229DA" w:rsidRPr="00D0436F" w:rsidRDefault="00F229DA" w:rsidP="00A62686">
      <w:pPr>
        <w:spacing w:line="346" w:lineRule="auto"/>
        <w:ind w:left="567" w:hanging="567"/>
      </w:pPr>
      <w:r w:rsidRPr="00D0436F">
        <w:t>3.</w:t>
      </w:r>
      <w:r w:rsidRPr="00D0436F">
        <w:tab/>
        <w:t>Europeiska rådet noterar att de senaste betydande ökningarna av livsmedels- och energipriserna har bidragit till inflationstryck. I detta avseende erinrar Europeiska rådet om att det är nödvändigt att undvika snedvridande politik som hindrar de ekonomiska aktörerna från att vidta lämpliga anpassningar. Europeiska rådet uppmanar rådet att kartlägga de krafter som ligger bakom utvecklingen av råvaru- och livsmedelspriserna och att fortsätta att genomföra sådana EU</w:t>
      </w:r>
      <w:r w:rsidR="00B05EEB" w:rsidRPr="00D0436F">
        <w:noBreakHyphen/>
      </w:r>
      <w:r w:rsidRPr="00D0436F">
        <w:t>åtgärder och nationella åtgärder som undanröjer eventuella begränsningar av utbudet.</w:t>
      </w:r>
    </w:p>
    <w:p w:rsidR="00F229DA" w:rsidRPr="00D0436F" w:rsidRDefault="00F229DA" w:rsidP="00F229DA">
      <w:pPr>
        <w:spacing w:line="336" w:lineRule="auto"/>
      </w:pPr>
      <w:r w:rsidRPr="00D0436F">
        <w:br w:type="page"/>
      </w:r>
      <w:r w:rsidRPr="00D0436F">
        <w:rPr>
          <w:b/>
          <w:u w:val="single"/>
        </w:rPr>
        <w:t>INLEDNING AV DEN NYA TREÅRSPERIODEN (2008</w:t>
      </w:r>
      <w:r w:rsidRPr="00D0436F">
        <w:rPr>
          <w:b/>
          <w:u w:val="single"/>
        </w:rPr>
        <w:sym w:font="Symbol" w:char="F02D"/>
      </w:r>
      <w:r w:rsidRPr="00D0436F">
        <w:rPr>
          <w:b/>
          <w:u w:val="single"/>
        </w:rPr>
        <w:t>2010) FÖR DEN FÖRNYADE LISSABONSTRATEGIN FÖR TILLVÄXT OCH SYSSELSÄTTNING</w:t>
      </w:r>
    </w:p>
    <w:p w:rsidR="00F229DA" w:rsidRPr="00D0436F" w:rsidRDefault="00F229DA" w:rsidP="00F229DA">
      <w:pPr>
        <w:spacing w:line="336" w:lineRule="auto"/>
      </w:pPr>
    </w:p>
    <w:p w:rsidR="00F229DA" w:rsidRPr="00D0436F" w:rsidRDefault="00F229DA" w:rsidP="00F229DA">
      <w:pPr>
        <w:spacing w:line="336" w:lineRule="auto"/>
        <w:ind w:left="567" w:hanging="567"/>
      </w:pPr>
      <w:r w:rsidRPr="00D0436F">
        <w:t>4.</w:t>
      </w:r>
      <w:r w:rsidRPr="00D0436F">
        <w:tab/>
        <w:t>Med anledning av kommissionens strategirapport och mot bakgrund av arbetet i de berörda rådskonstellationerna inleder Europeiska rådet strategins andra treårsperiod genom att</w:t>
      </w:r>
    </w:p>
    <w:p w:rsidR="00F229DA" w:rsidRPr="00D0436F" w:rsidRDefault="00F229DA" w:rsidP="00F229DA">
      <w:pPr>
        <w:spacing w:line="240" w:lineRule="auto"/>
        <w:ind w:left="567" w:hanging="567"/>
      </w:pPr>
    </w:p>
    <w:p w:rsidR="00F229DA" w:rsidRPr="00D0436F" w:rsidRDefault="00F229DA" w:rsidP="00F229DA">
      <w:pPr>
        <w:spacing w:line="336" w:lineRule="auto"/>
        <w:ind w:left="1134" w:hanging="567"/>
        <w:rPr>
          <w:szCs w:val="24"/>
        </w:rPr>
      </w:pPr>
      <w:r w:rsidRPr="00D0436F">
        <w:sym w:font="Symbol" w:char="F02D"/>
      </w:r>
      <w:r w:rsidRPr="00D0436F">
        <w:tab/>
        <w:t>bekräfta att de nuvarande integrerade riktlinjerna (</w:t>
      </w:r>
      <w:r w:rsidRPr="00D0436F">
        <w:rPr>
          <w:szCs w:val="24"/>
        </w:rPr>
        <w:t>allmänna riktlinjer för medlemsstaternas och gemenskapens ekonomiska politik och riktlinjer för sysselsättningen) fortfarande är giltiga och bör ligga till grund för perioden 2008</w:t>
      </w:r>
      <w:r w:rsidRPr="00D0436F">
        <w:rPr>
          <w:szCs w:val="24"/>
        </w:rPr>
        <w:sym w:font="Symbol" w:char="F02D"/>
      </w:r>
      <w:r w:rsidRPr="00D0436F">
        <w:rPr>
          <w:szCs w:val="24"/>
        </w:rPr>
        <w:t>2010; rådet (Ekofin liksom sysselsättning, socialpolitik, hälso</w:t>
      </w:r>
      <w:r w:rsidRPr="00D0436F">
        <w:rPr>
          <w:szCs w:val="24"/>
        </w:rPr>
        <w:noBreakHyphen/>
        <w:t> och sjukvård samt konsumentfrågor) uppmanas att formellt anta de integrerade riktlinjerna i enlighet med fördraget,</w:t>
      </w:r>
    </w:p>
    <w:p w:rsidR="00F229DA" w:rsidRPr="00D0436F" w:rsidRDefault="00F229DA" w:rsidP="00F229DA">
      <w:pPr>
        <w:spacing w:line="240" w:lineRule="auto"/>
        <w:ind w:left="567" w:hanging="567"/>
      </w:pPr>
    </w:p>
    <w:p w:rsidR="00F229DA" w:rsidRPr="00D0436F" w:rsidRDefault="00F229DA" w:rsidP="00F229DA">
      <w:pPr>
        <w:spacing w:line="336" w:lineRule="auto"/>
        <w:ind w:left="1134" w:hanging="567"/>
        <w:rPr>
          <w:color w:val="000000"/>
        </w:rPr>
      </w:pPr>
      <w:r w:rsidRPr="00D0436F">
        <w:rPr>
          <w:szCs w:val="24"/>
        </w:rPr>
        <w:sym w:font="Symbol" w:char="F02D"/>
      </w:r>
      <w:r w:rsidRPr="00D0436F">
        <w:rPr>
          <w:szCs w:val="24"/>
        </w:rPr>
        <w:tab/>
        <w:t xml:space="preserve">godkänna de landspecifika rekommendationerna för medlemsstaternas och euroområdets ekonomiska politik och sysselsättningspolitik så som rådet på grundval av kommissionens förslag utformat dessa; rådet uppmanas att formellt anta dem; medlemsstaterna bör föreskriva </w:t>
      </w:r>
      <w:r w:rsidRPr="00D0436F">
        <w:rPr>
          <w:color w:val="000000"/>
        </w:rPr>
        <w:t>detaljerade och konkreta åtgärder för sina specifika politiska ansträngningar för att efterkomma de integrerade riktlinjerna, de landspecifika rekommendationerna och "frågorna att ge akt på" ("points to watch") i sina nationella reformprogram och de efterföljande årliga genomföranderapporterna; kommissionen uppmanas att även fortsättningsvis samarbeta med medlemsstaterna för att vidareutveckla tydliga och öppna metoder för övervakning och utvärdering av Lissabonreformerna,</w:t>
      </w:r>
    </w:p>
    <w:p w:rsidR="00F229DA" w:rsidRPr="00D0436F" w:rsidRDefault="00F229DA" w:rsidP="00F229DA">
      <w:pPr>
        <w:spacing w:line="240" w:lineRule="auto"/>
        <w:ind w:left="567" w:hanging="567"/>
      </w:pPr>
    </w:p>
    <w:p w:rsidR="00F229DA" w:rsidRPr="00D0436F" w:rsidRDefault="00F229DA" w:rsidP="00F229DA">
      <w:pPr>
        <w:spacing w:line="336" w:lineRule="auto"/>
        <w:ind w:left="1134" w:hanging="567"/>
        <w:rPr>
          <w:color w:val="000000"/>
        </w:rPr>
      </w:pPr>
      <w:r w:rsidRPr="00D0436F">
        <w:rPr>
          <w:color w:val="000000"/>
        </w:rPr>
        <w:sym w:font="Symbol" w:char="F02D"/>
      </w:r>
      <w:r w:rsidRPr="00D0436F">
        <w:rPr>
          <w:color w:val="000000"/>
        </w:rPr>
        <w:tab/>
        <w:t xml:space="preserve">med hänsyn till de prioriteringar som rådet fastställt och nedanstående konkreta åtgärder uppmana kommissionen, Europaparlamentet och rådet att, inom sina behörighetsområden, arbeta vidare med de tio mål som fastställs i gemenskapens Lissabonprogram och som utgör en strategisk reformagenda när det gäller gemenskapens del i den förnyade Lissabonstrategin. En årlig utvärdering av framstegen bör göras. </w:t>
      </w:r>
    </w:p>
    <w:p w:rsidR="00F229DA" w:rsidRPr="00D0436F" w:rsidRDefault="00F229DA" w:rsidP="00F229DA">
      <w:pPr>
        <w:spacing w:line="336" w:lineRule="auto"/>
        <w:ind w:left="1134" w:hanging="567"/>
        <w:rPr>
          <w:color w:val="000000"/>
        </w:rPr>
      </w:pPr>
    </w:p>
    <w:p w:rsidR="00F229DA" w:rsidRPr="00D0436F" w:rsidRDefault="00F229DA" w:rsidP="00F229DA">
      <w:pPr>
        <w:spacing w:line="336" w:lineRule="auto"/>
        <w:ind w:left="567" w:hanging="567"/>
        <w:rPr>
          <w:color w:val="000000"/>
        </w:rPr>
      </w:pPr>
      <w:r w:rsidRPr="00D0436F">
        <w:rPr>
          <w:color w:val="000000"/>
        </w:rPr>
        <w:t>5.</w:t>
      </w:r>
      <w:r w:rsidRPr="00D0436F">
        <w:rPr>
          <w:color w:val="000000"/>
        </w:rPr>
        <w:tab/>
        <w:t>Den nya perioden kommer att inriktas på genomförande. Europeiska rådet</w:t>
      </w:r>
    </w:p>
    <w:p w:rsidR="00F229DA" w:rsidRPr="00D0436F" w:rsidRDefault="00F229DA" w:rsidP="00F229DA">
      <w:pPr>
        <w:spacing w:line="240" w:lineRule="auto"/>
        <w:ind w:left="567" w:hanging="567"/>
      </w:pPr>
    </w:p>
    <w:p w:rsidR="00F229DA" w:rsidRPr="00D0436F" w:rsidRDefault="00F229DA" w:rsidP="00F229DA">
      <w:pPr>
        <w:spacing w:line="336" w:lineRule="auto"/>
        <w:ind w:left="1134" w:hanging="567"/>
        <w:rPr>
          <w:color w:val="000000"/>
        </w:rPr>
      </w:pPr>
      <w:r w:rsidRPr="00D0436F">
        <w:rPr>
          <w:color w:val="000000"/>
        </w:rPr>
        <w:sym w:font="Symbol" w:char="F02D"/>
      </w:r>
      <w:r w:rsidRPr="00D0436F">
        <w:rPr>
          <w:color w:val="000000"/>
        </w:rPr>
        <w:tab/>
        <w:t>bekräftar därför att de fyra prioriterade områden som godkändes vid dess vårmöte 2006 utgör hörnstenarna i den förnyade Lissabonstrategin och begär samtidigt att synergierna dem emellan ska utnyttjas i högre grad,</w:t>
      </w:r>
    </w:p>
    <w:p w:rsidR="00F229DA" w:rsidRPr="00D0436F" w:rsidRDefault="00F229DA" w:rsidP="00F229DA">
      <w:pPr>
        <w:ind w:left="1134" w:hanging="567"/>
        <w:rPr>
          <w:color w:val="000000"/>
        </w:rPr>
      </w:pPr>
      <w:r w:rsidRPr="00D0436F">
        <w:rPr>
          <w:color w:val="000000"/>
        </w:rPr>
        <w:br w:type="page"/>
      </w:r>
      <w:r w:rsidRPr="00D0436F">
        <w:rPr>
          <w:color w:val="000000"/>
        </w:rPr>
        <w:sym w:font="Symbol" w:char="F02D"/>
      </w:r>
      <w:r w:rsidRPr="00D0436F">
        <w:rPr>
          <w:color w:val="000000"/>
        </w:rPr>
        <w:tab/>
        <w:t>uppmanar kommissionen och medlemsstaterna att i samband med multilateral övervakning intensifiera utbytet av bästa metoder, särskilt genom att fullt ut använda de befintliga metoder för öppen och effektiv samordning som är särskilt viktiga inom euroområdet,</w:t>
      </w:r>
    </w:p>
    <w:p w:rsidR="00F229DA" w:rsidRPr="00D0436F" w:rsidRDefault="00F229DA" w:rsidP="00F229DA">
      <w:pPr>
        <w:ind w:left="1134" w:hanging="567"/>
        <w:rPr>
          <w:color w:val="000000"/>
        </w:rPr>
      </w:pPr>
    </w:p>
    <w:p w:rsidR="00F229DA" w:rsidRPr="00D0436F" w:rsidRDefault="00F229DA" w:rsidP="00F229DA">
      <w:pPr>
        <w:ind w:left="1134" w:hanging="567"/>
        <w:rPr>
          <w:color w:val="000000"/>
        </w:rPr>
      </w:pPr>
      <w:r w:rsidRPr="00D0436F">
        <w:rPr>
          <w:color w:val="000000"/>
        </w:rPr>
        <w:sym w:font="Symbol" w:char="F02D"/>
      </w:r>
      <w:r w:rsidRPr="00D0436F">
        <w:rPr>
          <w:color w:val="000000"/>
        </w:rPr>
        <w:tab/>
        <w:t>uppmanar kommissionen och medlemsstaterna att stärka de berörda parternas delaktighet i Lissabonprocessen,</w:t>
      </w:r>
    </w:p>
    <w:p w:rsidR="00F229DA" w:rsidRPr="00D0436F" w:rsidRDefault="00F229DA" w:rsidP="00F229DA">
      <w:pPr>
        <w:ind w:left="1134" w:hanging="567"/>
        <w:rPr>
          <w:color w:val="000000"/>
        </w:rPr>
      </w:pPr>
    </w:p>
    <w:p w:rsidR="00F229DA" w:rsidRPr="00D0436F" w:rsidRDefault="00F229DA" w:rsidP="00F229DA">
      <w:pPr>
        <w:ind w:left="1134" w:hanging="567"/>
        <w:rPr>
          <w:color w:val="000000"/>
        </w:rPr>
      </w:pPr>
      <w:r w:rsidRPr="00D0436F">
        <w:rPr>
          <w:color w:val="000000"/>
        </w:rPr>
        <w:sym w:font="Symbol" w:char="F02D"/>
      </w:r>
      <w:r w:rsidRPr="00D0436F">
        <w:rPr>
          <w:color w:val="000000"/>
        </w:rPr>
        <w:tab/>
        <w:t>erkänner den lokala och regionala nivåns betydelse när det gäller att skapa tillväxt och sysselsättning; ökat egenansvar för tillväxt</w:t>
      </w:r>
      <w:r w:rsidRPr="00D0436F">
        <w:rPr>
          <w:color w:val="000000"/>
        </w:rPr>
        <w:noBreakHyphen/>
        <w:t> och sysselsättningsagendan på alla statliga nivåer kommer att leda till mer konsekventa och effektiva politiska beslut,</w:t>
      </w:r>
    </w:p>
    <w:p w:rsidR="00F229DA" w:rsidRPr="00D0436F" w:rsidRDefault="00F229DA" w:rsidP="00F229DA">
      <w:pPr>
        <w:ind w:left="1134" w:hanging="567"/>
        <w:rPr>
          <w:color w:val="000000"/>
        </w:rPr>
      </w:pPr>
    </w:p>
    <w:p w:rsidR="00F229DA" w:rsidRPr="00D0436F" w:rsidRDefault="00F229DA" w:rsidP="00F229DA">
      <w:pPr>
        <w:ind w:left="1134" w:hanging="567"/>
        <w:rPr>
          <w:color w:val="000000"/>
        </w:rPr>
      </w:pPr>
      <w:r w:rsidRPr="00D0436F">
        <w:rPr>
          <w:color w:val="000000"/>
        </w:rPr>
        <w:sym w:font="Symbol" w:char="F02D"/>
      </w:r>
      <w:r w:rsidRPr="00D0436F">
        <w:rPr>
          <w:color w:val="000000"/>
        </w:rPr>
        <w:tab/>
        <w:t>betonar att ekonomisk, social och territoriell sammanhållning också bidrar till att uppnå målen för den förnyade Lissabonstrategin och välkomnar de framsteg som gjorts med att inrikta sammanhållningsfonderna på stöd till nationella reformprogram och genomförande av de integrerade riktlinjerna; nu när programplaneringsskedet är avslutat uppmanar Europeiska rådet medlemsstaterna att se till att utgifterna avspeglar de åtaganden om öronmärkning som gjorts,</w:t>
      </w:r>
    </w:p>
    <w:p w:rsidR="00F229DA" w:rsidRPr="00D0436F" w:rsidRDefault="00F229DA" w:rsidP="00F229DA">
      <w:pPr>
        <w:ind w:left="1134" w:hanging="567"/>
        <w:rPr>
          <w:color w:val="000000"/>
        </w:rPr>
      </w:pPr>
    </w:p>
    <w:p w:rsidR="00F229DA" w:rsidRPr="00D0436F" w:rsidRDefault="00F229DA" w:rsidP="00F229DA">
      <w:pPr>
        <w:ind w:left="1134" w:hanging="567"/>
        <w:rPr>
          <w:color w:val="000000"/>
        </w:rPr>
      </w:pPr>
      <w:r w:rsidRPr="00D0436F">
        <w:rPr>
          <w:color w:val="000000"/>
        </w:rPr>
        <w:sym w:font="Symbol" w:char="F02D"/>
      </w:r>
      <w:r w:rsidRPr="00D0436F">
        <w:rPr>
          <w:color w:val="000000"/>
        </w:rPr>
        <w:tab/>
        <w:t>framhåller vikten av makroekonomisk stabilitet när det gäller att gripa sig an utmaningar på längre sikt; EU:s budgetram, så som den definieras i den reviderade stabilitets</w:t>
      </w:r>
      <w:r w:rsidRPr="00D0436F">
        <w:rPr>
          <w:color w:val="000000"/>
        </w:rPr>
        <w:noBreakHyphen/>
        <w:t> och tillväxtpakten, tillhandahåller lämpliga verktyg i detta avseende; förbättringen av det övergripande budgetläget i EU ger det handlingsutrymme som krävs för att automatiska stabilisatorer ska kunna träda in om nedåtrisker skulle konkretiseras; länder som har uppnått sina mål på medellång sikt bör upprätthålla sitt strukturella saldo och alla länder som ännu inte uppnått målen på medellång sikt bör</w:t>
      </w:r>
      <w:r w:rsidRPr="00D0436F">
        <w:t xml:space="preserve"> </w:t>
      </w:r>
      <w:r w:rsidRPr="00D0436F">
        <w:rPr>
          <w:color w:val="000000"/>
          <w:szCs w:val="24"/>
          <w:lang w:eastAsia="sl-SI"/>
        </w:rPr>
        <w:t xml:space="preserve">i överensstämmelse med rådets yttranden om stabilitets- och konvergensprogrammen </w:t>
      </w:r>
      <w:r w:rsidRPr="00D0436F">
        <w:rPr>
          <w:color w:val="000000"/>
        </w:rPr>
        <w:t>påskynda takten när det gäller att minska underskott och skulder</w:t>
      </w:r>
      <w:r w:rsidRPr="00D0436F">
        <w:t xml:space="preserve"> </w:t>
      </w:r>
      <w:r w:rsidRPr="00D0436F">
        <w:rPr>
          <w:color w:val="000000"/>
        </w:rPr>
        <w:t xml:space="preserve">samt i detta syfte använda sig av eventuella icke förväntade inkomstöverskott; kvaliteten i de offentliga finanserna måste förbättras genom effektivare och ändamålsenligare offentliga utgifter och inkomster, </w:t>
      </w:r>
      <w:r w:rsidR="00F93B33" w:rsidRPr="00D0436F">
        <w:rPr>
          <w:color w:val="000000"/>
        </w:rPr>
        <w:t xml:space="preserve">inbegripet fortsatta ansträngningar för att motverka gränsöverskridande skatteflykt, </w:t>
      </w:r>
      <w:r w:rsidRPr="00D0436F">
        <w:rPr>
          <w:color w:val="000000"/>
        </w:rPr>
        <w:t>modernisering av den offentliga förvaltningen samt genom åtgärder i offentliga budgetar som främjar produktivitet, sysselsättning och innovation,</w:t>
      </w:r>
    </w:p>
    <w:p w:rsidR="00F229DA" w:rsidRPr="00D0436F" w:rsidRDefault="00F229DA" w:rsidP="00F229DA">
      <w:pPr>
        <w:ind w:left="1134" w:hanging="567"/>
        <w:rPr>
          <w:color w:val="000000"/>
        </w:rPr>
      </w:pPr>
      <w:r w:rsidRPr="00D0436F">
        <w:rPr>
          <w:color w:val="000000"/>
        </w:rPr>
        <w:br w:type="page"/>
        <w:t>–</w:t>
      </w:r>
      <w:r w:rsidRPr="00D0436F">
        <w:rPr>
          <w:color w:val="000000"/>
        </w:rPr>
        <w:tab/>
        <w:t>bekräftar på nytt vikten av EU:s sociala dimension som en integrerad del av Lissabonstrategin och framhåller särskilt behovet av att ytterligare integrera ekonomisk politik, sysselsättningspolitik och socialpolitik,</w:t>
      </w:r>
    </w:p>
    <w:p w:rsidR="00F229DA" w:rsidRPr="00D0436F" w:rsidRDefault="00F229DA" w:rsidP="00F229DA">
      <w:pPr>
        <w:ind w:left="1134" w:hanging="567"/>
        <w:rPr>
          <w:color w:val="000000"/>
        </w:rPr>
      </w:pPr>
    </w:p>
    <w:p w:rsidR="00F229DA" w:rsidRPr="00D0436F" w:rsidRDefault="00F229DA" w:rsidP="00F229DA">
      <w:pPr>
        <w:ind w:left="1134" w:hanging="567"/>
        <w:rPr>
          <w:color w:val="000000"/>
        </w:rPr>
      </w:pPr>
      <w:r w:rsidRPr="00D0436F">
        <w:rPr>
          <w:color w:val="000000"/>
        </w:rPr>
        <w:sym w:font="Symbol" w:char="F02D"/>
      </w:r>
      <w:r w:rsidRPr="00D0436F">
        <w:rPr>
          <w:color w:val="000000"/>
        </w:rPr>
        <w:tab/>
        <w:t>godkänner de konkreta åtgärder som anges nedan; i detta sammanhang stöder Europeiska rådet de viktiga budskap som lämnats av rådet i dess konstellationer Ekofin, konkurrenskraft, sysselsättning och socialpolitik, miljö samt utbildning och ungdom, liksom rådets slutsatser om översynen av den inre marknaden.</w:t>
      </w:r>
    </w:p>
    <w:p w:rsidR="00F229DA" w:rsidRPr="00D0436F" w:rsidRDefault="00F229DA" w:rsidP="00F229DA">
      <w:pPr>
        <w:ind w:left="567" w:hanging="567"/>
        <w:rPr>
          <w:color w:val="000000"/>
        </w:rPr>
      </w:pPr>
    </w:p>
    <w:p w:rsidR="00F229DA" w:rsidRPr="00D0436F" w:rsidRDefault="00F229DA" w:rsidP="00F229DA">
      <w:pPr>
        <w:ind w:left="567" w:hanging="567"/>
        <w:rPr>
          <w:color w:val="000000"/>
        </w:rPr>
      </w:pPr>
      <w:r w:rsidRPr="00D0436F">
        <w:rPr>
          <w:color w:val="000000"/>
        </w:rPr>
        <w:t>6.</w:t>
      </w:r>
      <w:r w:rsidRPr="00D0436F">
        <w:rPr>
          <w:color w:val="000000"/>
        </w:rPr>
        <w:tab/>
        <w:t>Europeiska rådet framhåller vidare att det efter 2010 kommer att krävas en fortsatt utfästelse på EU</w:t>
      </w:r>
      <w:r w:rsidRPr="00D0436F">
        <w:rPr>
          <w:color w:val="000000"/>
        </w:rPr>
        <w:noBreakHyphen/>
        <w:t>nivå om strukturreformer</w:t>
      </w:r>
      <w:r w:rsidR="00B82FF1" w:rsidRPr="00D0436F">
        <w:rPr>
          <w:color w:val="000000"/>
        </w:rPr>
        <w:t>,</w:t>
      </w:r>
      <w:r w:rsidRPr="00D0436F">
        <w:rPr>
          <w:color w:val="000000"/>
        </w:rPr>
        <w:t xml:space="preserve"> hållbar utveckling </w:t>
      </w:r>
      <w:r w:rsidR="00B82FF1" w:rsidRPr="00D0436F">
        <w:rPr>
          <w:color w:val="000000"/>
        </w:rPr>
        <w:t xml:space="preserve">och social sammanhållning </w:t>
      </w:r>
      <w:r w:rsidRPr="00D0436F">
        <w:rPr>
          <w:color w:val="000000"/>
        </w:rPr>
        <w:t>för att befästa de framsteg som gjorts med hjälp av den förnyade Lissabonstrategin för tillväxt och sysselsättning. Europeiska rådet uppmanar därför kommissionen, rådet och de nationella samordnarna för Lissabonstrategin</w:t>
      </w:r>
      <w:r w:rsidRPr="00D0436F">
        <w:t xml:space="preserve"> att börja överväga Lissabonstrategins framtid för perioden</w:t>
      </w:r>
      <w:r w:rsidRPr="00D0436F">
        <w:rPr>
          <w:color w:val="000000"/>
        </w:rPr>
        <w:t xml:space="preserve"> efter 2010.</w:t>
      </w:r>
    </w:p>
    <w:p w:rsidR="00F229DA" w:rsidRPr="00D0436F" w:rsidRDefault="00F229DA" w:rsidP="00F229DA">
      <w:pPr>
        <w:ind w:left="567" w:hanging="567"/>
        <w:rPr>
          <w:color w:val="000000"/>
        </w:rPr>
      </w:pPr>
    </w:p>
    <w:p w:rsidR="00F229DA" w:rsidRPr="00D0436F" w:rsidRDefault="00F229DA" w:rsidP="00F229DA">
      <w:pPr>
        <w:ind w:left="1134" w:hanging="567"/>
        <w:outlineLvl w:val="0"/>
        <w:rPr>
          <w:szCs w:val="24"/>
        </w:rPr>
      </w:pPr>
      <w:r w:rsidRPr="00D0436F">
        <w:rPr>
          <w:b/>
          <w:szCs w:val="24"/>
        </w:rPr>
        <w:t>Investera i kunskap och innovation</w:t>
      </w:r>
    </w:p>
    <w:p w:rsidR="00F229DA" w:rsidRPr="00D0436F" w:rsidRDefault="00F229DA" w:rsidP="00F229DA">
      <w:pPr>
        <w:ind w:left="567" w:hanging="567"/>
        <w:rPr>
          <w:szCs w:val="24"/>
        </w:rPr>
      </w:pPr>
    </w:p>
    <w:p w:rsidR="00F229DA" w:rsidRPr="00D0436F" w:rsidRDefault="00F229DA" w:rsidP="00F229DA">
      <w:pPr>
        <w:ind w:left="567" w:hanging="567"/>
        <w:rPr>
          <w:color w:val="000000"/>
        </w:rPr>
      </w:pPr>
      <w:r w:rsidRPr="00D0436F">
        <w:rPr>
          <w:szCs w:val="24"/>
        </w:rPr>
        <w:t>7.</w:t>
      </w:r>
      <w:r w:rsidRPr="00D0436F">
        <w:rPr>
          <w:szCs w:val="24"/>
        </w:rPr>
        <w:tab/>
        <w:t xml:space="preserve">En nyckelfaktor för framtida tillväxt är att potentialen för de europeiska medborgarnas innovation och kreativitet utvecklas fullt ut med utgångspunkt i europeisk kultur och vetenskaplig excellens. Efter det att Lissabonstrategin nystartades 2005 har gemensamma insatser lett till betydande framsteg i fråga om forskning, kunskap och innovation. Genomförandet av den brett baserade innovationsstrategin är avgörande för att förverkliga EU:s ambitioner på detta område. Man behöver snabbt arbeta vidare med samtliga </w:t>
      </w:r>
      <w:r w:rsidRPr="00D0436F">
        <w:t xml:space="preserve">prioriteringar inom strategin. </w:t>
      </w:r>
      <w:r w:rsidRPr="00D0436F">
        <w:rPr>
          <w:szCs w:val="24"/>
        </w:rPr>
        <w:t xml:space="preserve">Samtidigt måste ytterligare insatser göras, även inom den privata sektorn, för fler och effektivare investeringar i forskning, kreativitet, innovation och högre utbildning och för att </w:t>
      </w:r>
      <w:r w:rsidRPr="00D0436F">
        <w:rPr>
          <w:color w:val="000000"/>
        </w:rPr>
        <w:t>nå investeringsmålet för FoU på 3 %. Europeiska rådet framhåller följande åtgärder i fråga om vilka medlemsstaterna och gemenskapen uppmanas att göra snabba framsteg:</w:t>
      </w:r>
    </w:p>
    <w:p w:rsidR="00F229DA" w:rsidRPr="00D0436F" w:rsidRDefault="00F229DA" w:rsidP="00F229DA">
      <w:pPr>
        <w:ind w:left="1134" w:hanging="567"/>
        <w:rPr>
          <w:color w:val="000000"/>
        </w:rPr>
      </w:pPr>
      <w:r w:rsidRPr="00D0436F">
        <w:rPr>
          <w:color w:val="000000"/>
        </w:rPr>
        <w:sym w:font="Symbol" w:char="F0B7"/>
      </w:r>
      <w:r w:rsidRPr="00D0436F">
        <w:rPr>
          <w:color w:val="000000"/>
        </w:rPr>
        <w:tab/>
        <w:t>Medlemsstaterna uppmanas att i sina nationella reformprogram fastställa hur framsteg ska göras för att uppnå de nationella investeringsmålen för FoU och hur deras FoU</w:t>
      </w:r>
      <w:r w:rsidRPr="00D0436F">
        <w:rPr>
          <w:color w:val="000000"/>
        </w:rPr>
        <w:noBreakHyphen/>
        <w:t>strategier kommer att bidra till att förverkliga och bättre styra det europeiska forskningsområdet.</w:t>
      </w:r>
    </w:p>
    <w:p w:rsidR="00F229DA" w:rsidRPr="00D0436F" w:rsidRDefault="00F229DA" w:rsidP="00F229DA">
      <w:pPr>
        <w:ind w:left="1134" w:hanging="567"/>
        <w:rPr>
          <w:color w:val="000000"/>
        </w:rPr>
      </w:pPr>
      <w:r w:rsidRPr="00D0436F">
        <w:rPr>
          <w:color w:val="000000"/>
        </w:rPr>
        <w:br w:type="page"/>
      </w:r>
      <w:r w:rsidRPr="00D0436F">
        <w:rPr>
          <w:color w:val="000000"/>
        </w:rPr>
        <w:sym w:font="Symbol" w:char="F0B7"/>
      </w:r>
      <w:r w:rsidRPr="00D0436F">
        <w:rPr>
          <w:color w:val="000000"/>
        </w:rPr>
        <w:tab/>
        <w:t>Nyckelprojekt som Galileo, Europeiska institutet för innovation och teknik (EIT), det europeiska forskningsrådet, finansieringsfaciliteten med riskdelning och de gemensamma teknikinitiativen måste snabbt genomföras alternativt inrättas eller främjas i högre grad. Beslut om artikel 169</w:t>
      </w:r>
      <w:r w:rsidRPr="00D0436F">
        <w:rPr>
          <w:color w:val="000000"/>
        </w:rPr>
        <w:noBreakHyphen/>
        <w:t>initiativ och kompletterande forskningsinitiativ bör fattas så snart som möjligt.</w:t>
      </w:r>
    </w:p>
    <w:p w:rsidR="00F229DA" w:rsidRPr="00D0436F" w:rsidRDefault="00F229DA" w:rsidP="00F229DA">
      <w:pPr>
        <w:ind w:left="1134" w:hanging="567"/>
        <w:rPr>
          <w:color w:val="000000"/>
        </w:rPr>
      </w:pPr>
      <w:r w:rsidRPr="00D0436F">
        <w:rPr>
          <w:color w:val="000000"/>
        </w:rPr>
        <w:sym w:font="Symbol" w:char="F0B7"/>
      </w:r>
      <w:r w:rsidRPr="00D0436F">
        <w:rPr>
          <w:color w:val="000000"/>
        </w:rPr>
        <w:tab/>
        <w:t>Vetenskaplig e</w:t>
      </w:r>
      <w:r w:rsidRPr="00D0436F">
        <w:rPr>
          <w:color w:val="000000"/>
        </w:rPr>
        <w:noBreakHyphen/>
        <w:t>infrastruktur och användning av höghastighetsinternet måste ökas i betydande omfattning. Medlemsstaterna bör ha som mål att sådana Internetförbindelser senast 2010 ska vara tillgängliga i alla skolor samt att i sina nationella reformprogram fastställa ambitiösa nationella mål för hushållens tillgång.</w:t>
      </w:r>
    </w:p>
    <w:p w:rsidR="00F229DA" w:rsidRPr="00D0436F" w:rsidRDefault="00F229DA" w:rsidP="00F229DA">
      <w:pPr>
        <w:ind w:left="1134" w:hanging="567"/>
        <w:rPr>
          <w:color w:val="000000"/>
        </w:rPr>
      </w:pPr>
      <w:r w:rsidRPr="00D0436F">
        <w:rPr>
          <w:color w:val="000000"/>
        </w:rPr>
        <w:sym w:font="Symbol" w:char="F0B7"/>
      </w:r>
      <w:r w:rsidRPr="00D0436F">
        <w:rPr>
          <w:color w:val="000000"/>
        </w:rPr>
        <w:tab/>
        <w:t>En EU</w:t>
      </w:r>
      <w:r w:rsidRPr="00D0436F">
        <w:rPr>
          <w:color w:val="000000"/>
        </w:rPr>
        <w:noBreakHyphen/>
        <w:t>omfattande marknad för riskkapital till de mest innovativa företagen måste främjas. I detta avseende ska Europeiska investeringsfonden spela en nyckelroll för finansieringen av innovativa små och medelstora företag.</w:t>
      </w:r>
    </w:p>
    <w:p w:rsidR="00F229DA" w:rsidRPr="00D0436F" w:rsidRDefault="00F229DA" w:rsidP="00F229DA">
      <w:pPr>
        <w:ind w:left="1134" w:hanging="567"/>
        <w:rPr>
          <w:color w:val="000000"/>
        </w:rPr>
      </w:pPr>
      <w:r w:rsidRPr="00D0436F">
        <w:rPr>
          <w:color w:val="000000"/>
        </w:rPr>
        <w:sym w:font="Symbol" w:char="F0B7"/>
      </w:r>
      <w:r w:rsidRPr="00D0436F">
        <w:rPr>
          <w:color w:val="000000"/>
        </w:rPr>
        <w:tab/>
        <w:t>Insatserna för att förbättra ramvillkoren för innovation bör samordnas på ett bättre sätt, bland annat genom förbättrade kopplingar mellan vetenskap och industri samt innovativationskluster av världsklass och utveckling av regionala kluster och nätverk.</w:t>
      </w:r>
    </w:p>
    <w:p w:rsidR="00F229DA" w:rsidRPr="00D0436F" w:rsidRDefault="00F229DA" w:rsidP="00F229DA">
      <w:pPr>
        <w:ind w:left="1134" w:hanging="567"/>
        <w:rPr>
          <w:color w:val="000000"/>
        </w:rPr>
      </w:pPr>
      <w:r w:rsidRPr="00D0436F">
        <w:rPr>
          <w:color w:val="000000"/>
        </w:rPr>
        <w:sym w:font="Symbol" w:char="F0B7"/>
      </w:r>
      <w:r w:rsidRPr="00D0436F">
        <w:rPr>
          <w:color w:val="000000"/>
        </w:rPr>
        <w:tab/>
        <w:t>Särskild uppmärksamhet bör ägnas åt andra initiativ till gemensam programplanering av forskning, ömsesidigt kompletterande internationella strategier för samarbete mellan vetenskap och teknik samt förstärkt infrastruktur för forskning av alleuropeiskt intresse.</w:t>
      </w:r>
    </w:p>
    <w:p w:rsidR="00F229DA" w:rsidRPr="00D0436F" w:rsidRDefault="00F229DA" w:rsidP="00F229DA">
      <w:pPr>
        <w:ind w:left="1134" w:hanging="567"/>
        <w:rPr>
          <w:color w:val="000000"/>
        </w:rPr>
      </w:pPr>
      <w:r w:rsidRPr="00D0436F">
        <w:rPr>
          <w:color w:val="000000"/>
        </w:rPr>
        <w:sym w:font="Symbol" w:char="F0B7"/>
      </w:r>
      <w:r w:rsidRPr="00D0436F">
        <w:rPr>
          <w:color w:val="000000"/>
        </w:rPr>
        <w:tab/>
        <w:t>Universiteten bör ges möjlighet att utveckla partnerskap med näringslivet för att på så sätt dra fördel av kompletterande finansiering från den privata sektorn.</w:t>
      </w:r>
    </w:p>
    <w:p w:rsidR="00F229DA" w:rsidRPr="00D0436F" w:rsidRDefault="00F229DA" w:rsidP="00F229DA">
      <w:pPr>
        <w:ind w:left="567" w:hanging="567"/>
        <w:rPr>
          <w:color w:val="000000"/>
        </w:rPr>
      </w:pPr>
    </w:p>
    <w:p w:rsidR="00F229DA" w:rsidRPr="00D0436F" w:rsidRDefault="00F229DA" w:rsidP="00F229DA">
      <w:pPr>
        <w:ind w:left="567" w:hanging="567"/>
        <w:rPr>
          <w:color w:val="000000"/>
        </w:rPr>
      </w:pPr>
      <w:r w:rsidRPr="00D0436F">
        <w:rPr>
          <w:color w:val="000000"/>
        </w:rPr>
        <w:t>8.</w:t>
      </w:r>
      <w:r w:rsidRPr="00D0436F">
        <w:rPr>
          <w:color w:val="000000"/>
        </w:rPr>
        <w:tab/>
        <w:t>För att bli en verkligt modern och konkurrenskraftig ekonomi och bygga vidare på det arbete som gjorts med framtida vetenskap och teknik samt med moderniseringen av universiteten måste EU och medlemsstaterna undanröja hindren för fri rörlighet för kunskap genom att skapa en "</w:t>
      </w:r>
      <w:r w:rsidRPr="00D0436F">
        <w:rPr>
          <w:b/>
          <w:color w:val="000000"/>
        </w:rPr>
        <w:t>femte frihet</w:t>
      </w:r>
      <w:r w:rsidRPr="00D0436F">
        <w:rPr>
          <w:color w:val="000000"/>
        </w:rPr>
        <w:t>" som grundar sig på följande åtgärder:</w:t>
      </w:r>
    </w:p>
    <w:p w:rsidR="00F229DA" w:rsidRPr="00D0436F" w:rsidRDefault="00F229DA" w:rsidP="00F229DA">
      <w:pPr>
        <w:ind w:left="1134" w:hanging="567"/>
        <w:rPr>
          <w:color w:val="000000"/>
        </w:rPr>
      </w:pPr>
      <w:r w:rsidRPr="00D0436F">
        <w:rPr>
          <w:color w:val="000000"/>
        </w:rPr>
        <w:sym w:font="Symbol" w:char="F0B7"/>
      </w:r>
      <w:r w:rsidRPr="00D0436F">
        <w:rPr>
          <w:color w:val="000000"/>
        </w:rPr>
        <w:tab/>
        <w:t>Att öka den gränsöverskridande rörligheten för forskare, studenter, vetenskapsmän och universitetslärare.</w:t>
      </w:r>
    </w:p>
    <w:p w:rsidR="00F229DA" w:rsidRPr="00D0436F" w:rsidRDefault="00F229DA" w:rsidP="00F229DA">
      <w:pPr>
        <w:ind w:left="1134" w:hanging="567"/>
        <w:rPr>
          <w:color w:val="000000"/>
        </w:rPr>
      </w:pPr>
      <w:r w:rsidRPr="00D0436F">
        <w:rPr>
          <w:color w:val="000000"/>
        </w:rPr>
        <w:sym w:font="Symbol" w:char="F0B7"/>
      </w:r>
      <w:r w:rsidRPr="00D0436F">
        <w:rPr>
          <w:color w:val="000000"/>
        </w:rPr>
        <w:tab/>
        <w:t>Att göra arbetsmarknaden för europeiska forskare öppnare och mer konkurrenskraftig genom att erbjuda bättre karriärmöjligheter, öppenhet och familjevänliga förhållanden.</w:t>
      </w:r>
    </w:p>
    <w:p w:rsidR="00F229DA" w:rsidRPr="00D0436F" w:rsidRDefault="00F229DA" w:rsidP="00F229DA">
      <w:pPr>
        <w:ind w:left="1134" w:hanging="567"/>
        <w:rPr>
          <w:color w:val="000000"/>
        </w:rPr>
      </w:pPr>
      <w:r w:rsidRPr="00D0436F">
        <w:rPr>
          <w:color w:val="000000"/>
        </w:rPr>
        <w:sym w:font="Symbol" w:char="F0B7"/>
      </w:r>
      <w:r w:rsidRPr="00D0436F">
        <w:rPr>
          <w:color w:val="000000"/>
        </w:rPr>
        <w:tab/>
        <w:t>Att främja ytterligare reformer av den högre utbildningen.</w:t>
      </w:r>
    </w:p>
    <w:p w:rsidR="00F229DA" w:rsidRPr="00D0436F" w:rsidRDefault="00F229DA" w:rsidP="00F229DA">
      <w:pPr>
        <w:ind w:left="1134" w:hanging="567"/>
        <w:rPr>
          <w:color w:val="000000"/>
        </w:rPr>
      </w:pPr>
      <w:r w:rsidRPr="00D0436F">
        <w:rPr>
          <w:color w:val="000000"/>
        </w:rPr>
        <w:br w:type="page"/>
      </w:r>
      <w:r w:rsidRPr="00D0436F">
        <w:rPr>
          <w:color w:val="000000"/>
        </w:rPr>
        <w:sym w:font="Symbol" w:char="F0B7"/>
      </w:r>
      <w:r w:rsidRPr="00D0436F">
        <w:rPr>
          <w:color w:val="000000"/>
        </w:rPr>
        <w:tab/>
        <w:t>Att underlätta och främja optimal användning av immateriella rättigheter som innehas av offentliga forskningsinstitutioner för att förbättra överföringen av kunskap till näringslivet, särskilt genom en immaterialrättsstadga som bör antas före årsskiftet.</w:t>
      </w:r>
    </w:p>
    <w:p w:rsidR="00F229DA" w:rsidRPr="00D0436F" w:rsidRDefault="00F229DA" w:rsidP="00F229DA">
      <w:pPr>
        <w:ind w:left="1134" w:hanging="567"/>
        <w:rPr>
          <w:color w:val="000000"/>
        </w:rPr>
      </w:pPr>
      <w:r w:rsidRPr="00D0436F">
        <w:rPr>
          <w:color w:val="000000"/>
        </w:rPr>
        <w:sym w:font="Symbol" w:char="F0B7"/>
      </w:r>
      <w:r w:rsidRPr="00D0436F">
        <w:rPr>
          <w:color w:val="000000"/>
        </w:rPr>
        <w:tab/>
        <w:t>Att uppmuntra öppen tillgång till kunskap och öppen innovation.</w:t>
      </w:r>
    </w:p>
    <w:p w:rsidR="00F229DA" w:rsidRPr="00D0436F" w:rsidRDefault="00F229DA" w:rsidP="00F229DA">
      <w:pPr>
        <w:ind w:left="1134" w:hanging="567"/>
        <w:rPr>
          <w:color w:val="000000"/>
        </w:rPr>
      </w:pPr>
      <w:r w:rsidRPr="00D0436F">
        <w:rPr>
          <w:color w:val="000000"/>
        </w:rPr>
        <w:sym w:font="Symbol" w:char="F0B7"/>
      </w:r>
      <w:r w:rsidRPr="00D0436F">
        <w:rPr>
          <w:color w:val="000000"/>
        </w:rPr>
        <w:tab/>
        <w:t>Att främja vetenskaplig excellens.</w:t>
      </w:r>
    </w:p>
    <w:p w:rsidR="00F229DA" w:rsidRPr="00D0436F" w:rsidRDefault="00F229DA" w:rsidP="00802FE0">
      <w:pPr>
        <w:pStyle w:val="Par-number11"/>
        <w:numPr>
          <w:ilvl w:val="0"/>
          <w:numId w:val="16"/>
        </w:numPr>
        <w:tabs>
          <w:tab w:val="left" w:pos="1134"/>
        </w:tabs>
        <w:suppressAutoHyphens/>
      </w:pPr>
      <w:r w:rsidRPr="00D0436F">
        <w:rPr>
          <w:color w:val="000000"/>
        </w:rPr>
        <w:t>Att påbörja en ny generation av forskningsanläggningar av världsklass.</w:t>
      </w:r>
      <w:r w:rsidRPr="00D0436F">
        <w:t xml:space="preserve"> </w:t>
      </w:r>
    </w:p>
    <w:p w:rsidR="00F229DA" w:rsidRPr="00D0436F" w:rsidRDefault="00F229DA" w:rsidP="00802FE0">
      <w:pPr>
        <w:pStyle w:val="Par-bullet"/>
        <w:numPr>
          <w:ilvl w:val="0"/>
          <w:numId w:val="1"/>
        </w:numPr>
        <w:tabs>
          <w:tab w:val="clear" w:pos="567"/>
          <w:tab w:val="num" w:pos="1134"/>
        </w:tabs>
        <w:ind w:left="1134"/>
      </w:pPr>
      <w:r w:rsidRPr="00D0436F">
        <w:t>Att främja ömsesidigt erkännande av kvalifikationer.</w:t>
      </w:r>
    </w:p>
    <w:p w:rsidR="00F229DA" w:rsidRPr="00D0436F" w:rsidRDefault="00F229DA" w:rsidP="00F229DA">
      <w:pPr>
        <w:ind w:left="1134" w:hanging="567"/>
        <w:rPr>
          <w:color w:val="000000"/>
        </w:rPr>
      </w:pPr>
    </w:p>
    <w:p w:rsidR="00F229DA" w:rsidRPr="00D0436F" w:rsidRDefault="00F229DA" w:rsidP="00F229DA">
      <w:pPr>
        <w:ind w:left="1134" w:hanging="567"/>
        <w:outlineLvl w:val="0"/>
        <w:rPr>
          <w:szCs w:val="24"/>
        </w:rPr>
      </w:pPr>
      <w:r w:rsidRPr="00D0436F">
        <w:rPr>
          <w:b/>
          <w:szCs w:val="24"/>
        </w:rPr>
        <w:t>Frigöra företagspotentialen, särskilt hos små och medelstora företag</w:t>
      </w:r>
    </w:p>
    <w:p w:rsidR="00F229DA" w:rsidRPr="00D0436F" w:rsidRDefault="00F229DA" w:rsidP="00F229DA">
      <w:pPr>
        <w:ind w:left="567" w:hanging="567"/>
        <w:rPr>
          <w:szCs w:val="24"/>
        </w:rPr>
      </w:pPr>
    </w:p>
    <w:p w:rsidR="00F229DA" w:rsidRPr="00D0436F" w:rsidRDefault="00F229DA" w:rsidP="00F229DA">
      <w:pPr>
        <w:ind w:left="567" w:hanging="567"/>
        <w:rPr>
          <w:szCs w:val="24"/>
        </w:rPr>
      </w:pPr>
      <w:r w:rsidRPr="00D0436F">
        <w:rPr>
          <w:szCs w:val="24"/>
        </w:rPr>
        <w:t>9.</w:t>
      </w:r>
      <w:r w:rsidRPr="00D0436F">
        <w:rPr>
          <w:szCs w:val="24"/>
        </w:rPr>
        <w:tab/>
        <w:t xml:space="preserve">Beslut som fattats sedan Lissabonstrategin förnyades har börjat förbättra villkoren för marknadsaktörerna. Det har blivit lättare att starta företag eftersom alla medlemsstater har inrättat en enda kontaktpunkt eller liknande arrangemang för att underlätta registrering och minska pappersarbete. Europeiska rådet välkomnar de framsteg som under 2007 gjordes med </w:t>
      </w:r>
      <w:r w:rsidRPr="00D0436F">
        <w:rPr>
          <w:b/>
          <w:szCs w:val="24"/>
        </w:rPr>
        <w:t>bättre lagstiftning</w:t>
      </w:r>
      <w:r w:rsidRPr="00D0436F">
        <w:rPr>
          <w:szCs w:val="24"/>
        </w:rPr>
        <w:t xml:space="preserve"> och anser att det krävs ytterligare insatser för att detta ska leda till avgörande förbättringar av EU</w:t>
      </w:r>
      <w:r w:rsidRPr="00D0436F">
        <w:rPr>
          <w:szCs w:val="24"/>
        </w:rPr>
        <w:noBreakHyphen/>
        <w:t>företagens konkurrenskraft, särskilt för små och medelstora företag. Varje rådskonstellation bör i sitt lagstiftningsarbete högprioritera bättre lagstiftning. För att initiativet bättre lagstiftning ska leda till verkliga och betydande ekonomiska fördelar bör</w:t>
      </w:r>
    </w:p>
    <w:p w:rsidR="00F229DA" w:rsidRPr="00D0436F" w:rsidRDefault="00F229DA" w:rsidP="00F229DA">
      <w:pPr>
        <w:ind w:left="1134" w:hanging="567"/>
        <w:rPr>
          <w:szCs w:val="24"/>
        </w:rPr>
      </w:pPr>
      <w:r w:rsidRPr="00D0436F">
        <w:rPr>
          <w:szCs w:val="24"/>
        </w:rPr>
        <w:sym w:font="Symbol" w:char="F0B7"/>
      </w:r>
      <w:r w:rsidRPr="00D0436F">
        <w:rPr>
          <w:szCs w:val="24"/>
        </w:rPr>
        <w:tab/>
        <w:t>arbetet med att senast till 2012 minska de av EU</w:t>
      </w:r>
      <w:r w:rsidR="00B05EEB" w:rsidRPr="00D0436F">
        <w:rPr>
          <w:szCs w:val="24"/>
        </w:rPr>
        <w:noBreakHyphen/>
      </w:r>
      <w:r w:rsidRPr="00D0436F">
        <w:rPr>
          <w:szCs w:val="24"/>
        </w:rPr>
        <w:t xml:space="preserve">lagstiftningen orsakade administrativa bördorna med 25 % påskyndas i överensstämmelse med Europeiska rådets slutsatser från mars 2007; utseendet av en </w:t>
      </w:r>
      <w:r w:rsidR="0003385A" w:rsidRPr="00D0436F">
        <w:rPr>
          <w:szCs w:val="24"/>
        </w:rPr>
        <w:t xml:space="preserve">rådgivande </w:t>
      </w:r>
      <w:r w:rsidRPr="00D0436F">
        <w:rPr>
          <w:szCs w:val="24"/>
        </w:rPr>
        <w:t xml:space="preserve">grupp av </w:t>
      </w:r>
      <w:r w:rsidR="0003385A" w:rsidRPr="00D0436F">
        <w:rPr>
          <w:szCs w:val="24"/>
        </w:rPr>
        <w:t xml:space="preserve">fristående </w:t>
      </w:r>
      <w:r w:rsidRPr="00D0436F">
        <w:rPr>
          <w:szCs w:val="24"/>
        </w:rPr>
        <w:t xml:space="preserve">berörda parter inom ramen för åtgärdsprogrammet välkomnas; framstegen kommer att utvärderas vid vårmötet 2009 på grundval av kommissionens </w:t>
      </w:r>
      <w:r w:rsidRPr="00D0436F">
        <w:rPr>
          <w:i/>
          <w:szCs w:val="24"/>
        </w:rPr>
        <w:t>strategiska utvärdering av bättre lagstiftning</w:t>
      </w:r>
      <w:r w:rsidRPr="00D0436F">
        <w:rPr>
          <w:szCs w:val="24"/>
        </w:rPr>
        <w:t>,</w:t>
      </w:r>
    </w:p>
    <w:p w:rsidR="00F229DA" w:rsidRPr="00D0436F" w:rsidRDefault="00F229DA" w:rsidP="00F229DA">
      <w:pPr>
        <w:ind w:left="1134" w:hanging="567"/>
        <w:rPr>
          <w:szCs w:val="24"/>
        </w:rPr>
      </w:pPr>
      <w:r w:rsidRPr="00D0436F">
        <w:rPr>
          <w:szCs w:val="24"/>
        </w:rPr>
        <w:sym w:font="Symbol" w:char="F0B7"/>
      </w:r>
      <w:r w:rsidRPr="00D0436F">
        <w:rPr>
          <w:szCs w:val="24"/>
        </w:rPr>
        <w:tab/>
        <w:t>man snabbt anta de lagstiftningsförslag enligt det påskyndade förfarandet om vilka beslut ännu inte fattats samt ta fram nya sådana; kommissionen bör också fortsätta att fortlöpande lägga fram förslag till minskade administrativa bördor; genomförandet av det rullande förenklingsprogrammet bör fortsätta,</w:t>
      </w:r>
    </w:p>
    <w:p w:rsidR="00F229DA" w:rsidRPr="00D0436F" w:rsidRDefault="00F229DA" w:rsidP="00F229DA">
      <w:pPr>
        <w:ind w:left="1134" w:hanging="567"/>
        <w:rPr>
          <w:szCs w:val="24"/>
        </w:rPr>
      </w:pPr>
      <w:r w:rsidRPr="00D0436F">
        <w:rPr>
          <w:szCs w:val="24"/>
        </w:rPr>
        <w:sym w:font="Symbol" w:char="F0B7"/>
      </w:r>
      <w:r w:rsidRPr="00D0436F">
        <w:rPr>
          <w:szCs w:val="24"/>
        </w:rPr>
        <w:tab/>
        <w:t>fler insatser göras för att utveckla EU</w:t>
      </w:r>
      <w:r w:rsidRPr="00D0436F">
        <w:rPr>
          <w:szCs w:val="24"/>
        </w:rPr>
        <w:noBreakHyphen/>
        <w:t>institutionernas kapacitet i fråga om konsekvensbedömning, i överensstämmelse med relevanta viktiga budskap från rådet (konkurrenskraft).</w:t>
      </w:r>
    </w:p>
    <w:p w:rsidR="00F229DA" w:rsidRPr="00D0436F" w:rsidRDefault="00F229DA" w:rsidP="00F229DA">
      <w:pPr>
        <w:ind w:left="1134" w:hanging="567"/>
        <w:rPr>
          <w:szCs w:val="24"/>
        </w:rPr>
      </w:pPr>
    </w:p>
    <w:p w:rsidR="00F229DA" w:rsidRPr="00D0436F" w:rsidRDefault="00F229DA" w:rsidP="00F229DA">
      <w:pPr>
        <w:spacing w:line="336" w:lineRule="auto"/>
        <w:ind w:left="567" w:hanging="567"/>
        <w:rPr>
          <w:bCs/>
          <w:color w:val="000000"/>
        </w:rPr>
      </w:pPr>
      <w:r w:rsidRPr="00D0436F">
        <w:rPr>
          <w:szCs w:val="24"/>
        </w:rPr>
        <w:br w:type="page"/>
        <w:t>10.</w:t>
      </w:r>
      <w:r w:rsidRPr="00D0436F">
        <w:rPr>
          <w:szCs w:val="24"/>
        </w:rPr>
        <w:tab/>
      </w:r>
      <w:r w:rsidRPr="00D0436F">
        <w:rPr>
          <w:bCs/>
          <w:color w:val="000000"/>
        </w:rPr>
        <w:t xml:space="preserve">Den </w:t>
      </w:r>
      <w:r w:rsidRPr="00D0436F">
        <w:rPr>
          <w:b/>
          <w:bCs/>
          <w:color w:val="000000"/>
        </w:rPr>
        <w:t>inre marknaden</w:t>
      </w:r>
      <w:r w:rsidRPr="00D0436F">
        <w:rPr>
          <w:bCs/>
          <w:color w:val="000000"/>
        </w:rPr>
        <w:t xml:space="preserve"> är en avgörande drivkraft för att förbättra de europeiska medborgarnas levnadsstandard och Europas konkurrenskraft i den globaliserade ekonomin. För att ytterligare förbättra den inre marknadens funktion, så att företagen – särskilt små och medelstora företag </w:t>
      </w:r>
      <w:r w:rsidRPr="00D0436F">
        <w:rPr>
          <w:bCs/>
          <w:color w:val="000000"/>
        </w:rPr>
        <w:sym w:font="Symbol" w:char="F02D"/>
      </w:r>
      <w:r w:rsidRPr="00D0436F">
        <w:rPr>
          <w:bCs/>
          <w:color w:val="000000"/>
        </w:rPr>
        <w:t xml:space="preserve"> och konsumenterna fullt ut ska kunna dra nytta av den inre marknadens potential måste följande åtgärder vidtas som omedelbara prioriteringar:</w:t>
      </w:r>
    </w:p>
    <w:p w:rsidR="00F229DA" w:rsidRPr="00D0436F" w:rsidRDefault="00F229DA" w:rsidP="00F229DA">
      <w:pPr>
        <w:spacing w:line="336" w:lineRule="auto"/>
        <w:ind w:left="1134" w:hanging="567"/>
        <w:rPr>
          <w:bCs/>
          <w:color w:val="000000"/>
        </w:rPr>
      </w:pPr>
      <w:r w:rsidRPr="00D0436F">
        <w:rPr>
          <w:bCs/>
          <w:color w:val="000000"/>
        </w:rPr>
        <w:sym w:font="Symbol" w:char="F0B7"/>
      </w:r>
      <w:r w:rsidRPr="00D0436F">
        <w:rPr>
          <w:bCs/>
          <w:color w:val="000000"/>
        </w:rPr>
        <w:tab/>
        <w:t>Att säkerställa en effektiv årlig uppföljning av kommissionens översyn av den inre marknaden med inriktning på de åtgärder som krävs för att öka tillväxt och sysselsättning genom att undanröja kvarstående hinder för fördragets fyra friheter, vid behov bland annat genom harmonisering och ömsesidigt erkännande. I detta sammanhang bör marknadsutvecklingen övervakas för att åtgärder på marknader där det finns verkliga och betydande hinder för en fungerande marknad och konkurrens ska kunna prioriteras. Vederbörlig uppmärksamhet bör också ägnas åt den sociala dimensionen och allmännyttiga tjänster.</w:t>
      </w:r>
    </w:p>
    <w:p w:rsidR="00F229DA" w:rsidRPr="00D0436F" w:rsidRDefault="00F229DA" w:rsidP="00F229DA">
      <w:pPr>
        <w:spacing w:line="336" w:lineRule="auto"/>
        <w:ind w:left="1134" w:hanging="567"/>
        <w:rPr>
          <w:bCs/>
          <w:color w:val="000000"/>
        </w:rPr>
      </w:pPr>
      <w:r w:rsidRPr="00D0436F">
        <w:rPr>
          <w:bCs/>
          <w:color w:val="000000"/>
        </w:rPr>
        <w:sym w:font="Symbol" w:char="F0B7"/>
      </w:r>
      <w:r w:rsidRPr="00D0436F">
        <w:rPr>
          <w:bCs/>
          <w:color w:val="000000"/>
        </w:rPr>
        <w:tab/>
        <w:t>Att öka insatserna för att stärka konkurrensen i nätverksindustrin (energi, elektronisk kommunikation) och anta lämpliga regelverk för detta. I detta sammanhang måste arbetet med sammanlänkningar fortsätta och påskyndas.</w:t>
      </w:r>
    </w:p>
    <w:p w:rsidR="00F229DA" w:rsidRPr="00D0436F" w:rsidRDefault="00F229DA" w:rsidP="00F229DA">
      <w:pPr>
        <w:spacing w:line="336" w:lineRule="auto"/>
        <w:ind w:left="1134" w:hanging="567"/>
        <w:rPr>
          <w:color w:val="000000"/>
        </w:rPr>
      </w:pPr>
      <w:r w:rsidRPr="00D0436F">
        <w:rPr>
          <w:bCs/>
          <w:color w:val="000000"/>
        </w:rPr>
        <w:sym w:font="Symbol" w:char="F0B7"/>
      </w:r>
      <w:r w:rsidRPr="00D0436F">
        <w:rPr>
          <w:bCs/>
          <w:color w:val="000000"/>
        </w:rPr>
        <w:tab/>
        <w:t xml:space="preserve">Att säkerställa </w:t>
      </w:r>
      <w:r w:rsidRPr="00D0436F">
        <w:rPr>
          <w:color w:val="000000"/>
        </w:rPr>
        <w:t>ett fullständigt, konsekvent och snabbt genomförande av tjänstedirektivet</w:t>
      </w:r>
      <w:r w:rsidRPr="00D0436F">
        <w:rPr>
          <w:bCs/>
          <w:color w:val="000000"/>
        </w:rPr>
        <w:t>, vilket är ett viktigt steg på vägen mot en verklig inre marknad för tjänster. I detta sammanhang är det synnerligen viktigt att förbättra e</w:t>
      </w:r>
      <w:r w:rsidRPr="00D0436F">
        <w:rPr>
          <w:bCs/>
          <w:color w:val="000000"/>
        </w:rPr>
        <w:noBreakHyphen/>
        <w:t xml:space="preserve">inremarknadens funktion genom att införa gränsöverskridande </w:t>
      </w:r>
      <w:r w:rsidRPr="00D0436F">
        <w:rPr>
          <w:color w:val="000000"/>
        </w:rPr>
        <w:t>kompatibla lösningar för elektronisk signatur och e</w:t>
      </w:r>
      <w:r w:rsidR="00B05EEB" w:rsidRPr="00D0436F">
        <w:rPr>
          <w:color w:val="000000"/>
        </w:rPr>
        <w:noBreakHyphen/>
      </w:r>
      <w:r w:rsidRPr="00D0436F">
        <w:rPr>
          <w:color w:val="000000"/>
        </w:rPr>
        <w:t>autentisering.</w:t>
      </w:r>
    </w:p>
    <w:p w:rsidR="00F229DA" w:rsidRPr="00D0436F" w:rsidRDefault="00F229DA" w:rsidP="00F229DA">
      <w:pPr>
        <w:spacing w:line="336" w:lineRule="auto"/>
        <w:ind w:left="1134" w:hanging="567"/>
        <w:rPr>
          <w:szCs w:val="24"/>
        </w:rPr>
      </w:pPr>
    </w:p>
    <w:p w:rsidR="00F229DA" w:rsidRPr="00D0436F" w:rsidRDefault="00F229DA" w:rsidP="00F229DA">
      <w:pPr>
        <w:spacing w:line="336" w:lineRule="auto"/>
        <w:ind w:left="567" w:hanging="567"/>
        <w:rPr>
          <w:szCs w:val="24"/>
        </w:rPr>
      </w:pPr>
      <w:r w:rsidRPr="00D0436F">
        <w:rPr>
          <w:szCs w:val="24"/>
        </w:rPr>
        <w:t>11.</w:t>
      </w:r>
      <w:r w:rsidRPr="00D0436F">
        <w:rPr>
          <w:szCs w:val="24"/>
        </w:rPr>
        <w:tab/>
      </w:r>
      <w:r w:rsidRPr="00D0436F">
        <w:rPr>
          <w:b/>
          <w:szCs w:val="24"/>
        </w:rPr>
        <w:t>Små och medelstora företag</w:t>
      </w:r>
      <w:r w:rsidRPr="00D0436F">
        <w:rPr>
          <w:szCs w:val="24"/>
        </w:rPr>
        <w:t xml:space="preserve"> utgör ryggraden i den europeiska ekonomin och har potential att på ett avgörande sätt bidra till att skapa större tillväxt och fler arbetstillfällen i Europeiska unionen. För att stärka unionens politik i fråga om små och medelstora företag och ge dem möjlighet att verka mer effektivt på den inre marknaden är det viktigt att omedelbart vidta följande åtgärder:</w:t>
      </w:r>
    </w:p>
    <w:p w:rsidR="00F229DA" w:rsidRPr="00D0436F" w:rsidRDefault="00F229DA" w:rsidP="00F229DA">
      <w:pPr>
        <w:spacing w:line="336" w:lineRule="auto"/>
        <w:ind w:left="1134" w:hanging="567"/>
        <w:rPr>
          <w:szCs w:val="24"/>
        </w:rPr>
      </w:pPr>
      <w:r w:rsidRPr="00D0436F">
        <w:rPr>
          <w:bCs/>
          <w:color w:val="000000"/>
        </w:rPr>
        <w:sym w:font="Symbol" w:char="F0B7"/>
      </w:r>
      <w:r w:rsidRPr="00D0436F">
        <w:rPr>
          <w:szCs w:val="24"/>
        </w:rPr>
        <w:tab/>
        <w:t>För att ytterligare stärka de små och medelstora företagens tillväxt och konkurrenskraft bör rådet snabbt behandla det kommande initiativet till en småföretagslag, i vilken en integrerad strategi fastställs för de små och medelstora företagens hela livscykel, i överensstämmelse med principen om bättre lagstiftning och principen om att i första hand tänka småskaligt.</w:t>
      </w:r>
    </w:p>
    <w:p w:rsidR="00F229DA" w:rsidRPr="00D0436F" w:rsidRDefault="00F229DA" w:rsidP="00F229DA">
      <w:pPr>
        <w:spacing w:line="336" w:lineRule="auto"/>
        <w:ind w:left="1134" w:hanging="567"/>
        <w:rPr>
          <w:szCs w:val="24"/>
        </w:rPr>
      </w:pPr>
      <w:r w:rsidRPr="00D0436F">
        <w:rPr>
          <w:bCs/>
          <w:color w:val="000000"/>
        </w:rPr>
        <w:sym w:font="Symbol" w:char="F0B7"/>
      </w:r>
      <w:r w:rsidRPr="00D0436F">
        <w:rPr>
          <w:szCs w:val="24"/>
        </w:rPr>
        <w:tab/>
        <w:t>I berättigade fall och efter genomgång av gemenskapens regelverk, införa undantag för små och medelstora företag från EU</w:t>
      </w:r>
      <w:r w:rsidRPr="00D0436F">
        <w:rPr>
          <w:szCs w:val="24"/>
        </w:rPr>
        <w:noBreakHyphen/>
        <w:t>lagstiftningens administrativa krav.</w:t>
      </w:r>
    </w:p>
    <w:p w:rsidR="00F229DA" w:rsidRPr="00D0436F" w:rsidRDefault="00F229DA" w:rsidP="00F229DA">
      <w:pPr>
        <w:ind w:left="1134" w:hanging="567"/>
        <w:rPr>
          <w:szCs w:val="24"/>
        </w:rPr>
      </w:pPr>
      <w:r w:rsidRPr="00D0436F">
        <w:rPr>
          <w:bCs/>
          <w:color w:val="000000"/>
        </w:rPr>
        <w:br w:type="page"/>
      </w:r>
      <w:r w:rsidRPr="00D0436F">
        <w:rPr>
          <w:bCs/>
          <w:color w:val="000000"/>
        </w:rPr>
        <w:sym w:font="Symbol" w:char="F0B7"/>
      </w:r>
      <w:r w:rsidRPr="00D0436F">
        <w:rPr>
          <w:szCs w:val="24"/>
        </w:rPr>
        <w:tab/>
        <w:t>Stärka stödet till innovativa och forskningsverksamma små och medelstora företag med stor tillväxtpotential, t.ex. genom en ny europeisk stadga för privata företag.</w:t>
      </w:r>
    </w:p>
    <w:p w:rsidR="00F229DA" w:rsidRPr="00D0436F" w:rsidRDefault="00F229DA" w:rsidP="00F229DA">
      <w:pPr>
        <w:ind w:left="1134" w:hanging="567"/>
        <w:rPr>
          <w:szCs w:val="24"/>
        </w:rPr>
      </w:pPr>
      <w:r w:rsidRPr="00D0436F">
        <w:rPr>
          <w:bCs/>
          <w:color w:val="000000"/>
        </w:rPr>
        <w:sym w:font="Symbol" w:char="F0B7"/>
      </w:r>
      <w:r w:rsidRPr="00D0436F">
        <w:rPr>
          <w:szCs w:val="24"/>
        </w:rPr>
        <w:tab/>
        <w:t xml:space="preserve">Ytterligare underlätta tillgången till finansiering, bland annat genom EU:s befintliga finansieringsinstrument. </w:t>
      </w:r>
    </w:p>
    <w:p w:rsidR="00F229DA" w:rsidRPr="00D0436F" w:rsidRDefault="00F229DA" w:rsidP="00F229DA">
      <w:pPr>
        <w:ind w:left="1134" w:hanging="567"/>
        <w:rPr>
          <w:szCs w:val="24"/>
        </w:rPr>
      </w:pPr>
      <w:r w:rsidRPr="00D0436F">
        <w:rPr>
          <w:szCs w:val="24"/>
        </w:rPr>
        <w:sym w:font="Symbol" w:char="F0B7"/>
      </w:r>
      <w:r w:rsidRPr="00D0436F">
        <w:rPr>
          <w:szCs w:val="24"/>
        </w:rPr>
        <w:tab/>
        <w:t xml:space="preserve">Underlätta ökat deltagande av innovativa små och medelstora företag i kluster och offentlig upphandling. </w:t>
      </w:r>
    </w:p>
    <w:p w:rsidR="00F229DA" w:rsidRPr="00D0436F" w:rsidRDefault="00F229DA" w:rsidP="00F229DA">
      <w:pPr>
        <w:ind w:left="567" w:hanging="567"/>
        <w:rPr>
          <w:szCs w:val="24"/>
        </w:rPr>
      </w:pPr>
    </w:p>
    <w:p w:rsidR="00F229DA" w:rsidRPr="00D0436F" w:rsidRDefault="00F229DA" w:rsidP="00F229DA">
      <w:pPr>
        <w:ind w:left="567" w:hanging="567"/>
        <w:rPr>
          <w:szCs w:val="24"/>
        </w:rPr>
      </w:pPr>
      <w:r w:rsidRPr="00D0436F">
        <w:rPr>
          <w:szCs w:val="24"/>
        </w:rPr>
        <w:t>12.</w:t>
      </w:r>
      <w:r w:rsidRPr="00D0436F">
        <w:rPr>
          <w:szCs w:val="24"/>
        </w:rPr>
        <w:tab/>
        <w:t xml:space="preserve">Öppna marknader och en sund internationell miljö bidrar till tillväxt och sysselsättning och bör leda till ömsesidiga fördelar. EU bör därför fortsätta sitt arbete med att forma globaliseringen genom att stärka </w:t>
      </w:r>
      <w:r w:rsidRPr="00D0436F">
        <w:rPr>
          <w:b/>
          <w:szCs w:val="24"/>
        </w:rPr>
        <w:t>den förnyade Lissabonstrategins externa dimension</w:t>
      </w:r>
      <w:r w:rsidRPr="00D0436F">
        <w:rPr>
          <w:szCs w:val="24"/>
        </w:rPr>
        <w:t>. Europeiska rådet välkomnar kommissionens avsikt att årligen rapportera om marknadstillträde och ange i vilka länder och sektorer det fortfarande finns betydande hinder. EU bör fortsätta sina insatser för att</w:t>
      </w:r>
    </w:p>
    <w:p w:rsidR="00F229DA" w:rsidRPr="00D0436F" w:rsidRDefault="00F229DA" w:rsidP="00F229DA">
      <w:pPr>
        <w:ind w:left="1134" w:hanging="567"/>
        <w:rPr>
          <w:szCs w:val="24"/>
        </w:rPr>
      </w:pPr>
      <w:r w:rsidRPr="00D0436F">
        <w:rPr>
          <w:bCs/>
          <w:color w:val="000000"/>
        </w:rPr>
        <w:sym w:font="Symbol" w:char="F0B7"/>
      </w:r>
      <w:r w:rsidRPr="00D0436F">
        <w:rPr>
          <w:szCs w:val="24"/>
        </w:rPr>
        <w:tab/>
        <w:t>främja frihandel och öppenhet som ett sätt att stödja tillväxt, sysselsättning och utveckling för såväl unionen som dess handelspartner och fortsätta att gå i täten på detta område,</w:t>
      </w:r>
    </w:p>
    <w:p w:rsidR="00F229DA" w:rsidRPr="00D0436F" w:rsidRDefault="00F229DA" w:rsidP="00F229DA">
      <w:pPr>
        <w:ind w:left="1134" w:hanging="567"/>
        <w:rPr>
          <w:szCs w:val="24"/>
        </w:rPr>
      </w:pPr>
      <w:r w:rsidRPr="00D0436F">
        <w:rPr>
          <w:bCs/>
          <w:color w:val="000000"/>
        </w:rPr>
        <w:sym w:font="Symbol" w:char="F0B7"/>
      </w:r>
      <w:r w:rsidRPr="00D0436F">
        <w:rPr>
          <w:szCs w:val="24"/>
        </w:rPr>
        <w:tab/>
        <w:t>förbättra det multilaterala handelssystemet, särskilt genom att också fortsättningsvis eftersträva en ambitiös, balanserad och övergripande överenskommelse inom Doharundan,</w:t>
      </w:r>
    </w:p>
    <w:p w:rsidR="00F229DA" w:rsidRPr="00D0436F" w:rsidRDefault="00F229DA" w:rsidP="00F229DA">
      <w:pPr>
        <w:ind w:left="1134" w:hanging="567"/>
        <w:rPr>
          <w:szCs w:val="24"/>
        </w:rPr>
      </w:pPr>
      <w:r w:rsidRPr="00D0436F">
        <w:rPr>
          <w:bCs/>
          <w:color w:val="000000"/>
        </w:rPr>
        <w:sym w:font="Symbol" w:char="F0B7"/>
      </w:r>
      <w:r w:rsidRPr="00D0436F">
        <w:rPr>
          <w:szCs w:val="24"/>
        </w:rPr>
        <w:tab/>
        <w:t>ingå ambitiösa bilaterala avtal med viktiga handelspartner och ytterligare stärka insatserna för att integrera grannländer och kandidatländer genom att utveckla ett gemensamt ekonomiskt område,</w:t>
      </w:r>
    </w:p>
    <w:p w:rsidR="00F229DA" w:rsidRPr="00D0436F" w:rsidRDefault="00F229DA" w:rsidP="00F229DA">
      <w:pPr>
        <w:ind w:left="1134" w:hanging="567"/>
        <w:rPr>
          <w:szCs w:val="24"/>
        </w:rPr>
      </w:pPr>
      <w:r w:rsidRPr="00D0436F">
        <w:rPr>
          <w:bCs/>
          <w:color w:val="000000"/>
        </w:rPr>
        <w:sym w:font="Symbol" w:char="F0B7"/>
      </w:r>
      <w:r w:rsidRPr="00D0436F">
        <w:rPr>
          <w:szCs w:val="24"/>
        </w:rPr>
        <w:tab/>
        <w:t>säkerställa tillförlitlig tillgång till energi och strategiska råvaror,</w:t>
      </w:r>
    </w:p>
    <w:p w:rsidR="00F229DA" w:rsidRPr="00D0436F" w:rsidRDefault="00F229DA" w:rsidP="00F229DA">
      <w:pPr>
        <w:ind w:left="1134" w:hanging="567"/>
        <w:rPr>
          <w:szCs w:val="24"/>
        </w:rPr>
      </w:pPr>
      <w:r w:rsidRPr="00D0436F">
        <w:rPr>
          <w:bCs/>
          <w:color w:val="000000"/>
        </w:rPr>
        <w:sym w:font="Symbol" w:char="F0B7"/>
      </w:r>
      <w:r w:rsidRPr="00D0436F">
        <w:rPr>
          <w:szCs w:val="24"/>
        </w:rPr>
        <w:tab/>
        <w:t>stärka befintliga ekonomiska förbindelser och utveckla ömsesidigt fördelaktiga strategiska partnerskap med framväxande ekonomiska makter inom ramen för sund konkurrens,</w:t>
      </w:r>
    </w:p>
    <w:p w:rsidR="00F229DA" w:rsidRPr="00D0436F" w:rsidRDefault="00F229DA" w:rsidP="00F229DA">
      <w:pPr>
        <w:ind w:left="1134" w:hanging="567"/>
        <w:rPr>
          <w:color w:val="000000"/>
        </w:rPr>
      </w:pPr>
      <w:r w:rsidRPr="00D0436F">
        <w:rPr>
          <w:bCs/>
          <w:color w:val="000000"/>
        </w:rPr>
        <w:sym w:font="Symbol" w:char="F0B7"/>
      </w:r>
      <w:r w:rsidRPr="00D0436F">
        <w:rPr>
          <w:szCs w:val="24"/>
        </w:rPr>
        <w:tab/>
        <w:t xml:space="preserve">främja </w:t>
      </w:r>
      <w:r w:rsidRPr="00D0436F">
        <w:rPr>
          <w:bCs/>
          <w:color w:val="000000"/>
        </w:rPr>
        <w:t>samarbete på lagstiftningsområdet</w:t>
      </w:r>
      <w:r w:rsidRPr="00D0436F">
        <w:rPr>
          <w:color w:val="000000"/>
        </w:rPr>
        <w:t xml:space="preserve">, </w:t>
      </w:r>
      <w:r w:rsidRPr="00D0436F">
        <w:rPr>
          <w:bCs/>
          <w:color w:val="000000"/>
        </w:rPr>
        <w:t>samstämmiga normer</w:t>
      </w:r>
      <w:r w:rsidRPr="00D0436F">
        <w:rPr>
          <w:color w:val="000000"/>
        </w:rPr>
        <w:t xml:space="preserve"> och </w:t>
      </w:r>
      <w:r w:rsidRPr="00D0436F">
        <w:rPr>
          <w:bCs/>
          <w:color w:val="000000"/>
        </w:rPr>
        <w:t>likvärdiga regler av ömsesidigt intresse för såväl EU som dess partner, samt förbättra effektiviteten i efterlevnaden av immaterialrättssystemet mot plagiat</w:t>
      </w:r>
      <w:r w:rsidRPr="00D0436F">
        <w:rPr>
          <w:color w:val="000000"/>
        </w:rPr>
        <w:t>.</w:t>
      </w:r>
    </w:p>
    <w:p w:rsidR="00F229DA" w:rsidRPr="00D0436F" w:rsidRDefault="00F229DA" w:rsidP="00F229DA">
      <w:pPr>
        <w:ind w:left="1134" w:hanging="567"/>
        <w:rPr>
          <w:color w:val="000000"/>
        </w:rPr>
      </w:pPr>
    </w:p>
    <w:p w:rsidR="00F229DA" w:rsidRPr="00D0436F" w:rsidRDefault="00F229DA" w:rsidP="00F229DA">
      <w:pPr>
        <w:ind w:left="1134" w:hanging="567"/>
        <w:outlineLvl w:val="0"/>
        <w:rPr>
          <w:color w:val="000000"/>
        </w:rPr>
      </w:pPr>
      <w:r w:rsidRPr="00D0436F">
        <w:rPr>
          <w:b/>
          <w:color w:val="000000"/>
        </w:rPr>
        <w:br w:type="page"/>
        <w:t>Investera i människor och modernisera arbetsmarknaderna</w:t>
      </w:r>
    </w:p>
    <w:p w:rsidR="00F229DA" w:rsidRPr="00D0436F" w:rsidRDefault="00F229DA" w:rsidP="00F229DA">
      <w:pPr>
        <w:ind w:left="1134" w:hanging="567"/>
        <w:rPr>
          <w:color w:val="000000"/>
        </w:rPr>
      </w:pPr>
    </w:p>
    <w:p w:rsidR="00F229DA" w:rsidRPr="00D0436F" w:rsidRDefault="00F229DA" w:rsidP="00F229DA">
      <w:pPr>
        <w:ind w:left="567" w:hanging="567"/>
        <w:rPr>
          <w:color w:val="000000"/>
        </w:rPr>
      </w:pPr>
      <w:r w:rsidRPr="00D0436F">
        <w:rPr>
          <w:color w:val="000000"/>
        </w:rPr>
        <w:t>13.</w:t>
      </w:r>
      <w:r w:rsidRPr="00D0436F">
        <w:rPr>
          <w:color w:val="000000"/>
        </w:rPr>
        <w:tab/>
        <w:t>Utbildningsdelen i kunskapstriangeln "forskning</w:t>
      </w:r>
      <w:r w:rsidRPr="00D0436F">
        <w:rPr>
          <w:color w:val="000000"/>
        </w:rPr>
        <w:noBreakHyphen/>
        <w:t>innovation</w:t>
      </w:r>
      <w:r w:rsidRPr="00D0436F">
        <w:rPr>
          <w:color w:val="000000"/>
        </w:rPr>
        <w:noBreakHyphen/>
        <w:t>utbildning" bör stärkas. Ett avgörande villkor för Europas framgång i en globaliserad värld är att erbjuda högkvalitativ utbildning och att under människans hela livscykel investera mer och effektivare i humankapital och kreativitet. Detta kan leda till och underlätta utvecklingen mot en "kunskapsbaserad ekonomi", skapa fler och bättre arbetstillfällen och bidra till sunda offentliga finanser. Det är också ett effektivt sätt att bekämpa ojämlikhet och fattigdom och kan bidra till minskad arbetslöshet bland ungdomar.</w:t>
      </w:r>
    </w:p>
    <w:p w:rsidR="00F229DA" w:rsidRPr="00D0436F" w:rsidRDefault="00F229DA" w:rsidP="00F229DA">
      <w:pPr>
        <w:ind w:left="567" w:hanging="567"/>
        <w:rPr>
          <w:color w:val="000000"/>
        </w:rPr>
      </w:pPr>
    </w:p>
    <w:p w:rsidR="00F229DA" w:rsidRPr="00D0436F" w:rsidRDefault="00F229DA" w:rsidP="00F229DA">
      <w:pPr>
        <w:ind w:left="567" w:hanging="567"/>
        <w:rPr>
          <w:color w:val="000000"/>
        </w:rPr>
      </w:pPr>
      <w:r w:rsidRPr="00D0436F">
        <w:rPr>
          <w:color w:val="000000"/>
        </w:rPr>
        <w:t>14.</w:t>
      </w:r>
      <w:r w:rsidRPr="00D0436F">
        <w:rPr>
          <w:color w:val="000000"/>
        </w:rPr>
        <w:tab/>
        <w:t xml:space="preserve">Europeiska rådet ser fram mot kommissionens förslag till en förnyad social agenda, som bör spela en central roll i stärkandet av Lissabonstrategins sociala dimension genom att ta hänsyn till Europas nya sociala och arbetsmarknadsmässiga verklighet och också omfatta frågor som ungdom, utbildning, migration och demografi samt interkulturell dialog. I detta sammanhang är det synnerligen viktigt att bekämpa fattigdom och socialt utanförskap, främja aktiv integration och öka anställningsmöjligheterna för dem som befinner sig längst bort från arbetsmarknaden. Man bör i detta syfte utnyttja alla lämpliga instrument och verktyg som finns att tillgå på gemenskapsnivå. Med hänsyn till det ökande kompetensunderskottet inom en rad sektorer uppmanar Europeiska rådet kommissionen att lägga fram en övergripande utvärdering av de kompetenskrav som kommer att vara nödvändiga i Europa fram till 2020 och därvid beakta konsekvenserna av teknisk förändring och åldrande befolkning samt föreslå åtgärder för att föregripa framtida behov. Ekonomisk migration kan spela en roll när det gäller att tillgodose arbetsmarknadens behov och kan bidra till att minska kompetensunderskottet. </w:t>
      </w:r>
      <w:r w:rsidRPr="00D0436F">
        <w:t>Europeiska rådet anser därför att man inom ramen för kommissionens förslag till en gemensam migrationspolitik måste gripa sig an konsekvenserna för arbetsmarknaden och de sociala konsekvenserna av migrationen från tredjeländer.</w:t>
      </w:r>
    </w:p>
    <w:p w:rsidR="00F229DA" w:rsidRPr="00D0436F" w:rsidRDefault="00F229DA" w:rsidP="00F229DA">
      <w:pPr>
        <w:ind w:left="567" w:hanging="567"/>
        <w:rPr>
          <w:color w:val="000000"/>
        </w:rPr>
      </w:pPr>
    </w:p>
    <w:p w:rsidR="00F229DA" w:rsidRPr="00D0436F" w:rsidRDefault="00F229DA" w:rsidP="00F229DA">
      <w:pPr>
        <w:ind w:left="567" w:hanging="567"/>
        <w:rPr>
          <w:color w:val="000000"/>
        </w:rPr>
      </w:pPr>
      <w:r w:rsidRPr="00D0436F">
        <w:rPr>
          <w:color w:val="000000"/>
        </w:rPr>
        <w:br w:type="page"/>
        <w:t>15.</w:t>
      </w:r>
      <w:r w:rsidRPr="00D0436F">
        <w:rPr>
          <w:color w:val="000000"/>
        </w:rPr>
        <w:tab/>
        <w:t>Europeiska rådet uppmanar medlemsstaterna att vidta konkreta åtgärder för att</w:t>
      </w:r>
    </w:p>
    <w:p w:rsidR="00F229DA" w:rsidRPr="00D0436F" w:rsidRDefault="00F229DA" w:rsidP="00F229DA">
      <w:pPr>
        <w:ind w:left="1134" w:hanging="567"/>
        <w:rPr>
          <w:color w:val="000000"/>
        </w:rPr>
      </w:pPr>
      <w:r w:rsidRPr="00D0436F">
        <w:rPr>
          <w:bCs/>
          <w:color w:val="000000"/>
        </w:rPr>
        <w:sym w:font="Symbol" w:char="F0B7"/>
      </w:r>
      <w:r w:rsidRPr="00D0436F">
        <w:rPr>
          <w:color w:val="000000"/>
        </w:rPr>
        <w:tab/>
        <w:t>i betydande omfattning minska antalet ungdomar som inte är riktigt läskunniga och det antal som lämnar skolan i förtid samt förbättra kunskapsnivåerna hos elever med invandrarbakgrund eller från missgynnade grupper,</w:t>
      </w:r>
    </w:p>
    <w:p w:rsidR="00F229DA" w:rsidRPr="00D0436F" w:rsidRDefault="00F229DA" w:rsidP="00F229DA">
      <w:pPr>
        <w:ind w:left="1134" w:hanging="567"/>
        <w:rPr>
          <w:szCs w:val="24"/>
        </w:rPr>
      </w:pPr>
      <w:r w:rsidRPr="00D0436F">
        <w:rPr>
          <w:bCs/>
          <w:color w:val="000000"/>
        </w:rPr>
        <w:sym w:font="Symbol" w:char="F0B7"/>
      </w:r>
      <w:r w:rsidRPr="00D0436F">
        <w:rPr>
          <w:color w:val="000000"/>
        </w:rPr>
        <w:tab/>
        <w:t>få fler vuxna, särskilt lågutbildade och äldre arbetstagare, att vilja utbilda sig, och ytterligare främja geografisk och yrkesmässig rörlighet,</w:t>
      </w:r>
    </w:p>
    <w:p w:rsidR="00F229DA" w:rsidRPr="00D0436F" w:rsidRDefault="00F229DA" w:rsidP="00F229DA">
      <w:pPr>
        <w:ind w:left="1134" w:hanging="567"/>
        <w:rPr>
          <w:szCs w:val="24"/>
        </w:rPr>
      </w:pPr>
      <w:r w:rsidRPr="00D0436F">
        <w:rPr>
          <w:bCs/>
          <w:color w:val="000000"/>
        </w:rPr>
        <w:sym w:font="Symbol" w:char="F0B7"/>
      </w:r>
      <w:r w:rsidRPr="00D0436F">
        <w:rPr>
          <w:szCs w:val="24"/>
        </w:rPr>
        <w:tab/>
        <w:t>främja en högre samlad sysselsättningsgrad och komma till rätta med segmentering i syfte att säkerställa aktiv social integration,</w:t>
      </w:r>
    </w:p>
    <w:p w:rsidR="00F229DA" w:rsidRPr="00D0436F" w:rsidRDefault="00F229DA" w:rsidP="00F229DA">
      <w:pPr>
        <w:ind w:left="1134" w:hanging="567"/>
        <w:rPr>
          <w:szCs w:val="24"/>
        </w:rPr>
      </w:pPr>
      <w:r w:rsidRPr="00D0436F">
        <w:rPr>
          <w:bCs/>
          <w:color w:val="000000"/>
        </w:rPr>
        <w:sym w:font="Symbol" w:char="F0B7"/>
      </w:r>
      <w:r w:rsidRPr="00D0436F">
        <w:rPr>
          <w:szCs w:val="24"/>
        </w:rPr>
        <w:tab/>
        <w:t>förbättra den politiska enhetligheten i och samordningen av ekonomisk politik, sysselsättningspolitik och socialpolitik i syfte att stärka den sociala sammanhållningen.</w:t>
      </w:r>
    </w:p>
    <w:p w:rsidR="00F229DA" w:rsidRPr="00D0436F" w:rsidRDefault="00F229DA" w:rsidP="00F229DA">
      <w:pPr>
        <w:ind w:left="1134" w:hanging="567"/>
        <w:rPr>
          <w:szCs w:val="24"/>
        </w:rPr>
      </w:pPr>
    </w:p>
    <w:p w:rsidR="00F229DA" w:rsidRPr="00D0436F" w:rsidRDefault="00F229DA" w:rsidP="00F229DA">
      <w:pPr>
        <w:ind w:left="567" w:hanging="567"/>
      </w:pPr>
      <w:r w:rsidRPr="00D0436F">
        <w:t>16.</w:t>
      </w:r>
      <w:r w:rsidRPr="00D0436F">
        <w:tab/>
        <w:t>Flexicurity innebär en jämvikt mellan flexibilitet och trygghet på arbetsmarknaden och bidrar till att såväl arbetstagare som arbetsgivare kan ta vara på de möjligheter som globaliseringen erbjuder. I enlighet med rekommendationerna i oktober 2007 från arbetsmarknadens parter i Europa, och med insikt om att det inte finns någon specifik modell för flexicurity, uppmanar Europeiska rådet medlemsstaterna att genomföra de överenskomna gemensamma principerna för flexicurity genom att i sina nationella reformprogram för 2008 presentera de nationella arrangemangen för att omsätta dessa. Flexibilitet och trygghet är ömsesidigt förstärkande under hela livscykeln. I detta sammanhang bör solidaritet mellan generationerna beaktas inom alla de fyra delarna av flexicurity. I samband med genomförandet av den europeiska ungdomspakten bör fortsatt uppmärksamhet ägnas åt ungdomssysselsättning, särskilt övergången från utbildning till arbete. Sysselsättningen för personer med funktionshinder bör också uppmärksammas. Tillgången till kvalitativ barnomsorg till överkomlig kostnad bör ökas i överensstämmelse med nationella mål och gemenskapsmål. Fortsatta insatser bör göras för att såväl män som kvinnor ska kunna förena arbete med privat- och familjeliv liksom för att i betydande omfattning minska lönegapet mellan könen och genomföra den europeiska jämställdhetspakten. Den europeiska alliansen för familjen kan också bidra till att uppnå dessa mål.</w:t>
      </w:r>
    </w:p>
    <w:p w:rsidR="00F229DA" w:rsidRPr="00D0436F" w:rsidRDefault="00F229DA" w:rsidP="00F229DA">
      <w:pPr>
        <w:rPr>
          <w:b/>
          <w:i/>
          <w:szCs w:val="24"/>
        </w:rPr>
      </w:pPr>
    </w:p>
    <w:p w:rsidR="00F229DA" w:rsidRPr="00D0436F" w:rsidRDefault="00F229DA" w:rsidP="00F229DA">
      <w:pPr>
        <w:outlineLvl w:val="0"/>
        <w:rPr>
          <w:b/>
          <w:u w:val="single"/>
        </w:rPr>
      </w:pPr>
      <w:r w:rsidRPr="00D0436F">
        <w:br w:type="page"/>
      </w:r>
      <w:r w:rsidRPr="00D0436F">
        <w:rPr>
          <w:b/>
          <w:u w:val="single"/>
        </w:rPr>
        <w:t>KLIMATFÖRÄNDRING OCH ENERGI</w:t>
      </w:r>
    </w:p>
    <w:p w:rsidR="00F229DA" w:rsidRPr="00D0436F" w:rsidRDefault="00F229DA" w:rsidP="00F229DA">
      <w:pPr>
        <w:ind w:left="1134" w:hanging="567"/>
        <w:rPr>
          <w:szCs w:val="24"/>
        </w:rPr>
      </w:pPr>
    </w:p>
    <w:p w:rsidR="00F229DA" w:rsidRPr="00D0436F" w:rsidRDefault="00F229DA" w:rsidP="00F229DA">
      <w:pPr>
        <w:ind w:left="567" w:hanging="567"/>
        <w:rPr>
          <w:szCs w:val="24"/>
        </w:rPr>
      </w:pPr>
      <w:r w:rsidRPr="00D0436F">
        <w:rPr>
          <w:szCs w:val="24"/>
        </w:rPr>
        <w:t>17.</w:t>
      </w:r>
      <w:r w:rsidRPr="00D0436F">
        <w:rPr>
          <w:szCs w:val="24"/>
        </w:rPr>
        <w:tab/>
        <w:t>Under förra året gjorde EU fasta och ambitiösa åtaganden avseende klimat- och energipolitik. Nu, år 2008, är utmaningen att fullgöra dessa. I december förra året gjordes vid klimatkonferensen på Bali ett viktigt genombrott och vid denna konferens inleddes en global internationell förhandlingsprocess, vilken</w:t>
      </w:r>
      <w:r w:rsidRPr="00D0436F">
        <w:t xml:space="preserve"> </w:t>
      </w:r>
      <w:r w:rsidRPr="00D0436F">
        <w:rPr>
          <w:szCs w:val="24"/>
        </w:rPr>
        <w:t>i sin helhet anges i färdplanen från Bali. EU har åtagit sig att även fortsättningsvis vara ledande i fråga om klimatförändringar och energi och att upprätthålla takten i förhandlingarna om Förenta nationernas ramkonvention om klimatförändringar och dess Kyotoprotokoll, särskilt vid nästa partskonferens i Poznań. Målet är att i Köpenhamn 2009 komma fram till ett ambitiöst, globalt och övergripande avtal om klimatförändringar för tiden efter 2012, i enlighet med</w:t>
      </w:r>
      <w:r w:rsidRPr="00D0436F">
        <w:t xml:space="preserve"> EU:s tvågradersmål</w:t>
      </w:r>
      <w:r w:rsidRPr="00D0436F">
        <w:rPr>
          <w:szCs w:val="24"/>
        </w:rPr>
        <w:t>. Genom att uppfylla samtliga mål som fastställts vid Europeiska rådets vårmöte 2007 kommer EU att i mycket hög grad bidra till detta mål. En viktig kommande utmaning är att se till att denna övergång till en trygg och hållbar ekonomi med låga koldioxidutsläpp hanteras på ett sätt som överensstämmer med EU:s åtaganden om hållbar utveckling, konkurrenskraft, försörjningstrygghet, livsmedelstrygghet</w:t>
      </w:r>
      <w:r w:rsidR="009C2D79" w:rsidRPr="00D0436F">
        <w:rPr>
          <w:szCs w:val="24"/>
        </w:rPr>
        <w:t xml:space="preserve">, </w:t>
      </w:r>
      <w:r w:rsidRPr="00D0436F">
        <w:rPr>
          <w:szCs w:val="24"/>
        </w:rPr>
        <w:t>sunda och hållbara offentliga finanser</w:t>
      </w:r>
      <w:r w:rsidR="009C2D79" w:rsidRPr="00D0436F">
        <w:rPr>
          <w:szCs w:val="24"/>
        </w:rPr>
        <w:t xml:space="preserve"> samt ekonomisk och social sammanhållning</w:t>
      </w:r>
      <w:r w:rsidRPr="00D0436F">
        <w:rPr>
          <w:szCs w:val="24"/>
        </w:rPr>
        <w:t xml:space="preserve">. </w:t>
      </w:r>
      <w:r w:rsidRPr="00D0436F">
        <w:t xml:space="preserve">EU föreslår att man ska bidra till en påskyndad och samordnad insats på hög nivå för att stödja FN:s ramkonvention om klimatförändringar och handlingsplanen från Bali, i syfte att utforma en enhetlig och konsekvent struktur för ett avtal för tiden efter år 2012 som ska sörja för ökade finansierings- och investeringsströmmar för såväl begränsning som anpassning. </w:t>
      </w:r>
      <w:r w:rsidRPr="00D0436F">
        <w:rPr>
          <w:szCs w:val="24"/>
        </w:rPr>
        <w:t>Med hänsyn till att energi och klimat utgör integrerade delar av Lissabonstrategin kommer detta också att på ett positivt sätt bidra till mer omfattande tillväxt- och sysselsättningsmål.</w:t>
      </w:r>
    </w:p>
    <w:p w:rsidR="00F229DA" w:rsidRPr="00D0436F" w:rsidRDefault="00F229DA" w:rsidP="00F229DA">
      <w:pPr>
        <w:ind w:left="567" w:hanging="567"/>
        <w:rPr>
          <w:szCs w:val="24"/>
        </w:rPr>
      </w:pPr>
    </w:p>
    <w:p w:rsidR="00F229DA" w:rsidRPr="00D0436F" w:rsidRDefault="00F229DA" w:rsidP="00F229DA">
      <w:pPr>
        <w:ind w:left="567" w:hanging="567"/>
        <w:rPr>
          <w:color w:val="000000"/>
        </w:rPr>
      </w:pPr>
      <w:r w:rsidRPr="00D0436F">
        <w:br w:type="page"/>
      </w:r>
      <w:r w:rsidRPr="00D0436F">
        <w:rPr>
          <w:szCs w:val="24"/>
        </w:rPr>
        <w:t>18.</w:t>
      </w:r>
      <w:r w:rsidRPr="00D0436F">
        <w:rPr>
          <w:szCs w:val="24"/>
        </w:rPr>
        <w:tab/>
        <w:t xml:space="preserve">Det ambitiösa paket med förslag som kommissionen lagt fram för att genomföra slutsatserna från Europeiska rådets vårmöte 2007 är en </w:t>
      </w:r>
      <w:r w:rsidR="001F7B16" w:rsidRPr="00D0436F">
        <w:rPr>
          <w:szCs w:val="24"/>
        </w:rPr>
        <w:t>god</w:t>
      </w:r>
      <w:r w:rsidRPr="00D0436F">
        <w:rPr>
          <w:szCs w:val="24"/>
        </w:rPr>
        <w:t xml:space="preserve"> utgångspunkt och grund för överenskommelse. </w:t>
      </w:r>
      <w:r w:rsidRPr="00D0436F">
        <w:rPr>
          <w:color w:val="000000"/>
        </w:rPr>
        <w:t xml:space="preserve">Europeiska rådet uppmanar kommissionen att fortsätta att stödja medlemsstaternas insatser för att minska sina utsläpp av växthusgaser genom gemenskapspolitik samt övergripande och ambitiösa åtgärder. </w:t>
      </w:r>
      <w:r w:rsidRPr="00D0436F">
        <w:rPr>
          <w:szCs w:val="24"/>
        </w:rPr>
        <w:t xml:space="preserve">Rådets övergripande diskussioner, i nära samarbete med Europaparlamentet, bör före utgången av 2008 leda till en överenskommelse om dessa förslag i form av ett enhetligt paket och </w:t>
      </w:r>
      <w:r w:rsidRPr="00D0436F">
        <w:rPr>
          <w:color w:val="000000"/>
        </w:rPr>
        <w:t>följaktligen möjliggöra ett antagande inom den nuvarande mandatperioden, senast i början av 2009. Rådet bör därvid beakta vikten av att upprätthålla den övergripande jämvikten i hela paketet och grunda sitt arbete på principerna om insyn, ekonomisk effektivitet och kostnadseffektivitet samt rättvisa och solidaritet när insatserna fördelas mellan medlemsstaterna. Rådet bör också ta hänsyn till medlemsstaternas olika utgångspunkter, förutsättningar och möjligheter, samt de framsteg som gjorts, och respektera behovet av hållbar ekonomisk tillväxt i hela gemenskapen där alla sektorer bidrar. En kostnadseffektiv och flexibel modell bör också tillämpas vid utarbetandet av marknadsgrundade instrument som syftar till att uppnå energi- och klimatpolitiska mål, så att man undviker för stora kostnader för medlemsstaterna. Att nå det ambitiösare målet med en 30</w:t>
      </w:r>
      <w:r w:rsidR="00B05EEB" w:rsidRPr="00D0436F">
        <w:rPr>
          <w:color w:val="000000"/>
        </w:rPr>
        <w:noBreakHyphen/>
      </w:r>
      <w:r w:rsidRPr="00D0436F">
        <w:rPr>
          <w:color w:val="000000"/>
        </w:rPr>
        <w:t xml:space="preserve">procentig minskning som en del av en global och övergripande överenskommelse måste uttryckligen inkluderas på ett balanserat, öppet och rättvist sätt, varvid hänsyn också måste tas till det arbete som utförts inom ramen för Kyotoprotokollets första åtagandeperiod. </w:t>
      </w:r>
    </w:p>
    <w:p w:rsidR="00F229DA" w:rsidRPr="00D0436F" w:rsidRDefault="00F229DA" w:rsidP="00F229DA">
      <w:pPr>
        <w:ind w:left="567" w:hanging="567"/>
        <w:rPr>
          <w:color w:val="000000"/>
        </w:rPr>
      </w:pPr>
    </w:p>
    <w:p w:rsidR="00F229DA" w:rsidRPr="00D0436F" w:rsidRDefault="00F229DA" w:rsidP="00F229DA">
      <w:pPr>
        <w:ind w:left="567" w:hanging="567"/>
        <w:rPr>
          <w:color w:val="000000"/>
        </w:rPr>
      </w:pPr>
      <w:r w:rsidRPr="00D0436F">
        <w:rPr>
          <w:color w:val="000000"/>
        </w:rPr>
        <w:t>19.</w:t>
      </w:r>
      <w:r w:rsidRPr="00D0436F">
        <w:rPr>
          <w:color w:val="000000"/>
        </w:rPr>
        <w:tab/>
        <w:t>I ett globalt sammanhang med konkurrensutsatta marknader inser Europeiska rådet att risken för koldioxidutsläpp inom</w:t>
      </w:r>
      <w:r w:rsidR="001F7B16" w:rsidRPr="00D0436F">
        <w:rPr>
          <w:color w:val="000000"/>
        </w:rPr>
        <w:t xml:space="preserve"> vissa sektorer, som energiintensiv industri, vilka </w:t>
      </w:r>
      <w:r w:rsidRPr="00D0436F">
        <w:rPr>
          <w:color w:val="000000"/>
        </w:rPr>
        <w:t xml:space="preserve">är särskilt utsatta för internationell konkurrens är ett problem som det är nödvändigt att skyndsamt analysera och gripa sig an </w:t>
      </w:r>
      <w:r w:rsidR="001F7B16" w:rsidRPr="00D0436F">
        <w:rPr>
          <w:color w:val="000000"/>
        </w:rPr>
        <w:t>inom det nya direktivet om ett system för handel med utsläppsrätter, så att lämpliga åtgärder kan vidtas i händelse de internationella förhandlingarna skulle misslyckas</w:t>
      </w:r>
      <w:r w:rsidRPr="00D0436F">
        <w:rPr>
          <w:color w:val="000000"/>
        </w:rPr>
        <w:t>.</w:t>
      </w:r>
      <w:r w:rsidR="001F7B16" w:rsidRPr="00D0436F">
        <w:rPr>
          <w:color w:val="000000"/>
        </w:rPr>
        <w:t xml:space="preserve"> Ett internationellt avtal är alltjämt det bästa sättet att ta sig an frågan.</w:t>
      </w:r>
    </w:p>
    <w:p w:rsidR="00F229DA" w:rsidRPr="00D0436F" w:rsidRDefault="00F229DA" w:rsidP="00F229DA">
      <w:pPr>
        <w:ind w:left="567" w:hanging="567"/>
        <w:rPr>
          <w:color w:val="000000"/>
        </w:rPr>
      </w:pPr>
    </w:p>
    <w:p w:rsidR="00F229DA" w:rsidRPr="00D0436F" w:rsidRDefault="00F229DA" w:rsidP="002744B6">
      <w:pPr>
        <w:spacing w:line="343" w:lineRule="auto"/>
        <w:ind w:left="567" w:hanging="567"/>
        <w:rPr>
          <w:color w:val="000000"/>
        </w:rPr>
      </w:pPr>
      <w:r w:rsidRPr="00D0436F">
        <w:br w:type="page"/>
      </w:r>
      <w:r w:rsidRPr="00D0436F">
        <w:rPr>
          <w:color w:val="000000"/>
        </w:rPr>
        <w:t>20.</w:t>
      </w:r>
      <w:r w:rsidRPr="00D0436F">
        <w:rPr>
          <w:color w:val="000000"/>
        </w:rPr>
        <w:tab/>
        <w:t>Europeiska rådet betonar att EU:s system för handel med utsläppsrätter för växthusgaser utgör en synnerligen viktig del av en integrerad klimat- och energipolitik och inser vikten av en enda övre gräns för det EU</w:t>
      </w:r>
      <w:r w:rsidR="00B05EEB" w:rsidRPr="00D0436F">
        <w:rPr>
          <w:color w:val="000000"/>
        </w:rPr>
        <w:noBreakHyphen/>
      </w:r>
      <w:r w:rsidRPr="00D0436F">
        <w:rPr>
          <w:color w:val="000000"/>
        </w:rPr>
        <w:t>omfattande systemet för utsläppshandel och en tydlig inriktning för utsläppsminskningarna. Det reviderade direktivet bör främja kostnadseffektiviteten i de utsläppsminskningar som är nödvändiga och ge EU möjlighet att koppla sitt system för utsläppshandel till andra obligatoriska system för utsläppshandel för att sätta ett tak för de absoluta utsläppen samt stärka användningen av de flexibilitetsmekanismer som följer av proj</w:t>
      </w:r>
      <w:r w:rsidR="00682AAB" w:rsidRPr="00D0436F">
        <w:rPr>
          <w:color w:val="000000"/>
        </w:rPr>
        <w:t>ekt som genomförs i tredjeländer</w:t>
      </w:r>
      <w:r w:rsidRPr="00D0436F">
        <w:rPr>
          <w:color w:val="000000"/>
        </w:rPr>
        <w:t xml:space="preserve">. Europeiska rådet framhåller också nödvändigheten av flexibilitet i arbetet med att uppnå nationella mål som inte är kopplade till systemet för utsläppshandel samt mål för förnybar energi i enlighet med den handlingsplan som antogs av Europeiska rådet i mars 2007 och betonar vikten av effektiva nationella stödsystem för förnybar energi </w:t>
      </w:r>
      <w:r w:rsidR="00682AAB" w:rsidRPr="00D0436F">
        <w:rPr>
          <w:color w:val="000000"/>
        </w:rPr>
        <w:t xml:space="preserve">och en effektiv flexibilitetsmekanism grundad på ursprungsgarantier, i enlighet med kommissionens förslag, </w:t>
      </w:r>
      <w:r w:rsidRPr="00D0436F">
        <w:rPr>
          <w:color w:val="000000"/>
        </w:rPr>
        <w:t xml:space="preserve">samt understryker nödvändigheten av att gemenskapen och medlemsstaterna i sin energipolitik fäster stor vikt vid ökad energieffektivitet och försörjningstrygghet för att uppnå EU:s integrerade klimat- och energipolitik samt hållbar ekonomisk utveckling. </w:t>
      </w:r>
    </w:p>
    <w:p w:rsidR="00F229DA" w:rsidRPr="00D0436F" w:rsidRDefault="00F229DA" w:rsidP="002744B6">
      <w:pPr>
        <w:spacing w:line="343" w:lineRule="auto"/>
        <w:ind w:left="567" w:hanging="567"/>
        <w:rPr>
          <w:color w:val="000000"/>
        </w:rPr>
      </w:pPr>
    </w:p>
    <w:p w:rsidR="00F229DA" w:rsidRPr="00D0436F" w:rsidRDefault="00F229DA" w:rsidP="002744B6">
      <w:pPr>
        <w:spacing w:line="343" w:lineRule="auto"/>
        <w:ind w:left="567" w:hanging="567"/>
        <w:rPr>
          <w:color w:val="000000"/>
        </w:rPr>
      </w:pPr>
      <w:r w:rsidRPr="00D0436F">
        <w:rPr>
          <w:color w:val="000000"/>
        </w:rPr>
        <w:t>21.</w:t>
      </w:r>
      <w:r w:rsidRPr="00D0436F">
        <w:rPr>
          <w:color w:val="000000"/>
        </w:rPr>
        <w:tab/>
        <w:t>Europeiska rådet erinrar om att syftet med att föreslå ett regelverk för avskiljning och lagring av koldioxid är att garantera att denna nya teknik används på ett miljövänligt och säkert sätt, vilket kommer att visas i projekt i enlighet med överenskommelsen från våren 2007.</w:t>
      </w:r>
    </w:p>
    <w:p w:rsidR="00F229DA" w:rsidRPr="00D0436F" w:rsidRDefault="00F229DA" w:rsidP="002744B6">
      <w:pPr>
        <w:spacing w:line="343" w:lineRule="auto"/>
        <w:ind w:left="567" w:hanging="567"/>
        <w:rPr>
          <w:color w:val="000000"/>
        </w:rPr>
      </w:pPr>
    </w:p>
    <w:p w:rsidR="00F229DA" w:rsidRPr="00D0436F" w:rsidRDefault="00F229DA" w:rsidP="002744B6">
      <w:pPr>
        <w:spacing w:line="343" w:lineRule="auto"/>
        <w:ind w:left="567" w:hanging="567"/>
        <w:rPr>
          <w:color w:val="000000"/>
        </w:rPr>
      </w:pPr>
      <w:r w:rsidRPr="00D0436F">
        <w:rPr>
          <w:color w:val="000000"/>
        </w:rPr>
        <w:t>22.</w:t>
      </w:r>
      <w:r w:rsidRPr="00D0436F">
        <w:rPr>
          <w:color w:val="000000"/>
        </w:rPr>
        <w:tab/>
        <w:t xml:space="preserve">För att uppnå det ambitiösa målet för användningen av biobränslen är det synnerligen viktigt att utveckla och uppfylla effektiva hållbarhetskriterier </w:t>
      </w:r>
      <w:r w:rsidR="00682AAB" w:rsidRPr="00D0436F">
        <w:rPr>
          <w:color w:val="000000"/>
        </w:rPr>
        <w:t>för att sörja för att andra generationens biobränslen finns k</w:t>
      </w:r>
      <w:r w:rsidR="008D7902" w:rsidRPr="00D0436F">
        <w:rPr>
          <w:color w:val="000000"/>
        </w:rPr>
        <w:t xml:space="preserve">ommersiellt tillgängliga, </w:t>
      </w:r>
      <w:r w:rsidR="00E57685" w:rsidRPr="00D0436F">
        <w:rPr>
          <w:color w:val="000000"/>
        </w:rPr>
        <w:t xml:space="preserve">något som </w:t>
      </w:r>
      <w:r w:rsidRPr="00D0436F">
        <w:rPr>
          <w:color w:val="000000"/>
        </w:rPr>
        <w:t>i framtiden</w:t>
      </w:r>
      <w:r w:rsidR="00E57685" w:rsidRPr="00D0436F">
        <w:rPr>
          <w:color w:val="000000"/>
        </w:rPr>
        <w:t xml:space="preserve"> också skulle kunna övervägas i fråga om </w:t>
      </w:r>
      <w:r w:rsidRPr="00D0436F">
        <w:rPr>
          <w:color w:val="000000"/>
        </w:rPr>
        <w:t>användningen av andra f</w:t>
      </w:r>
      <w:r w:rsidR="002B683D" w:rsidRPr="00D0436F">
        <w:rPr>
          <w:color w:val="000000"/>
        </w:rPr>
        <w:t>ormer av biomassa för energi, i enlighet med slutsatserna från Europeiska rådets vårmöte.</w:t>
      </w:r>
    </w:p>
    <w:p w:rsidR="00F229DA" w:rsidRPr="00D0436F" w:rsidRDefault="00F229DA" w:rsidP="002744B6">
      <w:pPr>
        <w:spacing w:line="343" w:lineRule="auto"/>
        <w:ind w:left="567" w:hanging="567"/>
        <w:rPr>
          <w:color w:val="000000"/>
        </w:rPr>
      </w:pPr>
    </w:p>
    <w:p w:rsidR="00F229DA" w:rsidRPr="00D0436F" w:rsidRDefault="00F229DA" w:rsidP="002744B6">
      <w:pPr>
        <w:spacing w:line="343" w:lineRule="auto"/>
        <w:ind w:left="567" w:hanging="567"/>
        <w:rPr>
          <w:color w:val="000000"/>
        </w:rPr>
      </w:pPr>
      <w:r w:rsidRPr="00D0436F">
        <w:rPr>
          <w:color w:val="000000"/>
        </w:rPr>
        <w:t>23.</w:t>
      </w:r>
      <w:r w:rsidRPr="00D0436F">
        <w:rPr>
          <w:color w:val="000000"/>
        </w:rPr>
        <w:tab/>
        <w:t>Det är nödvändigt att uppnå större synergieffekter mellan politiken för att motverka klimatförändringar och politiken för biologisk mångfald som ett sätt att säkerställa sidofördelar, särskilt genom att stärka ömsesidigt stödjande åtgärder och verksamhet när det gäller begränsning av och anpassning till klimatförändringar samt framställning, konsumtion av och handel med biobränslen. Europeiska rådet uppmanar medlemsstaterna och kommissionen att förstärka insatserna för att fram till 2010 och därefter hejda förlusten av biologisk mångfald. Den nionde partskonferensen inom ramen för konventionen om biologisk mångfald i Bonn i maj 2008 och ett fullständigt genomförande av Natura 2000</w:t>
      </w:r>
      <w:r w:rsidRPr="00D0436F">
        <w:rPr>
          <w:color w:val="000000"/>
        </w:rPr>
        <w:noBreakHyphen/>
        <w:t>nätet är avgörande steg på vägen mot detta mål.</w:t>
      </w:r>
    </w:p>
    <w:p w:rsidR="00F229DA" w:rsidRPr="00D0436F" w:rsidRDefault="00F229DA" w:rsidP="00F229DA">
      <w:pPr>
        <w:ind w:left="567" w:hanging="567"/>
        <w:rPr>
          <w:szCs w:val="24"/>
        </w:rPr>
      </w:pPr>
      <w:r w:rsidRPr="00D0436F">
        <w:rPr>
          <w:color w:val="000000"/>
        </w:rPr>
        <w:br w:type="page"/>
        <w:t>24.</w:t>
      </w:r>
      <w:r w:rsidRPr="00D0436F">
        <w:rPr>
          <w:color w:val="000000"/>
        </w:rPr>
        <w:tab/>
        <w:t>En effektiv och fullt fungerande sammanlänkad inre energimarknad är ett avgörande villkor för säker, hållbar och konkurrenskraftig energiförsörjning i Europa. Europeiska rådet uppmanar därför rådet att bygga vidare på de senaste framstegen med det tredje paketet för den inre gas- och elmarknaden i syfte att senast i juni 2008 nå en politisk överenskommelse, och därvid till fullo beakta slutsatserna från Europeiska rådet våren 2007.</w:t>
      </w:r>
      <w:r w:rsidR="00C700F2" w:rsidRPr="00D0436F">
        <w:rPr>
          <w:color w:val="000000"/>
        </w:rPr>
        <w:t xml:space="preserve"> Det uppmanar kommissionen att beakta små eller isolerade energimarknaders situation och behov i samband med vidareutvecklingen av denna politik.</w:t>
      </w:r>
    </w:p>
    <w:p w:rsidR="00F229DA" w:rsidRPr="00D0436F" w:rsidRDefault="00F229DA" w:rsidP="00F229DA">
      <w:pPr>
        <w:ind w:left="567" w:hanging="567"/>
        <w:outlineLvl w:val="0"/>
        <w:rPr>
          <w:szCs w:val="24"/>
        </w:rPr>
      </w:pPr>
    </w:p>
    <w:p w:rsidR="00F229DA" w:rsidRPr="00D0436F" w:rsidRDefault="00F229DA" w:rsidP="00F229DA">
      <w:pPr>
        <w:ind w:left="567" w:hanging="567"/>
        <w:outlineLvl w:val="0"/>
        <w:rPr>
          <w:bCs/>
          <w:color w:val="000000"/>
        </w:rPr>
      </w:pPr>
      <w:r w:rsidRPr="00D0436F">
        <w:rPr>
          <w:szCs w:val="24"/>
        </w:rPr>
        <w:t>25.</w:t>
      </w:r>
      <w:r w:rsidRPr="00D0436F">
        <w:rPr>
          <w:szCs w:val="24"/>
        </w:rPr>
        <w:tab/>
        <w:t>Europeiska rådet erinrar om den vikt som det fäster vid att stärka EU:s och medlemsstaternas energitrygghet. Alla åtgärder avseende klimatförändringar och energi, den inre energimarknaden och ny teknik bidrar till detta mål, men kraftfulla insatser måste också göras för att vidareutveckla den externa dimensionen av "</w:t>
      </w:r>
      <w:r w:rsidRPr="00D0436F">
        <w:rPr>
          <w:bCs/>
          <w:color w:val="000000"/>
        </w:rPr>
        <w:t>En energipolitik för Europa 2007</w:t>
      </w:r>
      <w:r w:rsidRPr="00D0436F">
        <w:rPr>
          <w:bCs/>
          <w:color w:val="000000"/>
        </w:rPr>
        <w:sym w:font="Symbol" w:char="F02D"/>
      </w:r>
      <w:r w:rsidRPr="00D0436F">
        <w:rPr>
          <w:bCs/>
          <w:color w:val="000000"/>
        </w:rPr>
        <w:t xml:space="preserve">2009". Europeiska rådet välkomnar de framsteg som gjorts i detta avseende, så som de framgår av den lägesrapport som förelagts rådet (dok. 6778/08), och kommer att göra en mer övergripande utvärdering av framstegen med genomförandet och av de ytterligare åtgärder som kan krävas mot bakgrund av nästa strategiska energiöversyn som ska läggas fram i november 2008 och godkännas av Europeiska rådet våren 2009 och som kommer att ligga till grund för den nya energihandlingsplan från 2010 och framåt som ska antas av Europeiska rådet våren 2010. Denna strategiska energiöversyn kommer särskilt att inriktas på försörjningstrygghet, inbegripet sammanlänkningar, och extern energipolitik. Europeiska rådet fäster särskild vikt vid att EU och dess medlemsstater är samstämmiga när de diskuterar energifrågor med tredjeparter. </w:t>
      </w:r>
    </w:p>
    <w:p w:rsidR="00F229DA" w:rsidRPr="00D0436F" w:rsidRDefault="00F229DA" w:rsidP="00F229DA">
      <w:pPr>
        <w:ind w:left="567" w:hanging="567"/>
        <w:outlineLvl w:val="0"/>
        <w:rPr>
          <w:bCs/>
          <w:color w:val="000000"/>
        </w:rPr>
      </w:pPr>
    </w:p>
    <w:p w:rsidR="00F229DA" w:rsidRPr="00D0436F" w:rsidRDefault="00F229DA" w:rsidP="00F229DA">
      <w:pPr>
        <w:ind w:left="567" w:hanging="567"/>
        <w:outlineLvl w:val="0"/>
        <w:rPr>
          <w:szCs w:val="24"/>
        </w:rPr>
      </w:pPr>
      <w:r w:rsidRPr="00D0436F">
        <w:rPr>
          <w:bCs/>
          <w:color w:val="000000"/>
        </w:rPr>
        <w:t>26.</w:t>
      </w:r>
      <w:r w:rsidRPr="00D0436F">
        <w:rPr>
          <w:bCs/>
          <w:color w:val="000000"/>
        </w:rPr>
        <w:tab/>
        <w:t>Europeiska rådet välkomnar den höge representantens och kommissionens gemensamma rapport om klimatförändringarnas konsekvenser för internationell säkerhet. Europeiska rådet framhåller vikten av denna</w:t>
      </w:r>
      <w:r w:rsidRPr="00D0436F">
        <w:rPr>
          <w:szCs w:val="24"/>
        </w:rPr>
        <w:t xml:space="preserve"> fråga och uppmanar rådet att diskutera rapporten och senast i december 2008 lägga fram rekommendationer om lämpliga uppföljningsåtgärder, särskilt i fråga om det sätt på vilket samarbetet med tredjeländer och regioner ska kunna intensifieras när det gäller klimatförändringarnas konsekvenser för internationell säkerhet.</w:t>
      </w:r>
    </w:p>
    <w:p w:rsidR="00F229DA" w:rsidRPr="00D0436F" w:rsidRDefault="00F229DA" w:rsidP="00F229DA">
      <w:pPr>
        <w:ind w:left="567" w:hanging="567"/>
        <w:outlineLvl w:val="0"/>
        <w:rPr>
          <w:szCs w:val="24"/>
        </w:rPr>
      </w:pPr>
    </w:p>
    <w:p w:rsidR="00F229DA" w:rsidRPr="00D0436F" w:rsidRDefault="00F229DA" w:rsidP="00F229DA">
      <w:pPr>
        <w:ind w:left="567" w:hanging="567"/>
        <w:outlineLvl w:val="0"/>
        <w:rPr>
          <w:color w:val="000000"/>
        </w:rPr>
      </w:pPr>
      <w:r w:rsidRPr="00D0436F">
        <w:rPr>
          <w:szCs w:val="24"/>
        </w:rPr>
        <w:br w:type="page"/>
        <w:t>27.</w:t>
      </w:r>
      <w:r w:rsidRPr="00D0436F">
        <w:rPr>
          <w:szCs w:val="24"/>
        </w:rPr>
        <w:tab/>
        <w:t xml:space="preserve">Övergången till en säker och hållbar </w:t>
      </w:r>
      <w:r w:rsidRPr="00D0436F">
        <w:rPr>
          <w:color w:val="000000"/>
        </w:rPr>
        <w:t>ekonomi med låga koldioxidutsläpp kommer att ha återverkningar på många politiska områden och på medborgarnas ekonomi och dagliga liv. Konsekventa åtgärder i fråga om energi och klimatförändringar, där synergieffekterna utnyttjas, behövs också på Lissabonstrategins tre andra prioriterade områden liksom på andra områden för EU</w:t>
      </w:r>
      <w:r w:rsidRPr="00D0436F">
        <w:rPr>
          <w:color w:val="000000"/>
        </w:rPr>
        <w:noBreakHyphen/>
        <w:t>politik, vilket inbegripet att man</w:t>
      </w:r>
    </w:p>
    <w:p w:rsidR="00F229DA" w:rsidRPr="00D0436F" w:rsidRDefault="00F229DA" w:rsidP="00F229DA">
      <w:pPr>
        <w:ind w:left="567"/>
        <w:rPr>
          <w:color w:val="000000"/>
        </w:rPr>
      </w:pPr>
      <w:r w:rsidRPr="00D0436F">
        <w:rPr>
          <w:bCs/>
          <w:color w:val="000000"/>
        </w:rPr>
        <w:sym w:font="Symbol" w:char="F0B7"/>
      </w:r>
      <w:r w:rsidRPr="00D0436F">
        <w:rPr>
          <w:color w:val="000000"/>
        </w:rPr>
        <w:tab/>
        <w:t>utformar en konsekvent FoU</w:t>
      </w:r>
      <w:r w:rsidRPr="00D0436F">
        <w:rPr>
          <w:color w:val="000000"/>
        </w:rPr>
        <w:noBreakHyphen/>
        <w:t> och innovationspolitik på europeisk och nationell nivå,</w:t>
      </w:r>
    </w:p>
    <w:p w:rsidR="00F229DA" w:rsidRPr="00D0436F" w:rsidRDefault="00F229DA" w:rsidP="00F229DA">
      <w:pPr>
        <w:ind w:left="1134" w:hanging="567"/>
        <w:rPr>
          <w:color w:val="000000"/>
        </w:rPr>
      </w:pPr>
      <w:r w:rsidRPr="00D0436F">
        <w:rPr>
          <w:bCs/>
          <w:color w:val="000000"/>
        </w:rPr>
        <w:sym w:font="Symbol" w:char="F0B7"/>
      </w:r>
      <w:r w:rsidRPr="00D0436F">
        <w:rPr>
          <w:color w:val="000000"/>
        </w:rPr>
        <w:tab/>
        <w:t>frigör miljöindustrins affärspotential och utformar en hållbar industripolitik samt hållbara och globalt konkurrenskraftiga pionjärmarknader, samtidigt som hänsyn tas till de konsekvenser för konkurrenskraften som åtgärderna i fråga om energi och klimatförändringar kan medföra,</w:t>
      </w:r>
    </w:p>
    <w:p w:rsidR="00F229DA" w:rsidRPr="00D0436F" w:rsidRDefault="00F229DA" w:rsidP="00F229DA">
      <w:pPr>
        <w:ind w:left="1134" w:hanging="567"/>
        <w:rPr>
          <w:bCs/>
          <w:color w:val="000000"/>
        </w:rPr>
      </w:pPr>
      <w:r w:rsidRPr="00D0436F">
        <w:rPr>
          <w:bCs/>
          <w:color w:val="000000"/>
        </w:rPr>
        <w:sym w:font="Symbol" w:char="F0B7"/>
      </w:r>
      <w:r w:rsidRPr="00D0436F">
        <w:rPr>
          <w:bCs/>
          <w:color w:val="000000"/>
        </w:rPr>
        <w:tab/>
        <w:t>främjar ett hållbart transportsystem som ger medlemsstaterna möjlighet att inom ramen för EU:s politik vidta de åtgärder som krävs för att effektivt bekämpa klimatförändringar,</w:t>
      </w:r>
    </w:p>
    <w:p w:rsidR="00F229DA" w:rsidRPr="00D0436F" w:rsidRDefault="00F229DA" w:rsidP="00F229DA">
      <w:pPr>
        <w:ind w:left="1134" w:hanging="567"/>
        <w:rPr>
          <w:color w:val="000000"/>
        </w:rPr>
      </w:pPr>
      <w:r w:rsidRPr="00D0436F">
        <w:rPr>
          <w:bCs/>
          <w:color w:val="000000"/>
        </w:rPr>
        <w:sym w:font="Symbol" w:char="F0B7"/>
      </w:r>
      <w:r w:rsidRPr="00D0436F">
        <w:rPr>
          <w:color w:val="000000"/>
        </w:rPr>
        <w:tab/>
        <w:t>överväger en översyn av energiskattedirektivet för att det i högre grad ska överensstämma med EU:s energi</w:t>
      </w:r>
      <w:r w:rsidRPr="00D0436F">
        <w:rPr>
          <w:color w:val="000000"/>
        </w:rPr>
        <w:noBreakHyphen/>
        <w:t> och klimatförändringsmål,</w:t>
      </w:r>
    </w:p>
    <w:p w:rsidR="00F229DA" w:rsidRPr="00D0436F" w:rsidRDefault="00F229DA" w:rsidP="00F229DA">
      <w:pPr>
        <w:ind w:left="1134" w:hanging="567"/>
        <w:rPr>
          <w:color w:val="000000"/>
        </w:rPr>
      </w:pPr>
      <w:r w:rsidRPr="00D0436F">
        <w:rPr>
          <w:bCs/>
          <w:color w:val="000000"/>
        </w:rPr>
        <w:sym w:font="Symbol" w:char="F0B7"/>
      </w:r>
      <w:r w:rsidRPr="00D0436F">
        <w:rPr>
          <w:color w:val="000000"/>
        </w:rPr>
        <w:tab/>
        <w:t>förbättrar energi- och resurseffektiviteten inom alla sektorer,</w:t>
      </w:r>
    </w:p>
    <w:p w:rsidR="00F229DA" w:rsidRPr="00D0436F" w:rsidRDefault="00F229DA" w:rsidP="00F229DA">
      <w:pPr>
        <w:ind w:left="1134" w:hanging="567"/>
        <w:rPr>
          <w:color w:val="000000"/>
        </w:rPr>
      </w:pPr>
      <w:r w:rsidRPr="00D0436F">
        <w:rPr>
          <w:bCs/>
          <w:color w:val="000000"/>
        </w:rPr>
        <w:sym w:font="Symbol" w:char="F0B7"/>
      </w:r>
      <w:r w:rsidRPr="00D0436F">
        <w:rPr>
          <w:color w:val="000000"/>
        </w:rPr>
        <w:tab/>
        <w:t>informerar konsumenterna om effektiv energianvändning för att kunna ta itu med de sociala återverkningar och möjligheter som energi och klimatförändringar innebär.</w:t>
      </w:r>
    </w:p>
    <w:p w:rsidR="00F229DA" w:rsidRPr="00D0436F" w:rsidRDefault="00F229DA" w:rsidP="00F229DA">
      <w:pPr>
        <w:ind w:left="1134" w:hanging="567"/>
        <w:rPr>
          <w:color w:val="000000"/>
        </w:rPr>
      </w:pPr>
    </w:p>
    <w:p w:rsidR="004D1102" w:rsidRPr="00D0436F" w:rsidRDefault="004D1102" w:rsidP="004D1102">
      <w:pPr>
        <w:ind w:left="567"/>
        <w:rPr>
          <w:color w:val="000000"/>
        </w:rPr>
      </w:pPr>
      <w:r w:rsidRPr="00D0436F">
        <w:rPr>
          <w:color w:val="000000"/>
        </w:rPr>
        <w:t>Europeiska rådet uppmanar också kommissionen att, när den lägger fram sina lagstiftningsförslag om momssatser under sommaren 2008, i samarbet</w:t>
      </w:r>
      <w:r w:rsidR="00FF5FA5" w:rsidRPr="00D0436F">
        <w:rPr>
          <w:color w:val="000000"/>
        </w:rPr>
        <w:t>e med medlemsstaterna undersöka</w:t>
      </w:r>
      <w:r w:rsidRPr="00D0436F">
        <w:rPr>
          <w:color w:val="000000"/>
        </w:rPr>
        <w:t xml:space="preserve"> områden där ekonomiska instrument, inklusive momssatser, kan spela en roll för att öka användningen av energieffektiva varor och energibesparande material.</w:t>
      </w:r>
    </w:p>
    <w:p w:rsidR="004D1102" w:rsidRPr="00D0436F" w:rsidRDefault="004D1102" w:rsidP="00F229DA">
      <w:pPr>
        <w:ind w:left="1134" w:hanging="567"/>
        <w:rPr>
          <w:color w:val="000000"/>
        </w:rPr>
      </w:pPr>
    </w:p>
    <w:p w:rsidR="00F229DA" w:rsidRPr="00D0436F" w:rsidRDefault="00F229DA" w:rsidP="00F229DA">
      <w:pPr>
        <w:ind w:left="567" w:hanging="567"/>
        <w:rPr>
          <w:color w:val="000000"/>
        </w:rPr>
      </w:pPr>
      <w:r w:rsidRPr="00D0436F">
        <w:rPr>
          <w:szCs w:val="24"/>
        </w:rPr>
        <w:t>28.</w:t>
      </w:r>
      <w:r w:rsidRPr="00D0436F">
        <w:rPr>
          <w:szCs w:val="24"/>
        </w:rPr>
        <w:tab/>
        <w:t xml:space="preserve">Europeiska rådet betonar nödvändigheten av att i fråga om energi fortlöpande investera i forskning och utveckling samt aktivt </w:t>
      </w:r>
      <w:r w:rsidRPr="00D0436F">
        <w:rPr>
          <w:color w:val="000000"/>
        </w:rPr>
        <w:t>anamma ny teknik, i linje med kommissionens förslag till en europeisk strategisk plan för energiteknik.</w:t>
      </w:r>
    </w:p>
    <w:p w:rsidR="00F229DA" w:rsidRPr="00D0436F" w:rsidRDefault="00F229DA" w:rsidP="00F229DA">
      <w:pPr>
        <w:ind w:left="567" w:hanging="567"/>
        <w:rPr>
          <w:color w:val="000000"/>
        </w:rPr>
      </w:pPr>
    </w:p>
    <w:p w:rsidR="00F229DA" w:rsidRPr="00D0436F" w:rsidRDefault="00F229DA" w:rsidP="00F229DA">
      <w:pPr>
        <w:ind w:left="567" w:hanging="567"/>
        <w:rPr>
          <w:color w:val="000000"/>
        </w:rPr>
      </w:pPr>
      <w:r w:rsidRPr="00D0436F">
        <w:rPr>
          <w:color w:val="000000"/>
        </w:rPr>
        <w:t>29.</w:t>
      </w:r>
      <w:r w:rsidRPr="00D0436F">
        <w:rPr>
          <w:color w:val="000000"/>
        </w:rPr>
        <w:tab/>
        <w:t>Europeiska rådet inser att arbetet med att ta itu med energi och klimatförändringar också är en fråga om att skapa värderingar och ändra medborgarnas beteenden. Europeiska rådet uppmanar därför de nationella regeringarna och de europeiska institutionerna att vara förebilder genom att göra betydande framsteg för att minska energianvändningen i sina byg</w:t>
      </w:r>
      <w:r w:rsidR="00FF5FA5" w:rsidRPr="00D0436F">
        <w:rPr>
          <w:color w:val="000000"/>
        </w:rPr>
        <w:t>gnader och sina fordonsbestånd.</w:t>
      </w:r>
    </w:p>
    <w:p w:rsidR="00F229DA" w:rsidRPr="00D0436F" w:rsidRDefault="00F229DA" w:rsidP="00F229DA">
      <w:pPr>
        <w:ind w:left="567" w:hanging="567"/>
        <w:rPr>
          <w:b/>
          <w:szCs w:val="24"/>
        </w:rPr>
      </w:pPr>
      <w:r w:rsidRPr="00D0436F">
        <w:rPr>
          <w:b/>
          <w:szCs w:val="24"/>
          <w:u w:val="single"/>
        </w:rPr>
        <w:br w:type="page"/>
        <w:t>STABILITETEN PÅ FINANSMARKNADERNA</w:t>
      </w:r>
    </w:p>
    <w:p w:rsidR="00F229DA" w:rsidRPr="00D0436F" w:rsidRDefault="00F229DA" w:rsidP="00F229DA">
      <w:pPr>
        <w:ind w:left="567" w:hanging="567"/>
        <w:rPr>
          <w:b/>
          <w:szCs w:val="24"/>
        </w:rPr>
      </w:pPr>
    </w:p>
    <w:p w:rsidR="00F229DA" w:rsidRPr="00D0436F" w:rsidRDefault="00F229DA" w:rsidP="00F229DA">
      <w:pPr>
        <w:ind w:left="567" w:hanging="567"/>
        <w:rPr>
          <w:szCs w:val="24"/>
        </w:rPr>
      </w:pPr>
      <w:r w:rsidRPr="00D0436F">
        <w:rPr>
          <w:szCs w:val="24"/>
        </w:rPr>
        <w:t>30.</w:t>
      </w:r>
      <w:r w:rsidRPr="00D0436F">
        <w:rPr>
          <w:szCs w:val="24"/>
        </w:rPr>
        <w:tab/>
        <w:t>Europeiska rådet godkänner den interimsrapport som Ekofinrådet lagt fram om stabiliteten på finansmarknaderna. Situationen för det internationella finansiella systemet är fortfarande bräcklig, men i kölvattnet av turbulensen på marknaderna har vissa justeringar redan gjorts på finansmarknaderna sedan förra hösten genom att Europeiska centralbanken, de nationella myndigheterna, EU</w:t>
      </w:r>
      <w:r w:rsidRPr="00D0436F">
        <w:rPr>
          <w:szCs w:val="24"/>
        </w:rPr>
        <w:noBreakHyphen/>
        <w:t>myndigheterna och finansinstituten har vidtagit åtgärder för att stabilisera läget.</w:t>
      </w:r>
    </w:p>
    <w:p w:rsidR="00F229DA" w:rsidRPr="00D0436F" w:rsidRDefault="00F229DA" w:rsidP="00F229DA">
      <w:pPr>
        <w:ind w:left="567" w:hanging="567"/>
        <w:rPr>
          <w:szCs w:val="24"/>
        </w:rPr>
      </w:pPr>
    </w:p>
    <w:p w:rsidR="00F229DA" w:rsidRPr="00D0436F" w:rsidRDefault="00F229DA" w:rsidP="00F229DA">
      <w:pPr>
        <w:ind w:left="567" w:hanging="567"/>
        <w:rPr>
          <w:color w:val="000000"/>
        </w:rPr>
      </w:pPr>
      <w:r w:rsidRPr="00D0436F">
        <w:rPr>
          <w:szCs w:val="24"/>
        </w:rPr>
        <w:t>31.</w:t>
      </w:r>
      <w:r w:rsidRPr="00D0436F">
        <w:rPr>
          <w:szCs w:val="24"/>
        </w:rPr>
        <w:tab/>
        <w:t xml:space="preserve">Det är av största vikt att </w:t>
      </w:r>
      <w:r w:rsidRPr="00D0436F">
        <w:rPr>
          <w:color w:val="000000"/>
        </w:rPr>
        <w:t>snabbt och fullständigt offentliggöra exponeringar mot problemtillgångar och finansiella instrument som inte är medtagna i balansräkningen och/eller förluster som görs av banker och andra finansinstitut. Det krävs förbättringar av tillsynsramen och enskilda institutioners riskhantering i en miljö som utmärks av konstant finansiell innovation och som tydligt har visat på nya utmaningar för krisförebyggande och finansiell tillsyn på nationell nivå, EU-nivå och global nivå.</w:t>
      </w:r>
    </w:p>
    <w:p w:rsidR="00F229DA" w:rsidRPr="00D0436F" w:rsidRDefault="00F229DA" w:rsidP="00F229DA">
      <w:pPr>
        <w:ind w:left="567" w:hanging="567"/>
        <w:rPr>
          <w:color w:val="000000"/>
        </w:rPr>
      </w:pPr>
    </w:p>
    <w:p w:rsidR="00F229DA" w:rsidRPr="00D0436F" w:rsidRDefault="00F229DA" w:rsidP="00F229DA">
      <w:pPr>
        <w:ind w:left="567" w:hanging="567"/>
        <w:rPr>
          <w:color w:val="000000"/>
        </w:rPr>
      </w:pPr>
      <w:r w:rsidRPr="00D0436F">
        <w:rPr>
          <w:color w:val="000000"/>
        </w:rPr>
        <w:t>32.</w:t>
      </w:r>
      <w:r w:rsidRPr="00D0436F">
        <w:rPr>
          <w:color w:val="000000"/>
        </w:rPr>
        <w:tab/>
        <w:t>Europeiska rådet är enigt om att ansvaret i första hand ligger på den privata sektorn, men som en reaktion på turbulensen är myndigheter i EU beredda att vid behov vidta lagstiftningsåtgärder och tillsynsåtgärder. Politiska åtgärder bör inriktas på följande fyra områden:</w:t>
      </w:r>
    </w:p>
    <w:p w:rsidR="00F229DA" w:rsidRPr="00D0436F" w:rsidRDefault="00F229DA" w:rsidP="00F229DA">
      <w:pPr>
        <w:ind w:left="1134" w:hanging="567"/>
        <w:rPr>
          <w:color w:val="000000"/>
        </w:rPr>
      </w:pPr>
      <w:r w:rsidRPr="00D0436F">
        <w:rPr>
          <w:color w:val="000000"/>
        </w:rPr>
        <w:t>–</w:t>
      </w:r>
      <w:r w:rsidRPr="00D0436F">
        <w:rPr>
          <w:color w:val="000000"/>
        </w:rPr>
        <w:tab/>
        <w:t>Stärkt insyn för investerare, marknader och lagstiftare, särskilt i fråga om exponering mot strukturerade produkter</w:t>
      </w:r>
      <w:r w:rsidR="00B05EEB" w:rsidRPr="00D0436F">
        <w:rPr>
          <w:color w:val="000000"/>
        </w:rPr>
        <w:t xml:space="preserve"> </w:t>
      </w:r>
      <w:r w:rsidRPr="00D0436F">
        <w:rPr>
          <w:color w:val="000000"/>
        </w:rPr>
        <w:t>och finansiella instrument som inte är medtagna i balansräkningen.</w:t>
      </w:r>
    </w:p>
    <w:p w:rsidR="00F229DA" w:rsidRPr="00D0436F" w:rsidRDefault="00F229DA" w:rsidP="00F229DA">
      <w:pPr>
        <w:ind w:left="1134" w:hanging="567"/>
        <w:rPr>
          <w:color w:val="000000"/>
        </w:rPr>
      </w:pPr>
      <w:r w:rsidRPr="00D0436F">
        <w:rPr>
          <w:color w:val="000000"/>
        </w:rPr>
        <w:t>–</w:t>
      </w:r>
      <w:r w:rsidRPr="00D0436F">
        <w:rPr>
          <w:color w:val="000000"/>
        </w:rPr>
        <w:tab/>
        <w:t>Förbättrade värderingsstandarder, särskilt i fråga om illikvida tillgångar.</w:t>
      </w:r>
    </w:p>
    <w:p w:rsidR="00F229DA" w:rsidRPr="00D0436F" w:rsidRDefault="00F229DA" w:rsidP="00F229DA">
      <w:pPr>
        <w:ind w:left="1134" w:hanging="567"/>
        <w:rPr>
          <w:color w:val="000000"/>
        </w:rPr>
      </w:pPr>
      <w:r w:rsidRPr="00D0436F">
        <w:rPr>
          <w:color w:val="000000"/>
        </w:rPr>
        <w:t>–</w:t>
      </w:r>
      <w:r w:rsidRPr="00D0436F">
        <w:rPr>
          <w:color w:val="000000"/>
        </w:rPr>
        <w:tab/>
        <w:t>Förstärkt tillsynsram och riskhantering inom finanssektorn genom översyn av en rad områden i direktivet om kapitalkrav samt förbättrad hantering av likviditetsrisker. Rådet uppmanar kommissionen att fortsätta samråden och att senast i september 2008 lägga fram sitt förslag samt framhåller vikten av att senast i april 2009 försöka nå en överenskommelse mellan rådet, Europaparlamentet och kommissionen om de ändringar av regelverket som är nödvändiga.</w:t>
      </w:r>
    </w:p>
    <w:p w:rsidR="00F229DA" w:rsidRPr="00D0436F" w:rsidRDefault="00F229DA" w:rsidP="00F229DA">
      <w:pPr>
        <w:ind w:left="1134" w:hanging="567"/>
        <w:rPr>
          <w:color w:val="000000"/>
        </w:rPr>
      </w:pPr>
      <w:r w:rsidRPr="00D0436F">
        <w:rPr>
          <w:color w:val="000000"/>
        </w:rPr>
        <w:t>–</w:t>
      </w:r>
      <w:r w:rsidRPr="00D0436F">
        <w:rPr>
          <w:color w:val="000000"/>
        </w:rPr>
        <w:tab/>
        <w:t>Förbättring av marknadens sätt att fungera och förbättrad incitamentsstruktur, inklusive kreditvärderingsinstitutens roll, där EU är berett att överväga lagstiftningsalternativ om marknadsaktörerna inte snabbt griper sig an dessa frågor.</w:t>
      </w:r>
    </w:p>
    <w:p w:rsidR="00F229DA" w:rsidRPr="00D0436F" w:rsidRDefault="00F229DA" w:rsidP="00F229DA">
      <w:pPr>
        <w:ind w:left="567" w:hanging="567"/>
        <w:rPr>
          <w:color w:val="000000"/>
        </w:rPr>
      </w:pPr>
      <w:r w:rsidRPr="00D0436F">
        <w:rPr>
          <w:color w:val="000000"/>
        </w:rPr>
        <w:br w:type="page"/>
        <w:t>33.</w:t>
      </w:r>
      <w:r w:rsidRPr="00D0436F">
        <w:rPr>
          <w:color w:val="000000"/>
        </w:rPr>
        <w:tab/>
        <w:t>Den nuvarande turbulensen har visat på nödvändigheten av att ytterligare stärka den finansiella stabilitetsramen genom förbättrad tillsyn och förbättrade verktyg för hantering av finansiella kriser. Europeiska rådet uppmanar Ekofinrådet att skyndsamt och fullständigt genomföra det arbetsprogram om vilket överenskommelse nåddes hösten 2007. Detta omfattar ytterligare framsteg under våren 2008 på följande områden:</w:t>
      </w:r>
    </w:p>
    <w:p w:rsidR="00F229DA" w:rsidRPr="00D0436F" w:rsidRDefault="00F229DA" w:rsidP="00F229DA">
      <w:pPr>
        <w:ind w:left="1134" w:hanging="567"/>
        <w:rPr>
          <w:color w:val="000000"/>
        </w:rPr>
      </w:pPr>
      <w:r w:rsidRPr="00D0436F">
        <w:rPr>
          <w:color w:val="000000"/>
        </w:rPr>
        <w:t>–</w:t>
      </w:r>
      <w:r w:rsidRPr="00D0436F">
        <w:rPr>
          <w:color w:val="000000"/>
        </w:rPr>
        <w:tab/>
        <w:t xml:space="preserve">Finansiell tillsyn, där de viktigaste frågorna gäller förbättringar av och samstämmighet mellan tillsynsregler och standarder, konvergens beträffande rapportering för regleringsändamål och finansiell rapportering, </w:t>
      </w:r>
      <w:r w:rsidR="00FF5FA5" w:rsidRPr="00D0436F">
        <w:rPr>
          <w:color w:val="000000"/>
        </w:rPr>
        <w:t xml:space="preserve">som syftar till tillsyn av gränsöverskridande grupper, </w:t>
      </w:r>
      <w:r w:rsidRPr="00D0436F">
        <w:rPr>
          <w:color w:val="000000"/>
        </w:rPr>
        <w:t xml:space="preserve">klargörande av förhållandet mellan hemlands- och värdlandsmyndigheter som avspeglar deras befogenheter och ansvar, inklusive </w:t>
      </w:r>
      <w:r w:rsidR="00FF5FA5" w:rsidRPr="00D0436F">
        <w:rPr>
          <w:color w:val="000000"/>
        </w:rPr>
        <w:t xml:space="preserve">balanserat </w:t>
      </w:r>
      <w:r w:rsidRPr="00D0436F">
        <w:rPr>
          <w:color w:val="000000"/>
        </w:rPr>
        <w:t>informationsutbyte, tillsynskollegiers roll och förbättringar av det sätt på vilket EU:s tillsynskommittéer fungerar samt ett eventuellt införande av en EU</w:t>
      </w:r>
      <w:r w:rsidRPr="00D0436F">
        <w:rPr>
          <w:color w:val="000000"/>
        </w:rPr>
        <w:noBreakHyphen/>
        <w:t>dimension i de nationella tillsynsmyndigheternas mandat för att underlätta konvergens och samarbete.</w:t>
      </w:r>
    </w:p>
    <w:p w:rsidR="00F229DA" w:rsidRPr="00D0436F" w:rsidRDefault="00F229DA" w:rsidP="00F229DA">
      <w:pPr>
        <w:ind w:left="1134" w:hanging="567"/>
        <w:rPr>
          <w:color w:val="000000"/>
        </w:rPr>
      </w:pPr>
      <w:r w:rsidRPr="00D0436F">
        <w:rPr>
          <w:color w:val="000000"/>
        </w:rPr>
        <w:t>–</w:t>
      </w:r>
      <w:r w:rsidRPr="00D0436F">
        <w:rPr>
          <w:color w:val="000000"/>
        </w:rPr>
        <w:tab/>
        <w:t>Hanteringen av gränsöverskridande finansiella krissituationer, där verktygen och förfarandena bör förbättras, varvid det som ett första steg förväntas att ett nytt samförståndsavtal om gränsöverskridande samarbete mellan de berörda myndigheterna undertecknas våren 2008. På grundval av det fortsatta arbetet bör rådet också vid mitten av 2008 undersöka hur insättningsgarantisystemen fungerar.</w:t>
      </w:r>
    </w:p>
    <w:p w:rsidR="00F229DA" w:rsidRPr="00D0436F" w:rsidRDefault="00F229DA" w:rsidP="00F229DA">
      <w:pPr>
        <w:ind w:left="1134" w:hanging="567"/>
        <w:rPr>
          <w:color w:val="000000"/>
        </w:rPr>
      </w:pPr>
    </w:p>
    <w:p w:rsidR="00F229DA" w:rsidRPr="00D0436F" w:rsidRDefault="00F229DA" w:rsidP="00F229DA">
      <w:pPr>
        <w:ind w:left="567" w:hanging="567"/>
        <w:rPr>
          <w:color w:val="000000"/>
        </w:rPr>
      </w:pPr>
      <w:r w:rsidRPr="00D0436F">
        <w:rPr>
          <w:color w:val="000000"/>
        </w:rPr>
        <w:t>34.</w:t>
      </w:r>
      <w:r w:rsidRPr="00D0436F">
        <w:rPr>
          <w:color w:val="000000"/>
        </w:rPr>
        <w:tab/>
        <w:t>Dessutom bör systemen för tidig varning förbättras på såväl EU-nivå som internationell nivå, bland annat genom en förstärkning av IMF:s roll när det gäller att övervaka makrofinansiell stabilitet. I fråga om stabiliteten på finansmarknaderna bör EU ha ett nära samarbete med sina internationella partner inom berörda forum.</w:t>
      </w:r>
    </w:p>
    <w:p w:rsidR="00F229DA" w:rsidRPr="00D0436F" w:rsidRDefault="00F229DA" w:rsidP="00F229DA">
      <w:pPr>
        <w:ind w:left="567" w:hanging="567"/>
        <w:rPr>
          <w:color w:val="000000"/>
        </w:rPr>
      </w:pPr>
    </w:p>
    <w:p w:rsidR="00F229DA" w:rsidRPr="00D0436F" w:rsidRDefault="00F229DA" w:rsidP="00F229DA">
      <w:pPr>
        <w:ind w:left="567" w:hanging="567"/>
        <w:outlineLvl w:val="0"/>
        <w:rPr>
          <w:szCs w:val="24"/>
        </w:rPr>
      </w:pPr>
      <w:r w:rsidRPr="00D0436F">
        <w:rPr>
          <w:szCs w:val="24"/>
        </w:rPr>
        <w:t>35.</w:t>
      </w:r>
      <w:r w:rsidRPr="00D0436F">
        <w:rPr>
          <w:szCs w:val="24"/>
        </w:rPr>
        <w:tab/>
        <w:t>Europeiska rådet uppmanar rådet att under de kommande månaderna fortsätta att prioritera dessa frågor och att i april 2008 göra en omfattande översyn av framstegen samt noga följa situationen så att skyndsamma insatser ska kunna göras vid en eventuell kritisk utveckling. Europeiska rådet kommer senast hösten 2008 att, i tillämpliga fall, åter ta upp dessa frågor.</w:t>
      </w:r>
    </w:p>
    <w:p w:rsidR="00F229DA" w:rsidRPr="00D0436F" w:rsidRDefault="00F229DA" w:rsidP="00F229DA">
      <w:pPr>
        <w:ind w:left="567" w:hanging="567"/>
        <w:outlineLvl w:val="0"/>
        <w:rPr>
          <w:szCs w:val="24"/>
        </w:rPr>
      </w:pPr>
    </w:p>
    <w:p w:rsidR="00F229DA" w:rsidRPr="00D0436F" w:rsidRDefault="00F229DA" w:rsidP="00F229DA">
      <w:pPr>
        <w:ind w:left="567" w:hanging="567"/>
        <w:outlineLvl w:val="0"/>
        <w:rPr>
          <w:szCs w:val="24"/>
        </w:rPr>
      </w:pPr>
      <w:r w:rsidRPr="00D0436F">
        <w:rPr>
          <w:szCs w:val="24"/>
        </w:rPr>
        <w:br w:type="page"/>
        <w:t>36.</w:t>
      </w:r>
      <w:r w:rsidRPr="00D0436F">
        <w:rPr>
          <w:szCs w:val="24"/>
        </w:rPr>
        <w:tab/>
        <w:t>Europeiska rådet välkomnar kommissionens meddelande om statsägda förmögenhetsfonder. Europeiska unionen stöder fullt ut en öppen och global investeringsmiljö som grundar sig på den fria rörligheten för kapital och effektivt fungerande globala kapitalmarknader. Statsägda förmögenhetsfonder har hittills spelat en värdefull roll som tillhandahållare av kapital och likviditet i ett långsiktigt investeringsperspektiv. Uppkomsten av nya aktörer med begränsad insyn i sina investeringsstrategier och mål har dock lett till viss oro som är kopplad till eventuellt icke</w:t>
      </w:r>
      <w:r w:rsidRPr="00D0436F">
        <w:rPr>
          <w:szCs w:val="24"/>
        </w:rPr>
        <w:noBreakHyphen/>
        <w:t>kommersiella tillämpningar. Avgränsningen mellan statsägda förmögenhetsfonder och andra enheter är inte alltid helt tydlig. Europeiska rådet är enigt om nödvändigheten av en gemensam europeisk strategi som tar hänsyn till nationell handlingsfrihet i överensstämmelse med de fem principer som kommissionen föreslår, nämligen följande: fasthållande vid ett öppet investeringsklimat, stöd till det nu pågående arbetet i IMF och OECD, användning av nationella instrument och EU-instrument när så är nödvändigt, respekt för de skyldigheter som följer av EG-fördraget och internationella åtaganden samt proportionalitet och öppenhet. Europeiska rådet stöder målet om att på internationell nivå nå en överenskommelse om en frivillig uppförandekod för statsägda förmögenhetsfonder samt om att på internationell nivå fastställa principer för mottagande länder. EU bör försöka lämna ett samordnat bidrag till dessa nu pågående diskussioner och Europeiska rådet uppmanar kommissionen och rådet att fortsätta arbetet enligt dessa riktlinjer.</w:t>
      </w:r>
    </w:p>
    <w:p w:rsidR="00F229DA" w:rsidRPr="00D0436F" w:rsidRDefault="00F229DA" w:rsidP="00F229DA">
      <w:pPr>
        <w:ind w:left="567" w:hanging="567"/>
        <w:outlineLvl w:val="0"/>
        <w:rPr>
          <w:b/>
          <w:szCs w:val="24"/>
          <w:u w:val="single"/>
        </w:rPr>
      </w:pPr>
    </w:p>
    <w:p w:rsidR="00F229DA" w:rsidRPr="00D0436F" w:rsidRDefault="00F229DA" w:rsidP="00F229DA">
      <w:pPr>
        <w:jc w:val="center"/>
      </w:pPr>
    </w:p>
    <w:p w:rsidR="00FF5FA5" w:rsidRPr="00D0436F" w:rsidRDefault="00FF5FA5">
      <w:pPr>
        <w:jc w:val="center"/>
      </w:pPr>
      <w:r w:rsidRPr="00D0436F">
        <w:t>___________</w:t>
      </w:r>
    </w:p>
    <w:p w:rsidR="00FF5FA5" w:rsidRPr="00D0436F" w:rsidRDefault="00FF5FA5" w:rsidP="00F229DA">
      <w:pPr>
        <w:jc w:val="center"/>
      </w:pPr>
    </w:p>
    <w:p w:rsidR="00FF5FA5" w:rsidRPr="00D0436F" w:rsidRDefault="00FF5FA5" w:rsidP="00F229DA">
      <w:pPr>
        <w:jc w:val="center"/>
      </w:pPr>
    </w:p>
    <w:p w:rsidR="00F229DA" w:rsidRPr="00D0436F" w:rsidRDefault="00F229DA" w:rsidP="00F229DA">
      <w:pPr>
        <w:jc w:val="center"/>
        <w:sectPr w:rsidR="00F229DA" w:rsidRPr="00D0436F" w:rsidSect="00F229DA">
          <w:footerReference w:type="default" r:id="rId10"/>
          <w:footnotePr>
            <w:numRestart w:val="eachPage"/>
          </w:footnotePr>
          <w:endnotePr>
            <w:numFmt w:val="decimal"/>
          </w:endnotePr>
          <w:pgSz w:w="11907" w:h="16840" w:code="9"/>
          <w:pgMar w:top="1134" w:right="1134" w:bottom="1134" w:left="1134" w:header="567" w:footer="567" w:gutter="0"/>
          <w:pgNumType w:start="1"/>
          <w:cols w:space="720"/>
        </w:sectPr>
      </w:pPr>
    </w:p>
    <w:p w:rsidR="00F229DA" w:rsidRPr="00D0436F" w:rsidRDefault="00F229DA" w:rsidP="00FF5FA5">
      <w:pPr>
        <w:ind w:left="567" w:hanging="567"/>
        <w:jc w:val="right"/>
        <w:rPr>
          <w:u w:val="single"/>
        </w:rPr>
      </w:pPr>
      <w:r w:rsidRPr="00D0436F">
        <w:rPr>
          <w:u w:val="single"/>
        </w:rPr>
        <w:t>BILAGA I</w:t>
      </w:r>
    </w:p>
    <w:p w:rsidR="00F229DA" w:rsidRPr="00D0436F" w:rsidRDefault="00F229DA" w:rsidP="00FF5FA5">
      <w:pPr>
        <w:ind w:left="567" w:hanging="567"/>
      </w:pPr>
    </w:p>
    <w:p w:rsidR="00F229DA" w:rsidRPr="00D0436F" w:rsidRDefault="00F229DA" w:rsidP="00FF5FA5">
      <w:pPr>
        <w:ind w:left="567" w:hanging="567"/>
      </w:pPr>
    </w:p>
    <w:p w:rsidR="00F229DA" w:rsidRPr="00D0436F" w:rsidRDefault="00F229DA" w:rsidP="00FF5FA5">
      <w:pPr>
        <w:jc w:val="center"/>
        <w:outlineLvl w:val="0"/>
        <w:rPr>
          <w:b/>
        </w:rPr>
      </w:pPr>
      <w:r w:rsidRPr="00D0436F">
        <w:rPr>
          <w:b/>
        </w:rPr>
        <w:t>UTTALANDE OM "BARCELONAPROCESSEN: EN UNION FÖR MEDELHAVSOMRÅDET"</w:t>
      </w:r>
    </w:p>
    <w:p w:rsidR="00F229DA" w:rsidRPr="00D0436F" w:rsidRDefault="00F229DA" w:rsidP="00FF5FA5"/>
    <w:p w:rsidR="00F229DA" w:rsidRPr="00D0436F" w:rsidRDefault="00F229DA" w:rsidP="00FF5FA5"/>
    <w:p w:rsidR="00F229DA" w:rsidRPr="00D0436F" w:rsidRDefault="00F229DA" w:rsidP="00FF5FA5">
      <w:r w:rsidRPr="00D0436F">
        <w:t>Europeiska rådet godkände principen om en union för Medelhavsområdet som kommer att omfatta EU:s medlemsstater och de kuststater runt Medelhavet som inte är medlemmar av EU. Europeiska rådet uppmanade kommissionen att förelägga rådet de förslag som krävs för att inför toppmötet i Paris den 13 juli 2008 fastställa de närmare bestämmelserna för vad som kommer att kallas "Barcelonaprocessen: En union för Medelhavsområdet".</w:t>
      </w:r>
    </w:p>
    <w:p w:rsidR="00F229DA" w:rsidRPr="00D0436F" w:rsidRDefault="00F229DA" w:rsidP="00FF5FA5"/>
    <w:p w:rsidR="00F229DA" w:rsidRPr="00D0436F" w:rsidRDefault="00F229DA" w:rsidP="00FF5FA5"/>
    <w:p w:rsidR="00F229DA" w:rsidRPr="00D0436F" w:rsidRDefault="00F229DA" w:rsidP="00FF5FA5">
      <w:pPr>
        <w:jc w:val="center"/>
      </w:pPr>
      <w:r w:rsidRPr="00D0436F">
        <w:t>___________</w:t>
      </w:r>
    </w:p>
    <w:p w:rsidR="00F229DA" w:rsidRPr="00D0436F" w:rsidRDefault="00F229DA" w:rsidP="00FF5FA5"/>
    <w:p w:rsidR="00F229DA" w:rsidRPr="00D0436F" w:rsidRDefault="00F229DA" w:rsidP="00FF5FA5">
      <w:pPr>
        <w:sectPr w:rsidR="00F229DA" w:rsidRPr="00D0436F">
          <w:footerReference w:type="default" r:id="rId11"/>
          <w:footnotePr>
            <w:numRestart w:val="eachPage"/>
          </w:footnotePr>
          <w:endnotePr>
            <w:numFmt w:val="decimal"/>
          </w:endnotePr>
          <w:pgSz w:w="11907" w:h="16840" w:code="9"/>
          <w:pgMar w:top="1134" w:right="1134" w:bottom="1134" w:left="1134" w:header="567" w:footer="567" w:gutter="0"/>
          <w:cols w:space="720"/>
        </w:sectPr>
      </w:pPr>
    </w:p>
    <w:p w:rsidR="00F229DA" w:rsidRPr="00D0436F" w:rsidRDefault="00F229DA" w:rsidP="00F229DA">
      <w:pPr>
        <w:jc w:val="right"/>
      </w:pPr>
      <w:r w:rsidRPr="00D0436F">
        <w:rPr>
          <w:u w:val="single"/>
        </w:rPr>
        <w:t>BILAGA II</w:t>
      </w:r>
    </w:p>
    <w:p w:rsidR="00F229DA" w:rsidRPr="00D0436F" w:rsidRDefault="00F229DA" w:rsidP="00F229DA">
      <w:pPr>
        <w:jc w:val="center"/>
        <w:outlineLvl w:val="0"/>
        <w:rPr>
          <w:b/>
        </w:rPr>
      </w:pPr>
    </w:p>
    <w:p w:rsidR="00F229DA" w:rsidRPr="00D0436F" w:rsidRDefault="00F229DA" w:rsidP="00F229DA">
      <w:pPr>
        <w:jc w:val="center"/>
        <w:outlineLvl w:val="0"/>
        <w:rPr>
          <w:b/>
        </w:rPr>
      </w:pPr>
      <w:r w:rsidRPr="00D0436F">
        <w:rPr>
          <w:b/>
        </w:rPr>
        <w:t>FÖRTECKNING ÖVER DOKUMENT SOM LAGTS FRAM FÖR EUROPEISKA RÅDET</w:t>
      </w:r>
    </w:p>
    <w:p w:rsidR="00F229DA" w:rsidRPr="00D0436F" w:rsidRDefault="00F229DA" w:rsidP="00F229DA">
      <w:pPr>
        <w:jc w:val="center"/>
        <w:rPr>
          <w:b/>
        </w:rPr>
      </w:pPr>
    </w:p>
    <w:p w:rsidR="00DA757E" w:rsidRPr="00D0436F" w:rsidRDefault="00DA757E" w:rsidP="00F229DA">
      <w:pPr>
        <w:jc w:val="center"/>
        <w:rPr>
          <w:b/>
        </w:rPr>
      </w:pPr>
    </w:p>
    <w:p w:rsidR="00F229DA" w:rsidRPr="00D0436F" w:rsidRDefault="00F229DA" w:rsidP="00F229DA">
      <w:pPr>
        <w:tabs>
          <w:tab w:val="right" w:pos="9639"/>
        </w:tabs>
        <w:outlineLvl w:val="0"/>
        <w:rPr>
          <w:b/>
          <w:shd w:val="clear" w:color="auto" w:fill="C0C0C0"/>
        </w:rPr>
      </w:pPr>
      <w:r w:rsidRPr="00D0436F">
        <w:rPr>
          <w:b/>
          <w:shd w:val="clear" w:color="auto" w:fill="C0C0C0"/>
        </w:rPr>
        <w:t>LISSABONSTRATEGIN FÖR TILLVÄXT OCH SYSSELSÄTTNING</w:t>
      </w:r>
      <w:r w:rsidRPr="00D0436F">
        <w:rPr>
          <w:b/>
          <w:shd w:val="clear" w:color="auto" w:fill="C0C0C0"/>
        </w:rPr>
        <w:tab/>
      </w:r>
    </w:p>
    <w:p w:rsidR="00F229DA" w:rsidRPr="00D0436F" w:rsidRDefault="00F229DA" w:rsidP="00F229DA">
      <w:pPr>
        <w:rPr>
          <w:b/>
        </w:rPr>
      </w:pPr>
    </w:p>
    <w:p w:rsidR="00F229DA" w:rsidRPr="00D0436F" w:rsidRDefault="00F229DA" w:rsidP="00F229DA">
      <w:pPr>
        <w:spacing w:line="240" w:lineRule="auto"/>
        <w:outlineLvl w:val="0"/>
        <w:rPr>
          <w:b/>
        </w:rPr>
      </w:pPr>
      <w:r w:rsidRPr="00D0436F">
        <w:rPr>
          <w:b/>
        </w:rPr>
        <w:t>Allmänna riktlinjer för den ekonomiska politiken</w:t>
      </w:r>
    </w:p>
    <w:p w:rsidR="00F229DA" w:rsidRPr="00D0436F" w:rsidRDefault="00F229DA" w:rsidP="00F229DA">
      <w:pPr>
        <w:spacing w:line="240" w:lineRule="auto"/>
        <w:rPr>
          <w:b/>
        </w:rPr>
      </w:pPr>
      <w:r w:rsidRPr="00D0436F">
        <w:rPr>
          <w:b/>
        </w:rPr>
        <w:t>–</w:t>
      </w:r>
      <w:r w:rsidRPr="00D0436F">
        <w:rPr>
          <w:b/>
        </w:rPr>
        <w:tab/>
        <w:t>Rapport från Ekofin till Europeiska rådet</w:t>
      </w:r>
    </w:p>
    <w:p w:rsidR="00F229DA" w:rsidRPr="00D0436F" w:rsidRDefault="008061E5" w:rsidP="00F229DA">
      <w:pPr>
        <w:spacing w:line="240" w:lineRule="auto"/>
      </w:pPr>
      <w:hyperlink r:id="rId12" w:history="1">
        <w:r w:rsidR="00F229DA" w:rsidRPr="00D0436F">
          <w:rPr>
            <w:rStyle w:val="Hyperlnk"/>
          </w:rPr>
          <w:t>7280/08</w:t>
        </w:r>
      </w:hyperlink>
    </w:p>
    <w:p w:rsidR="00F229DA" w:rsidRPr="00D0436F" w:rsidRDefault="00F229DA" w:rsidP="00F229DA">
      <w:pPr>
        <w:spacing w:line="240" w:lineRule="auto"/>
      </w:pPr>
    </w:p>
    <w:p w:rsidR="00F229DA" w:rsidRPr="00D0436F" w:rsidRDefault="00F229DA" w:rsidP="00F229DA">
      <w:pPr>
        <w:spacing w:line="240" w:lineRule="auto"/>
        <w:outlineLvl w:val="0"/>
        <w:rPr>
          <w:b/>
        </w:rPr>
      </w:pPr>
      <w:r w:rsidRPr="00D0436F">
        <w:rPr>
          <w:b/>
        </w:rPr>
        <w:t>Landsspecifika integrerade rekommendationer</w:t>
      </w:r>
    </w:p>
    <w:p w:rsidR="00F229DA" w:rsidRPr="00D0436F" w:rsidRDefault="00F229DA" w:rsidP="00F229DA">
      <w:pPr>
        <w:spacing w:line="240" w:lineRule="auto"/>
        <w:rPr>
          <w:b/>
        </w:rPr>
      </w:pPr>
      <w:r w:rsidRPr="00D0436F">
        <w:t>–</w:t>
      </w:r>
      <w:r w:rsidRPr="00D0436F">
        <w:rPr>
          <w:b/>
        </w:rPr>
        <w:tab/>
        <w:t>Rapport från rådet till Europeiska rådet</w:t>
      </w:r>
    </w:p>
    <w:p w:rsidR="008061E5" w:rsidRPr="00D0436F" w:rsidRDefault="008061E5" w:rsidP="008061E5">
      <w:pPr>
        <w:tabs>
          <w:tab w:val="left" w:pos="1080"/>
          <w:tab w:val="left" w:pos="8640"/>
          <w:tab w:val="left" w:pos="9720"/>
        </w:tabs>
        <w:spacing w:line="240" w:lineRule="auto"/>
      </w:pPr>
      <w:hyperlink r:id="rId13" w:history="1">
        <w:r w:rsidRPr="00D0436F">
          <w:rPr>
            <w:rStyle w:val="Hyperlnk"/>
          </w:rPr>
          <w:t>7275/08</w:t>
        </w:r>
      </w:hyperlink>
    </w:p>
    <w:p w:rsidR="00F229DA" w:rsidRPr="00D0436F" w:rsidRDefault="00F229DA" w:rsidP="00F229DA">
      <w:pPr>
        <w:spacing w:line="240" w:lineRule="auto"/>
      </w:pPr>
    </w:p>
    <w:p w:rsidR="00F229DA" w:rsidRPr="00D0436F" w:rsidRDefault="00F229DA" w:rsidP="00F229DA">
      <w:pPr>
        <w:spacing w:line="240" w:lineRule="auto"/>
        <w:rPr>
          <w:b/>
        </w:rPr>
      </w:pPr>
      <w:r w:rsidRPr="00D0436F">
        <w:rPr>
          <w:b/>
        </w:rPr>
        <w:t>Dokument om viktiga frågor – bidrag från rådet (konkurrenskraft)</w:t>
      </w:r>
    </w:p>
    <w:p w:rsidR="00F229DA" w:rsidRPr="00D0436F" w:rsidRDefault="008061E5" w:rsidP="00F229DA">
      <w:pPr>
        <w:spacing w:line="240" w:lineRule="auto"/>
        <w:outlineLvl w:val="0"/>
      </w:pPr>
      <w:hyperlink r:id="rId14" w:history="1">
        <w:r w:rsidRPr="00D0436F">
          <w:rPr>
            <w:rStyle w:val="Hyperlnk"/>
          </w:rPr>
          <w:t>6933/08</w:t>
        </w:r>
      </w:hyperlink>
    </w:p>
    <w:p w:rsidR="008061E5" w:rsidRPr="00D0436F" w:rsidRDefault="008061E5" w:rsidP="00F229DA">
      <w:pPr>
        <w:spacing w:line="240" w:lineRule="auto"/>
        <w:outlineLvl w:val="0"/>
      </w:pPr>
    </w:p>
    <w:p w:rsidR="00F229DA" w:rsidRPr="00D0436F" w:rsidRDefault="00F229DA" w:rsidP="00F229DA">
      <w:pPr>
        <w:spacing w:line="240" w:lineRule="auto"/>
        <w:outlineLvl w:val="0"/>
        <w:rPr>
          <w:b/>
        </w:rPr>
      </w:pPr>
      <w:r w:rsidRPr="00D0436F">
        <w:rPr>
          <w:b/>
        </w:rPr>
        <w:t>Viktiga budskap på utbildnings- och ungdomsområdet till Europeiska rådets vårmöte</w:t>
      </w:r>
    </w:p>
    <w:p w:rsidR="00F229DA" w:rsidRPr="00D0436F" w:rsidRDefault="008061E5" w:rsidP="00F229DA">
      <w:pPr>
        <w:spacing w:line="240" w:lineRule="auto"/>
      </w:pPr>
      <w:hyperlink r:id="rId15" w:history="1">
        <w:r w:rsidRPr="00D0436F">
          <w:rPr>
            <w:rStyle w:val="Hyperlnk"/>
          </w:rPr>
          <w:t>6445/08</w:t>
        </w:r>
      </w:hyperlink>
    </w:p>
    <w:p w:rsidR="00F229DA" w:rsidRPr="00D0436F" w:rsidRDefault="00F229DA" w:rsidP="00F229DA">
      <w:pPr>
        <w:spacing w:line="240" w:lineRule="auto"/>
        <w:rPr>
          <w:b/>
        </w:rPr>
      </w:pPr>
    </w:p>
    <w:p w:rsidR="00F229DA" w:rsidRPr="00D0436F" w:rsidRDefault="00F229DA" w:rsidP="00F229DA">
      <w:pPr>
        <w:spacing w:line="240" w:lineRule="auto"/>
        <w:rPr>
          <w:b/>
        </w:rPr>
      </w:pPr>
      <w:r w:rsidRPr="00D0436F">
        <w:rPr>
          <w:b/>
        </w:rPr>
        <w:t>Viktiga budskap från rådet (sysselsättning, socialpolitik, hälso- och sjukvård samt konsumentfrågor)</w:t>
      </w:r>
    </w:p>
    <w:p w:rsidR="00F229DA" w:rsidRPr="00D0436F" w:rsidRDefault="008061E5" w:rsidP="00F229DA">
      <w:pPr>
        <w:spacing w:line="240" w:lineRule="auto"/>
      </w:pPr>
      <w:hyperlink r:id="rId16" w:history="1">
        <w:r w:rsidRPr="00D0436F">
          <w:rPr>
            <w:rStyle w:val="Hyperlnk"/>
          </w:rPr>
          <w:t>7171/08</w:t>
        </w:r>
      </w:hyperlink>
    </w:p>
    <w:p w:rsidR="008061E5" w:rsidRPr="00D0436F" w:rsidRDefault="008061E5" w:rsidP="00F229DA">
      <w:pPr>
        <w:spacing w:line="240" w:lineRule="auto"/>
      </w:pPr>
    </w:p>
    <w:p w:rsidR="00F229DA" w:rsidRPr="00D0436F" w:rsidRDefault="00F229DA" w:rsidP="00F229DA">
      <w:pPr>
        <w:spacing w:line="240" w:lineRule="auto"/>
        <w:outlineLvl w:val="0"/>
        <w:rPr>
          <w:b/>
        </w:rPr>
      </w:pPr>
      <w:r w:rsidRPr="00D0436F">
        <w:rPr>
          <w:b/>
        </w:rPr>
        <w:t>Gemensam rapport om sysselsättningen 2007/2008</w:t>
      </w:r>
    </w:p>
    <w:p w:rsidR="00F229DA" w:rsidRPr="00D0436F" w:rsidRDefault="008061E5" w:rsidP="00F229DA">
      <w:pPr>
        <w:spacing w:line="240" w:lineRule="auto"/>
      </w:pPr>
      <w:hyperlink r:id="rId17" w:history="1">
        <w:r w:rsidRPr="00D0436F">
          <w:rPr>
            <w:rStyle w:val="Hyperlnk"/>
          </w:rPr>
          <w:t>7169/08</w:t>
        </w:r>
      </w:hyperlink>
    </w:p>
    <w:p w:rsidR="00F229DA" w:rsidRPr="00D0436F" w:rsidRDefault="00F229DA" w:rsidP="00F229DA">
      <w:pPr>
        <w:spacing w:line="240" w:lineRule="auto"/>
      </w:pPr>
    </w:p>
    <w:p w:rsidR="00F229DA" w:rsidRPr="00D0436F" w:rsidRDefault="00F229DA" w:rsidP="00F229DA">
      <w:pPr>
        <w:spacing w:line="240" w:lineRule="auto"/>
        <w:outlineLvl w:val="0"/>
        <w:rPr>
          <w:b/>
        </w:rPr>
      </w:pPr>
      <w:r w:rsidRPr="00D0436F">
        <w:rPr>
          <w:b/>
        </w:rPr>
        <w:t>Riktlinjer för medlemsstaternas sysselsättningspolitik</w:t>
      </w:r>
    </w:p>
    <w:p w:rsidR="00F229DA" w:rsidRPr="00D0436F" w:rsidRDefault="008061E5" w:rsidP="00F229DA">
      <w:pPr>
        <w:spacing w:line="240" w:lineRule="auto"/>
      </w:pPr>
      <w:hyperlink r:id="rId18" w:history="1">
        <w:r w:rsidRPr="00D0436F">
          <w:rPr>
            <w:rStyle w:val="Hyperlnk"/>
          </w:rPr>
          <w:t>7170/08</w:t>
        </w:r>
      </w:hyperlink>
    </w:p>
    <w:p w:rsidR="008061E5" w:rsidRPr="00D0436F" w:rsidRDefault="008061E5" w:rsidP="00F229DA">
      <w:pPr>
        <w:spacing w:line="240" w:lineRule="auto"/>
      </w:pPr>
    </w:p>
    <w:p w:rsidR="00F229DA" w:rsidRPr="00D0436F" w:rsidRDefault="00F229DA" w:rsidP="00F229DA">
      <w:pPr>
        <w:spacing w:line="240" w:lineRule="auto"/>
        <w:outlineLvl w:val="0"/>
        <w:rPr>
          <w:b/>
        </w:rPr>
      </w:pPr>
      <w:r w:rsidRPr="00D0436F">
        <w:rPr>
          <w:b/>
        </w:rPr>
        <w:t>Gemensam rapport om socialt skydd och social integration 2008</w:t>
      </w:r>
    </w:p>
    <w:p w:rsidR="00F229DA" w:rsidRPr="00D0436F" w:rsidRDefault="008061E5" w:rsidP="00F229DA">
      <w:pPr>
        <w:spacing w:line="240" w:lineRule="auto"/>
      </w:pPr>
      <w:hyperlink r:id="rId19" w:history="1">
        <w:r w:rsidRPr="00D0436F">
          <w:rPr>
            <w:rStyle w:val="Hyperlnk"/>
          </w:rPr>
          <w:t>7274/08</w:t>
        </w:r>
      </w:hyperlink>
    </w:p>
    <w:p w:rsidR="00F229DA" w:rsidRPr="00D0436F" w:rsidRDefault="00F229DA" w:rsidP="00F229DA">
      <w:pPr>
        <w:spacing w:line="240" w:lineRule="auto"/>
      </w:pPr>
    </w:p>
    <w:p w:rsidR="00F229DA" w:rsidRPr="00D0436F" w:rsidRDefault="00F229DA" w:rsidP="00F229DA">
      <w:pPr>
        <w:spacing w:line="240" w:lineRule="auto"/>
        <w:outlineLvl w:val="0"/>
        <w:rPr>
          <w:b/>
        </w:rPr>
      </w:pPr>
      <w:r w:rsidRPr="00D0436F">
        <w:rPr>
          <w:b/>
        </w:rPr>
        <w:t>EESK:s yttrande om sysselsättning för prioriterade kategorier (Lissabonstrategin)</w:t>
      </w:r>
    </w:p>
    <w:p w:rsidR="00F229DA" w:rsidRPr="00D0436F" w:rsidRDefault="00F229DA" w:rsidP="00F229DA">
      <w:pPr>
        <w:spacing w:line="240" w:lineRule="auto"/>
        <w:outlineLvl w:val="0"/>
      </w:pPr>
      <w:r w:rsidRPr="00D0436F">
        <w:t xml:space="preserve">SOC/251 </w:t>
      </w:r>
      <w:r w:rsidRPr="00D0436F">
        <w:sym w:font="Symbol" w:char="F02D"/>
      </w:r>
      <w:r w:rsidRPr="00D0436F">
        <w:t xml:space="preserve"> CESE 997/2007</w:t>
      </w:r>
    </w:p>
    <w:p w:rsidR="00F229DA" w:rsidRPr="00D0436F" w:rsidRDefault="00F229DA" w:rsidP="00F229DA">
      <w:pPr>
        <w:spacing w:line="240" w:lineRule="auto"/>
        <w:outlineLvl w:val="0"/>
      </w:pPr>
    </w:p>
    <w:p w:rsidR="00F229DA" w:rsidRPr="00D0436F" w:rsidRDefault="00F229DA" w:rsidP="00F229DA">
      <w:pPr>
        <w:spacing w:line="240" w:lineRule="auto"/>
        <w:rPr>
          <w:b/>
          <w:bCs/>
          <w:iCs/>
          <w:color w:val="000000"/>
        </w:rPr>
      </w:pPr>
      <w:r w:rsidRPr="00D0436F">
        <w:rPr>
          <w:b/>
        </w:rPr>
        <w:t>Regionkommitténs resolution som ska läggas fram vid Europeiska rådets vårmöte 2008 –</w:t>
      </w:r>
      <w:r w:rsidRPr="00D0436F">
        <w:t xml:space="preserve"> </w:t>
      </w:r>
      <w:r w:rsidRPr="00D0436F">
        <w:rPr>
          <w:b/>
          <w:bCs/>
          <w:iCs/>
          <w:color w:val="000000"/>
        </w:rPr>
        <w:t xml:space="preserve">Strategin för sysselsättning och tillväxt – Att hantera Lissabonparadoxen </w:t>
      </w:r>
    </w:p>
    <w:p w:rsidR="00F229DA" w:rsidRPr="00D0436F" w:rsidRDefault="00F229DA" w:rsidP="00F229DA">
      <w:pPr>
        <w:spacing w:line="240" w:lineRule="auto"/>
        <w:rPr>
          <w:b/>
          <w:bCs/>
          <w:iCs/>
          <w:color w:val="000000"/>
        </w:rPr>
      </w:pPr>
      <w:r w:rsidRPr="00D0436F">
        <w:rPr>
          <w:bCs/>
          <w:iCs/>
          <w:color w:val="000000"/>
        </w:rPr>
        <w:t>CdK 331/2007</w:t>
      </w:r>
    </w:p>
    <w:p w:rsidR="00F229DA" w:rsidRPr="00D0436F" w:rsidRDefault="00F229DA" w:rsidP="00F229DA">
      <w:pPr>
        <w:tabs>
          <w:tab w:val="right" w:pos="9639"/>
        </w:tabs>
        <w:outlineLvl w:val="0"/>
        <w:rPr>
          <w:b/>
          <w:shd w:val="clear" w:color="auto" w:fill="C0C0C0"/>
        </w:rPr>
      </w:pPr>
      <w:r w:rsidRPr="00D0436F">
        <w:br w:type="page"/>
      </w:r>
      <w:r w:rsidRPr="00D0436F">
        <w:rPr>
          <w:b/>
          <w:shd w:val="clear" w:color="auto" w:fill="C0C0C0"/>
        </w:rPr>
        <w:t>ENERGI OCH KLIMATFÖRÄNDRING</w:t>
      </w:r>
      <w:r w:rsidRPr="00D0436F">
        <w:rPr>
          <w:b/>
          <w:shd w:val="clear" w:color="auto" w:fill="C0C0C0"/>
        </w:rPr>
        <w:tab/>
      </w:r>
      <w:r w:rsidRPr="00D0436F">
        <w:rPr>
          <w:b/>
          <w:shd w:val="clear" w:color="auto" w:fill="C0C0C0"/>
        </w:rPr>
        <w:tab/>
      </w:r>
    </w:p>
    <w:p w:rsidR="00F229DA" w:rsidRPr="00D0436F" w:rsidRDefault="00F229DA" w:rsidP="00F229DA"/>
    <w:p w:rsidR="00F229DA" w:rsidRPr="00D0436F" w:rsidRDefault="00F229DA" w:rsidP="00F229DA">
      <w:pPr>
        <w:spacing w:line="240" w:lineRule="auto"/>
        <w:outlineLvl w:val="0"/>
        <w:rPr>
          <w:b/>
        </w:rPr>
      </w:pPr>
      <w:r w:rsidRPr="00D0436F">
        <w:rPr>
          <w:b/>
        </w:rPr>
        <w:t>Meddelande om en europeisk strategisk plan för energiteknik (Set-Plan)</w:t>
      </w:r>
    </w:p>
    <w:p w:rsidR="00F229DA" w:rsidRPr="00D0436F" w:rsidRDefault="00F229DA" w:rsidP="00F229DA">
      <w:pPr>
        <w:spacing w:line="240" w:lineRule="auto"/>
      </w:pPr>
      <w:r w:rsidRPr="00D0436F">
        <w:rPr>
          <w:b/>
        </w:rPr>
        <w:t>–</w:t>
      </w:r>
      <w:r w:rsidRPr="00D0436F">
        <w:rPr>
          <w:b/>
        </w:rPr>
        <w:tab/>
        <w:t>Rådets slutsatser</w:t>
      </w:r>
    </w:p>
    <w:p w:rsidR="00F229DA" w:rsidRPr="00D0436F" w:rsidRDefault="008061E5" w:rsidP="00F229DA">
      <w:pPr>
        <w:spacing w:line="240" w:lineRule="auto"/>
      </w:pPr>
      <w:hyperlink r:id="rId20" w:history="1">
        <w:r w:rsidRPr="00D0436F">
          <w:rPr>
            <w:rStyle w:val="Hyperlnk"/>
          </w:rPr>
          <w:t>6326/1/08</w:t>
        </w:r>
      </w:hyperlink>
    </w:p>
    <w:p w:rsidR="00F229DA" w:rsidRPr="00D0436F" w:rsidRDefault="00F229DA" w:rsidP="00F229DA">
      <w:pPr>
        <w:spacing w:line="240" w:lineRule="auto"/>
      </w:pPr>
    </w:p>
    <w:p w:rsidR="00F229DA" w:rsidRPr="00D0436F" w:rsidRDefault="00F229DA" w:rsidP="00F229DA">
      <w:pPr>
        <w:spacing w:line="240" w:lineRule="auto"/>
        <w:outlineLvl w:val="0"/>
        <w:rPr>
          <w:b/>
        </w:rPr>
      </w:pPr>
      <w:r w:rsidRPr="00D0436F">
        <w:rPr>
          <w:b/>
        </w:rPr>
        <w:t>Bidrag från rådet (miljö) till Europeiska rådet</w:t>
      </w:r>
    </w:p>
    <w:p w:rsidR="00F229DA" w:rsidRPr="00D0436F" w:rsidRDefault="008061E5" w:rsidP="00F229DA">
      <w:pPr>
        <w:spacing w:line="240" w:lineRule="auto"/>
      </w:pPr>
      <w:hyperlink r:id="rId21" w:history="1">
        <w:r w:rsidRPr="00D0436F">
          <w:rPr>
            <w:rStyle w:val="Hyperlnk"/>
          </w:rPr>
          <w:t>7251/08</w:t>
        </w:r>
      </w:hyperlink>
    </w:p>
    <w:p w:rsidR="00F229DA" w:rsidRPr="00D0436F" w:rsidRDefault="00F229DA" w:rsidP="00F229DA">
      <w:pPr>
        <w:spacing w:line="240" w:lineRule="auto"/>
      </w:pPr>
    </w:p>
    <w:p w:rsidR="00F229DA" w:rsidRPr="00D0436F" w:rsidRDefault="00F229DA" w:rsidP="00F229DA">
      <w:pPr>
        <w:spacing w:line="240" w:lineRule="auto"/>
        <w:outlineLvl w:val="0"/>
        <w:rPr>
          <w:b/>
        </w:rPr>
      </w:pPr>
      <w:r w:rsidRPr="00D0436F">
        <w:rPr>
          <w:b/>
        </w:rPr>
        <w:t>Klimatförändring och internationell säkerhet</w:t>
      </w:r>
    </w:p>
    <w:p w:rsidR="00F229DA" w:rsidRPr="00D0436F" w:rsidRDefault="00F229DA" w:rsidP="00F229DA">
      <w:pPr>
        <w:spacing w:line="240" w:lineRule="auto"/>
      </w:pPr>
      <w:r w:rsidRPr="00D0436F">
        <w:rPr>
          <w:b/>
        </w:rPr>
        <w:t>–</w:t>
      </w:r>
      <w:r w:rsidRPr="00D0436F">
        <w:rPr>
          <w:b/>
        </w:rPr>
        <w:tab/>
        <w:t>Rapport från kommissionen och generalsekreteraren/den höge representanten</w:t>
      </w:r>
    </w:p>
    <w:p w:rsidR="00F229DA" w:rsidRPr="00D0436F" w:rsidRDefault="0079431B" w:rsidP="00F229DA">
      <w:pPr>
        <w:spacing w:line="240" w:lineRule="auto"/>
      </w:pPr>
      <w:hyperlink r:id="rId22" w:history="1">
        <w:r w:rsidR="00F229DA" w:rsidRPr="00D0436F">
          <w:rPr>
            <w:rStyle w:val="Hyperlnk"/>
          </w:rPr>
          <w:t>7249/08</w:t>
        </w:r>
      </w:hyperlink>
    </w:p>
    <w:p w:rsidR="00F229DA" w:rsidRPr="00D0436F" w:rsidRDefault="00F229DA" w:rsidP="00F229DA">
      <w:pPr>
        <w:spacing w:line="240" w:lineRule="auto"/>
      </w:pPr>
    </w:p>
    <w:p w:rsidR="00F229DA" w:rsidRPr="00D0436F" w:rsidRDefault="00F229DA" w:rsidP="00F229DA">
      <w:pPr>
        <w:tabs>
          <w:tab w:val="right" w:pos="9639"/>
        </w:tabs>
        <w:spacing w:line="240" w:lineRule="auto"/>
        <w:outlineLvl w:val="0"/>
        <w:rPr>
          <w:b/>
          <w:shd w:val="clear" w:color="auto" w:fill="C0C0C0"/>
        </w:rPr>
      </w:pPr>
      <w:r w:rsidRPr="00D0436F">
        <w:rPr>
          <w:b/>
          <w:shd w:val="clear" w:color="auto" w:fill="C0C0C0"/>
        </w:rPr>
        <w:t>STABILITET PÅ FINANSMARKNADERNA</w:t>
      </w:r>
      <w:r w:rsidRPr="00D0436F">
        <w:rPr>
          <w:b/>
          <w:shd w:val="clear" w:color="auto" w:fill="C0C0C0"/>
        </w:rPr>
        <w:tab/>
      </w:r>
    </w:p>
    <w:p w:rsidR="00F229DA" w:rsidRPr="00D0436F" w:rsidRDefault="00F229DA" w:rsidP="00F229DA">
      <w:pPr>
        <w:spacing w:line="240" w:lineRule="auto"/>
      </w:pPr>
    </w:p>
    <w:p w:rsidR="00F229DA" w:rsidRPr="00D0436F" w:rsidRDefault="00F229DA" w:rsidP="00F229DA">
      <w:pPr>
        <w:spacing w:line="240" w:lineRule="auto"/>
        <w:outlineLvl w:val="0"/>
        <w:rPr>
          <w:b/>
        </w:rPr>
      </w:pPr>
      <w:r w:rsidRPr="00D0436F">
        <w:rPr>
          <w:b/>
        </w:rPr>
        <w:t>Dokument om huvudfrågor – bidrag från Ekofinrådet</w:t>
      </w:r>
    </w:p>
    <w:p w:rsidR="00F229DA" w:rsidRPr="00D0436F" w:rsidRDefault="008061E5" w:rsidP="00F229DA">
      <w:pPr>
        <w:spacing w:line="240" w:lineRule="auto"/>
      </w:pPr>
      <w:hyperlink r:id="rId23" w:history="1">
        <w:r w:rsidRPr="00D0436F">
          <w:rPr>
            <w:rStyle w:val="Hyperlnk"/>
          </w:rPr>
          <w:t>6408/08</w:t>
        </w:r>
      </w:hyperlink>
    </w:p>
    <w:p w:rsidR="008061E5" w:rsidRPr="00D0436F" w:rsidRDefault="008061E5" w:rsidP="00F229DA">
      <w:pPr>
        <w:spacing w:line="240" w:lineRule="auto"/>
      </w:pPr>
    </w:p>
    <w:p w:rsidR="00F229DA" w:rsidRPr="00D0436F" w:rsidRDefault="00F229DA" w:rsidP="00F229DA">
      <w:pPr>
        <w:spacing w:line="240" w:lineRule="auto"/>
        <w:outlineLvl w:val="0"/>
        <w:rPr>
          <w:b/>
        </w:rPr>
      </w:pPr>
      <w:r w:rsidRPr="00D0436F">
        <w:rPr>
          <w:b/>
        </w:rPr>
        <w:t>Stabilitet på finansmarknaderna</w:t>
      </w:r>
    </w:p>
    <w:p w:rsidR="00F229DA" w:rsidRPr="00D0436F" w:rsidRDefault="00F229DA" w:rsidP="00F229DA">
      <w:pPr>
        <w:spacing w:line="240" w:lineRule="auto"/>
      </w:pPr>
      <w:r w:rsidRPr="00D0436F">
        <w:rPr>
          <w:b/>
        </w:rPr>
        <w:t>–</w:t>
      </w:r>
      <w:r w:rsidRPr="00D0436F">
        <w:rPr>
          <w:b/>
        </w:rPr>
        <w:tab/>
        <w:t>Rapport om resultatet av diskussionerna i Ekofinrådet den 4 mars 2008</w:t>
      </w:r>
    </w:p>
    <w:p w:rsidR="00F229DA" w:rsidRPr="00D0436F" w:rsidRDefault="008061E5" w:rsidP="00F229DA">
      <w:pPr>
        <w:spacing w:line="240" w:lineRule="auto"/>
      </w:pPr>
      <w:hyperlink r:id="rId24" w:history="1">
        <w:r w:rsidRPr="00D0436F">
          <w:rPr>
            <w:rStyle w:val="Hyperlnk"/>
          </w:rPr>
          <w:t>7304/08</w:t>
        </w:r>
      </w:hyperlink>
    </w:p>
    <w:p w:rsidR="00F229DA" w:rsidRPr="00D0436F" w:rsidRDefault="00F229DA" w:rsidP="00F229DA">
      <w:pPr>
        <w:spacing w:line="240" w:lineRule="auto"/>
      </w:pPr>
    </w:p>
    <w:p w:rsidR="00F229DA" w:rsidRPr="00D0436F" w:rsidRDefault="00F229DA" w:rsidP="00F229DA">
      <w:pPr>
        <w:spacing w:line="240" w:lineRule="auto"/>
        <w:outlineLvl w:val="0"/>
        <w:rPr>
          <w:b/>
        </w:rPr>
      </w:pPr>
      <w:r w:rsidRPr="00D0436F">
        <w:rPr>
          <w:b/>
        </w:rPr>
        <w:t>Statsägda förmögenhetsfonder</w:t>
      </w:r>
    </w:p>
    <w:p w:rsidR="00F229DA" w:rsidRPr="00D0436F" w:rsidRDefault="00F229DA" w:rsidP="00F229DA">
      <w:pPr>
        <w:spacing w:line="240" w:lineRule="auto"/>
      </w:pPr>
      <w:r w:rsidRPr="00D0436F">
        <w:rPr>
          <w:b/>
        </w:rPr>
        <w:t>–</w:t>
      </w:r>
      <w:r w:rsidRPr="00D0436F">
        <w:rPr>
          <w:b/>
        </w:rPr>
        <w:tab/>
        <w:t>Rapport om resultatet av diskussionerna i Ekofinrådet den 4 mars 2008</w:t>
      </w:r>
    </w:p>
    <w:p w:rsidR="00F229DA" w:rsidRPr="00D0436F" w:rsidRDefault="008061E5" w:rsidP="00F229DA">
      <w:pPr>
        <w:spacing w:line="240" w:lineRule="auto"/>
      </w:pPr>
      <w:hyperlink r:id="rId25" w:history="1">
        <w:r w:rsidRPr="00D0436F">
          <w:rPr>
            <w:rStyle w:val="Hyperlnk"/>
          </w:rPr>
          <w:t>7302/08</w:t>
        </w:r>
      </w:hyperlink>
    </w:p>
    <w:p w:rsidR="00F229DA" w:rsidRPr="00D0436F" w:rsidRDefault="00F229DA" w:rsidP="00F229DA">
      <w:pPr>
        <w:spacing w:line="240" w:lineRule="auto"/>
      </w:pPr>
    </w:p>
    <w:p w:rsidR="00F229DA" w:rsidRPr="00D0436F" w:rsidRDefault="00F229DA" w:rsidP="00F229DA">
      <w:pPr>
        <w:tabs>
          <w:tab w:val="right" w:pos="9639"/>
        </w:tabs>
        <w:spacing w:line="240" w:lineRule="auto"/>
        <w:outlineLvl w:val="0"/>
        <w:rPr>
          <w:b/>
          <w:shd w:val="clear" w:color="auto" w:fill="C0C0C0"/>
        </w:rPr>
      </w:pPr>
      <w:r w:rsidRPr="00D0436F">
        <w:rPr>
          <w:b/>
          <w:shd w:val="clear" w:color="auto" w:fill="C0C0C0"/>
        </w:rPr>
        <w:t>ÖVRIGA FRÅGOR</w:t>
      </w:r>
      <w:r w:rsidRPr="00D0436F">
        <w:rPr>
          <w:b/>
          <w:shd w:val="clear" w:color="auto" w:fill="C0C0C0"/>
        </w:rPr>
        <w:tab/>
      </w:r>
    </w:p>
    <w:p w:rsidR="00F229DA" w:rsidRPr="00D0436F" w:rsidRDefault="00F229DA" w:rsidP="00F229DA">
      <w:pPr>
        <w:spacing w:line="240" w:lineRule="auto"/>
      </w:pPr>
    </w:p>
    <w:p w:rsidR="00F229DA" w:rsidRPr="00D0436F" w:rsidRDefault="00F229DA" w:rsidP="00F229DA">
      <w:pPr>
        <w:spacing w:line="240" w:lineRule="auto"/>
        <w:outlineLvl w:val="0"/>
        <w:rPr>
          <w:b/>
        </w:rPr>
      </w:pPr>
      <w:r w:rsidRPr="00D0436F">
        <w:rPr>
          <w:b/>
        </w:rPr>
        <w:t>Utkast till rapport om Europeiska unionens framsteg 2007</w:t>
      </w:r>
    </w:p>
    <w:p w:rsidR="00DA757E" w:rsidRPr="00D0436F" w:rsidRDefault="008061E5" w:rsidP="00F229DA">
      <w:pPr>
        <w:spacing w:line="240" w:lineRule="auto"/>
      </w:pPr>
      <w:hyperlink r:id="rId26" w:history="1">
        <w:r w:rsidRPr="00D0436F">
          <w:rPr>
            <w:rStyle w:val="Hyperlnk"/>
          </w:rPr>
          <w:t>7233/08</w:t>
        </w:r>
      </w:hyperlink>
    </w:p>
    <w:p w:rsidR="00DA757E" w:rsidRPr="00D0436F" w:rsidRDefault="00DA757E" w:rsidP="00F229DA">
      <w:pPr>
        <w:spacing w:line="240" w:lineRule="auto"/>
      </w:pPr>
    </w:p>
    <w:p w:rsidR="00DA757E" w:rsidRPr="00D0436F" w:rsidRDefault="00DA757E" w:rsidP="00F229DA">
      <w:pPr>
        <w:spacing w:line="240" w:lineRule="auto"/>
      </w:pPr>
    </w:p>
    <w:p w:rsidR="00DA757E" w:rsidRPr="00D0436F" w:rsidRDefault="008061E5" w:rsidP="008061E5">
      <w:pPr>
        <w:jc w:val="center"/>
      </w:pPr>
      <w:r w:rsidRPr="00D0436F">
        <w:t>________________________</w:t>
      </w:r>
    </w:p>
    <w:sectPr w:rsidR="00DA757E" w:rsidRPr="00D0436F">
      <w:footerReference w:type="default" r:id="rId27"/>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C25" w:rsidRPr="00D0436F" w:rsidRDefault="00A21C25">
      <w:r w:rsidRPr="00D0436F">
        <w:separator/>
      </w:r>
    </w:p>
  </w:endnote>
  <w:endnote w:type="continuationSeparator" w:id="0">
    <w:p w:rsidR="00A21C25" w:rsidRPr="00D0436F" w:rsidRDefault="00A21C25">
      <w:r w:rsidRPr="00D0436F">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9C8" w:rsidRPr="00D0436F" w:rsidRDefault="006639C8">
    <w:pPr>
      <w:pStyle w:val="Sidfot"/>
      <w:pBdr>
        <w:bottom w:val="single" w:sz="4" w:space="1" w:color="auto"/>
      </w:pBdr>
      <w:spacing w:after="60"/>
    </w:pPr>
  </w:p>
  <w:p w:rsidR="006639C8" w:rsidRPr="00D0436F" w:rsidRDefault="006639C8">
    <w:pPr>
      <w:pStyle w:val="Sidfot"/>
    </w:pPr>
    <w:bookmarkStart w:id="17" w:name="CoteFooter"/>
    <w:bookmarkEnd w:id="17"/>
    <w:r w:rsidRPr="00D0436F">
      <w:t>7652/08</w:t>
    </w:r>
    <w:r w:rsidRPr="00D0436F">
      <w:tab/>
    </w:r>
    <w:bookmarkStart w:id="18" w:name="SuplCote"/>
    <w:bookmarkEnd w:id="18"/>
    <w:r w:rsidRPr="00D0436F">
      <w:tab/>
    </w:r>
    <w:bookmarkStart w:id="19" w:name="Init"/>
    <w:bookmarkEnd w:id="19"/>
    <w:r w:rsidRPr="00D0436F">
      <w:tab/>
    </w:r>
  </w:p>
  <w:p w:rsidR="006639C8" w:rsidRPr="00D0436F" w:rsidRDefault="006639C8">
    <w:pPr>
      <w:pStyle w:val="Sidfot"/>
      <w:tabs>
        <w:tab w:val="clear" w:pos="7371"/>
      </w:tabs>
      <w:spacing w:line="280" w:lineRule="exact"/>
    </w:pPr>
    <w:r w:rsidRPr="00D0436F">
      <w:tab/>
    </w:r>
    <w:bookmarkStart w:id="20" w:name="DG"/>
    <w:bookmarkEnd w:id="20"/>
    <w:r w:rsidRPr="00D0436F">
      <w:tab/>
    </w:r>
    <w:bookmarkStart w:id="21" w:name="FooterCoteSec"/>
    <w:r w:rsidRPr="00D0436F">
      <w:rPr>
        <w:b/>
        <w:position w:val="-4"/>
        <w:sz w:val="36"/>
      </w:rPr>
      <w:t xml:space="preserve"> </w:t>
    </w:r>
    <w:bookmarkEnd w:id="21"/>
    <w:r w:rsidRPr="00D0436F">
      <w:rPr>
        <w:b/>
        <w:position w:val="-4"/>
        <w:sz w:val="36"/>
      </w:rPr>
      <w:t> </w:t>
    </w:r>
    <w:r w:rsidRPr="00D0436F">
      <w:rPr>
        <w:b/>
        <w:position w:val="-4"/>
        <w:sz w:val="36"/>
      </w:rPr>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9DA" w:rsidRPr="00D0436F" w:rsidRDefault="00F229DA">
    <w:pPr>
      <w:pStyle w:val="Sidfot"/>
      <w:pBdr>
        <w:bottom w:val="single" w:sz="4" w:space="1" w:color="auto"/>
      </w:pBdr>
      <w:spacing w:after="60"/>
    </w:pPr>
  </w:p>
  <w:p w:rsidR="00F229DA" w:rsidRPr="00D0436F" w:rsidRDefault="00F229DA">
    <w:pPr>
      <w:pStyle w:val="Sidfot"/>
    </w:pPr>
    <w:r w:rsidRPr="00D0436F">
      <w:t>7652/08</w:t>
    </w:r>
    <w:r w:rsidRPr="00D0436F">
      <w:tab/>
    </w:r>
    <w:r w:rsidRPr="00D0436F">
      <w:tab/>
    </w:r>
    <w:r w:rsidRPr="00D0436F">
      <w:tab/>
    </w:r>
    <w:r w:rsidRPr="00D0436F">
      <w:rPr>
        <w:rStyle w:val="Sidnummer"/>
      </w:rPr>
      <w:fldChar w:fldCharType="begin" w:fldLock="1"/>
    </w:r>
    <w:r w:rsidRPr="00D0436F">
      <w:rPr>
        <w:rStyle w:val="Sidnummer"/>
      </w:rPr>
      <w:instrText xml:space="preserve"> PAGE </w:instrText>
    </w:r>
    <w:r w:rsidRPr="00D0436F">
      <w:rPr>
        <w:rStyle w:val="Sidnummer"/>
      </w:rPr>
      <w:fldChar w:fldCharType="separate"/>
    </w:r>
    <w:r w:rsidR="00802FE0" w:rsidRPr="00D0436F">
      <w:rPr>
        <w:rStyle w:val="Sidnummer"/>
      </w:rPr>
      <w:t>18</w:t>
    </w:r>
    <w:r w:rsidRPr="00D0436F">
      <w:rPr>
        <w:rStyle w:val="Sidnummer"/>
      </w:rPr>
      <w:fldChar w:fldCharType="end"/>
    </w:r>
  </w:p>
  <w:p w:rsidR="00F229DA" w:rsidRPr="00D0436F" w:rsidRDefault="00F229DA">
    <w:pPr>
      <w:pStyle w:val="Sidfot"/>
      <w:tabs>
        <w:tab w:val="clear" w:pos="7371"/>
      </w:tabs>
      <w:spacing w:line="280" w:lineRule="exact"/>
    </w:pPr>
    <w:r w:rsidRPr="00D0436F">
      <w:tab/>
    </w:r>
    <w:r w:rsidRPr="00D0436F">
      <w:tab/>
    </w:r>
    <w:r w:rsidRPr="00D0436F">
      <w:rPr>
        <w:b/>
        <w:position w:val="-4"/>
        <w:sz w:val="36"/>
      </w:rPr>
      <w:t xml:space="preserve"> </w:t>
    </w:r>
    <w:r w:rsidRPr="00D0436F">
      <w:rPr>
        <w:b/>
        <w:position w:val="-4"/>
        <w:sz w:val="36"/>
      </w:rPr>
      <w:t> </w:t>
    </w:r>
    <w:r w:rsidRPr="00D0436F">
      <w:rPr>
        <w:b/>
        <w:position w:val="-4"/>
        <w:sz w:val="36"/>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FA5" w:rsidRPr="00D0436F" w:rsidRDefault="00FF5FA5">
    <w:pPr>
      <w:pStyle w:val="Sidfot"/>
      <w:pBdr>
        <w:bottom w:val="single" w:sz="4" w:space="1" w:color="auto"/>
      </w:pBdr>
      <w:spacing w:after="60"/>
    </w:pPr>
  </w:p>
  <w:p w:rsidR="00FF5FA5" w:rsidRPr="00D0436F" w:rsidRDefault="00FF5FA5">
    <w:pPr>
      <w:pStyle w:val="Sidfot"/>
    </w:pPr>
    <w:r w:rsidRPr="00D0436F">
      <w:t>7652/08</w:t>
    </w:r>
    <w:r w:rsidRPr="00D0436F">
      <w:tab/>
    </w:r>
    <w:r w:rsidRPr="00D0436F">
      <w:tab/>
    </w:r>
    <w:r w:rsidRPr="00D0436F">
      <w:tab/>
    </w:r>
    <w:r w:rsidRPr="00D0436F">
      <w:rPr>
        <w:rStyle w:val="Sidnummer"/>
      </w:rPr>
      <w:fldChar w:fldCharType="begin" w:fldLock="1"/>
    </w:r>
    <w:r w:rsidRPr="00D0436F">
      <w:rPr>
        <w:rStyle w:val="Sidnummer"/>
      </w:rPr>
      <w:instrText xml:space="preserve"> PAGE </w:instrText>
    </w:r>
    <w:r w:rsidRPr="00D0436F">
      <w:rPr>
        <w:rStyle w:val="Sidnummer"/>
      </w:rPr>
      <w:fldChar w:fldCharType="separate"/>
    </w:r>
    <w:r w:rsidR="00802FE0" w:rsidRPr="00D0436F">
      <w:rPr>
        <w:rStyle w:val="Sidnummer"/>
      </w:rPr>
      <w:t>19</w:t>
    </w:r>
    <w:r w:rsidRPr="00D0436F">
      <w:rPr>
        <w:rStyle w:val="Sidnummer"/>
      </w:rPr>
      <w:fldChar w:fldCharType="end"/>
    </w:r>
  </w:p>
  <w:p w:rsidR="00FF5FA5" w:rsidRPr="00D0436F" w:rsidRDefault="00FF5FA5">
    <w:pPr>
      <w:pStyle w:val="Sidfot"/>
      <w:tabs>
        <w:tab w:val="clear" w:pos="7371"/>
      </w:tabs>
      <w:spacing w:line="280" w:lineRule="exact"/>
    </w:pPr>
    <w:r w:rsidRPr="00D0436F">
      <w:t>BILAGA I</w:t>
    </w:r>
    <w:r w:rsidRPr="00D0436F">
      <w:tab/>
    </w:r>
    <w:r w:rsidRPr="00D0436F">
      <w:tab/>
    </w:r>
    <w:r w:rsidRPr="00D0436F">
      <w:rPr>
        <w:b/>
        <w:position w:val="-4"/>
        <w:sz w:val="36"/>
      </w:rPr>
      <w:t xml:space="preserve"> </w:t>
    </w:r>
    <w:r w:rsidRPr="00D0436F">
      <w:rPr>
        <w:b/>
        <w:position w:val="-4"/>
        <w:sz w:val="36"/>
      </w:rPr>
      <w:t> </w:t>
    </w:r>
    <w:r w:rsidRPr="00D0436F">
      <w:rPr>
        <w:b/>
        <w:position w:val="-4"/>
        <w:sz w:val="36"/>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FA5" w:rsidRPr="00D0436F" w:rsidRDefault="00FF5FA5">
    <w:pPr>
      <w:pStyle w:val="Sidfot"/>
      <w:pBdr>
        <w:bottom w:val="single" w:sz="4" w:space="1" w:color="auto"/>
      </w:pBdr>
      <w:spacing w:after="60"/>
    </w:pPr>
  </w:p>
  <w:p w:rsidR="00FF5FA5" w:rsidRPr="00D0436F" w:rsidRDefault="00FF5FA5">
    <w:pPr>
      <w:pStyle w:val="Sidfot"/>
    </w:pPr>
    <w:r w:rsidRPr="00D0436F">
      <w:t>7652/08</w:t>
    </w:r>
    <w:r w:rsidRPr="00D0436F">
      <w:tab/>
    </w:r>
    <w:r w:rsidRPr="00D0436F">
      <w:tab/>
    </w:r>
    <w:r w:rsidRPr="00D0436F">
      <w:tab/>
    </w:r>
    <w:r w:rsidRPr="00D0436F">
      <w:rPr>
        <w:rStyle w:val="Sidnummer"/>
      </w:rPr>
      <w:fldChar w:fldCharType="begin" w:fldLock="1"/>
    </w:r>
    <w:r w:rsidRPr="00D0436F">
      <w:rPr>
        <w:rStyle w:val="Sidnummer"/>
      </w:rPr>
      <w:instrText xml:space="preserve"> PAGE </w:instrText>
    </w:r>
    <w:r w:rsidRPr="00D0436F">
      <w:rPr>
        <w:rStyle w:val="Sidnummer"/>
      </w:rPr>
      <w:fldChar w:fldCharType="separate"/>
    </w:r>
    <w:r w:rsidR="00802FE0" w:rsidRPr="00D0436F">
      <w:rPr>
        <w:rStyle w:val="Sidnummer"/>
      </w:rPr>
      <w:t>21</w:t>
    </w:r>
    <w:r w:rsidRPr="00D0436F">
      <w:rPr>
        <w:rStyle w:val="Sidnummer"/>
      </w:rPr>
      <w:fldChar w:fldCharType="end"/>
    </w:r>
  </w:p>
  <w:p w:rsidR="00FF5FA5" w:rsidRPr="00D0436F" w:rsidRDefault="00FF5FA5">
    <w:pPr>
      <w:pStyle w:val="Sidfot"/>
      <w:tabs>
        <w:tab w:val="clear" w:pos="7371"/>
      </w:tabs>
      <w:spacing w:line="280" w:lineRule="exact"/>
    </w:pPr>
    <w:r w:rsidRPr="00D0436F">
      <w:t>BILAGA II</w:t>
    </w:r>
    <w:r w:rsidRPr="00D0436F">
      <w:tab/>
    </w:r>
    <w:r w:rsidRPr="00D0436F">
      <w:tab/>
    </w:r>
    <w:r w:rsidRPr="00D0436F">
      <w:rPr>
        <w:b/>
        <w:position w:val="-4"/>
        <w:sz w:val="36"/>
      </w:rPr>
      <w:t xml:space="preserve"> </w:t>
    </w:r>
    <w:r w:rsidRPr="00D0436F">
      <w:rPr>
        <w:b/>
        <w:position w:val="-4"/>
        <w:sz w:val="36"/>
      </w:rPr>
      <w:t> </w:t>
    </w:r>
    <w:r w:rsidRPr="00D0436F">
      <w:rPr>
        <w:b/>
        <w:position w:val="-4"/>
        <w:sz w:val="36"/>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C25" w:rsidRPr="00D0436F" w:rsidRDefault="00A21C25">
      <w:pPr>
        <w:pStyle w:val="Fotnotstext"/>
      </w:pPr>
      <w:r w:rsidRPr="00D0436F">
        <w:separator/>
      </w:r>
    </w:p>
  </w:footnote>
  <w:footnote w:type="continuationSeparator" w:id="0">
    <w:p w:rsidR="00A21C25" w:rsidRPr="00D0436F" w:rsidRDefault="00A21C25">
      <w:pPr>
        <w:pStyle w:val="Fotnotstext"/>
      </w:pPr>
      <w:r w:rsidRPr="00D0436F">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32" w:rsidRPr="00D0436F" w:rsidRDefault="000A6132" w:rsidP="000A6132">
    <w:pPr>
      <w:pStyle w:val="Sidhuvud"/>
      <w:jc w:val="center"/>
      <w:rPr>
        <w:i/>
      </w:rPr>
    </w:pPr>
    <w:r w:rsidRPr="00D0436F">
      <w:rPr>
        <w:i/>
      </w:rPr>
      <w:t xml:space="preserve">Ordförandeskapets slutsatser </w:t>
    </w:r>
    <w:r w:rsidRPr="00D0436F">
      <w:rPr>
        <w:i/>
      </w:rPr>
      <w:sym w:font="Symbol" w:char="F02D"/>
    </w:r>
    <w:r w:rsidRPr="00D0436F">
      <w:rPr>
        <w:i/>
      </w:rPr>
      <w:t xml:space="preserve"> Bryssel 13</w:t>
    </w:r>
    <w:r w:rsidRPr="00D0436F">
      <w:rPr>
        <w:i/>
      </w:rPr>
      <w:sym w:font="Symbol" w:char="F02D"/>
    </w:r>
    <w:r w:rsidRPr="00D0436F">
      <w:rPr>
        <w:i/>
      </w:rPr>
      <w:t>14 mars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1134"/>
        </w:tabs>
        <w:ind w:left="1134" w:hanging="567"/>
      </w:pPr>
      <w:rPr>
        <w:rFonts w:ascii="Symbol" w:hAnsi="Symbol"/>
      </w:r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455221783">
    <w:abstractNumId w:val="11"/>
  </w:num>
  <w:num w:numId="2" w16cid:durableId="2032148582">
    <w:abstractNumId w:val="5"/>
  </w:num>
  <w:num w:numId="3" w16cid:durableId="249853550">
    <w:abstractNumId w:val="7"/>
  </w:num>
  <w:num w:numId="4" w16cid:durableId="745686409">
    <w:abstractNumId w:val="11"/>
  </w:num>
  <w:num w:numId="5" w16cid:durableId="1600212047">
    <w:abstractNumId w:val="2"/>
  </w:num>
  <w:num w:numId="6" w16cid:durableId="712384904">
    <w:abstractNumId w:val="9"/>
  </w:num>
  <w:num w:numId="7" w16cid:durableId="340591810">
    <w:abstractNumId w:val="6"/>
  </w:num>
  <w:num w:numId="8" w16cid:durableId="691342381">
    <w:abstractNumId w:val="8"/>
  </w:num>
  <w:num w:numId="9" w16cid:durableId="1360545519">
    <w:abstractNumId w:val="10"/>
  </w:num>
  <w:num w:numId="10" w16cid:durableId="2128158327">
    <w:abstractNumId w:val="4"/>
  </w:num>
  <w:num w:numId="11" w16cid:durableId="1863518303">
    <w:abstractNumId w:val="1"/>
  </w:num>
  <w:num w:numId="12" w16cid:durableId="1405757295">
    <w:abstractNumId w:val="3"/>
  </w:num>
  <w:num w:numId="13" w16cid:durableId="2053114960">
    <w:abstractNumId w:val="3"/>
  </w:num>
  <w:num w:numId="14" w16cid:durableId="289365987">
    <w:abstractNumId w:val="3"/>
  </w:num>
  <w:num w:numId="15" w16cid:durableId="1471897652">
    <w:abstractNumId w:val="3"/>
  </w:num>
  <w:num w:numId="16" w16cid:durableId="213806755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4D77A5"/>
    <w:rsid w:val="0000070E"/>
    <w:rsid w:val="00013FF4"/>
    <w:rsid w:val="000150CF"/>
    <w:rsid w:val="0003385A"/>
    <w:rsid w:val="00052E3E"/>
    <w:rsid w:val="000A6132"/>
    <w:rsid w:val="001D68B6"/>
    <w:rsid w:val="001F7B16"/>
    <w:rsid w:val="002267FE"/>
    <w:rsid w:val="002744B6"/>
    <w:rsid w:val="00292CB2"/>
    <w:rsid w:val="002B683D"/>
    <w:rsid w:val="00373BAB"/>
    <w:rsid w:val="003C7456"/>
    <w:rsid w:val="004D1102"/>
    <w:rsid w:val="004D77A5"/>
    <w:rsid w:val="005770EB"/>
    <w:rsid w:val="005D5BB3"/>
    <w:rsid w:val="006639C8"/>
    <w:rsid w:val="00682AAB"/>
    <w:rsid w:val="006A075C"/>
    <w:rsid w:val="007055FF"/>
    <w:rsid w:val="00790A0E"/>
    <w:rsid w:val="0079431B"/>
    <w:rsid w:val="00802FE0"/>
    <w:rsid w:val="008061E5"/>
    <w:rsid w:val="008553CF"/>
    <w:rsid w:val="008756C2"/>
    <w:rsid w:val="00880202"/>
    <w:rsid w:val="008D5DEC"/>
    <w:rsid w:val="008D7902"/>
    <w:rsid w:val="00912B12"/>
    <w:rsid w:val="00966180"/>
    <w:rsid w:val="0097665E"/>
    <w:rsid w:val="009B3738"/>
    <w:rsid w:val="009C2D79"/>
    <w:rsid w:val="009C6FD9"/>
    <w:rsid w:val="00A21C25"/>
    <w:rsid w:val="00A62686"/>
    <w:rsid w:val="00A72628"/>
    <w:rsid w:val="00B05EEB"/>
    <w:rsid w:val="00B51806"/>
    <w:rsid w:val="00B53B3E"/>
    <w:rsid w:val="00B82FF1"/>
    <w:rsid w:val="00C700F2"/>
    <w:rsid w:val="00C84BBB"/>
    <w:rsid w:val="00D0436F"/>
    <w:rsid w:val="00D5063E"/>
    <w:rsid w:val="00D65B73"/>
    <w:rsid w:val="00D708BE"/>
    <w:rsid w:val="00DA757E"/>
    <w:rsid w:val="00DE23B3"/>
    <w:rsid w:val="00DE2D9B"/>
    <w:rsid w:val="00E57685"/>
    <w:rsid w:val="00E720D7"/>
    <w:rsid w:val="00EA20D6"/>
    <w:rsid w:val="00F11A01"/>
    <w:rsid w:val="00F229DA"/>
    <w:rsid w:val="00F27C60"/>
    <w:rsid w:val="00F93B33"/>
    <w:rsid w:val="00FF35F6"/>
    <w:rsid w:val="00FF5F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68606250-96BC-4A22-96AD-AE725FDC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2"/>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3"/>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4"/>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5"/>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aliases w:val=" Char Char"/>
    <w:link w:val="1"/>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8"/>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4"/>
      </w:numPr>
    </w:pPr>
  </w:style>
  <w:style w:type="paragraph" w:customStyle="1" w:styleId="Par-equal">
    <w:name w:val="Par-equal"/>
    <w:basedOn w:val="Normal"/>
    <w:next w:val="Normal"/>
    <w:pPr>
      <w:numPr>
        <w:numId w:val="6"/>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7"/>
      </w:numPr>
    </w:pPr>
  </w:style>
  <w:style w:type="paragraph" w:customStyle="1" w:styleId="Par-number11">
    <w:name w:val="Par-number 1."/>
    <w:basedOn w:val="Normal"/>
    <w:next w:val="Normal"/>
    <w:pPr>
      <w:numPr>
        <w:numId w:val="9"/>
      </w:numPr>
    </w:pPr>
  </w:style>
  <w:style w:type="paragraph" w:customStyle="1" w:styleId="Par-numberI">
    <w:name w:val="Par-number I."/>
    <w:basedOn w:val="Normal"/>
    <w:next w:val="Normal"/>
    <w:pPr>
      <w:numPr>
        <w:numId w:val="11"/>
      </w:numPr>
    </w:pPr>
  </w:style>
  <w:style w:type="paragraph" w:customStyle="1" w:styleId="Par-dash">
    <w:name w:val="Par-dash"/>
    <w:basedOn w:val="Normal"/>
    <w:next w:val="Normal"/>
    <w:pPr>
      <w:numPr>
        <w:numId w:val="5"/>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0"/>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2"/>
      </w:numPr>
      <w:tabs>
        <w:tab w:val="clear" w:pos="720"/>
        <w:tab w:val="left" w:pos="567"/>
      </w:tabs>
    </w:pPr>
  </w:style>
  <w:style w:type="paragraph" w:customStyle="1" w:styleId="Par-numbera0">
    <w:name w:val="Par-number (a)"/>
    <w:basedOn w:val="Normal"/>
    <w:next w:val="Normal"/>
    <w:pPr>
      <w:numPr>
        <w:numId w:val="3"/>
      </w:numPr>
    </w:pPr>
  </w:style>
  <w:style w:type="character" w:customStyle="1" w:styleId="DontTranslate">
    <w:name w:val="DontTranslate"/>
    <w:basedOn w:val="Standardstycketeckensnitt"/>
  </w:style>
  <w:style w:type="paragraph" w:customStyle="1" w:styleId="AddReference">
    <w:name w:val="Add Reference"/>
    <w:basedOn w:val="Normal"/>
    <w:rsid w:val="004D77A5"/>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ngtext">
    <w:name w:val="Balloon Text"/>
    <w:basedOn w:val="Normal"/>
    <w:semiHidden/>
    <w:rsid w:val="002267FE"/>
    <w:rPr>
      <w:rFonts w:ascii="Tahoma" w:hAnsi="Tahoma" w:cs="Tahoma"/>
      <w:sz w:val="16"/>
      <w:szCs w:val="16"/>
    </w:rPr>
  </w:style>
  <w:style w:type="paragraph" w:styleId="Dokumentversikt">
    <w:name w:val="Document Map"/>
    <w:basedOn w:val="Normal"/>
    <w:semiHidden/>
    <w:rsid w:val="001D68B6"/>
    <w:pPr>
      <w:shd w:val="clear" w:color="auto" w:fill="000080"/>
    </w:pPr>
    <w:rPr>
      <w:rFonts w:ascii="Tahoma" w:hAnsi="Tahoma" w:cs="Tahoma"/>
    </w:rPr>
  </w:style>
  <w:style w:type="paragraph" w:customStyle="1" w:styleId="1">
    <w:name w:val="1"/>
    <w:basedOn w:val="Normal"/>
    <w:link w:val="Standardstycketeckensnitt"/>
    <w:rsid w:val="00F229DA"/>
    <w:pPr>
      <w:widowControl/>
      <w:spacing w:line="240" w:lineRule="auto"/>
    </w:pPr>
    <w:rPr>
      <w:szCs w:val="24"/>
      <w:lang w:val="pl-PL" w:eastAsia="pl-PL"/>
    </w:rPr>
  </w:style>
  <w:style w:type="character" w:styleId="Hyperlnk">
    <w:name w:val="Hyperlink"/>
    <w:basedOn w:val="Standardstycketeckensnitt"/>
    <w:rsid w:val="008061E5"/>
    <w:rPr>
      <w:color w:val="0000FF"/>
      <w:u w:val="single"/>
    </w:rPr>
  </w:style>
  <w:style w:type="character" w:styleId="AnvndHyperlnk">
    <w:name w:val="FollowedHyperlink"/>
    <w:basedOn w:val="Standardstycketeckensnitt"/>
    <w:rsid w:val="005D5B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gister.consilium.europa.eu/servlet/driver?page=Result&amp;lang=EN&amp;typ=Advanced&amp;cmsid=639&amp;ff_COTE_DOCUMENT=7275/08&amp;ff_COTE_DOSSIER_INST=&amp;ff_TITRE=&amp;ff_FT_TEXT=&amp;ff_SOUS_COTE_MATIERE=&amp;dd_DATE_DOCUMENT=&amp;dd_DATE_REUNION=&amp;dd_FT_DATE=&amp;fc=ALLLANG&amp;srm=25&amp;md=" TargetMode="External"/><Relationship Id="rId18" Type="http://schemas.openxmlformats.org/officeDocument/2006/relationships/hyperlink" Target="http://register.consilium.europa.eu/servlet/driver?page=Result&amp;lang=EN&amp;typ=Advanced&amp;cmsid=639&amp;ff_COTE_DOCUMENT=7170/08&amp;ff_COTE_DOSSIER_INST=&amp;ff_TITRE=&amp;ff_FT_TEXT=&amp;ff_SOUS_COTE_MATIERE=&amp;dd_DATE_DOCUMENT=&amp;dd_DATE_REUNION=&amp;dd_FT_DATE=&amp;fc=ALLLANG&amp;srm=25&amp;md=" TargetMode="External"/><Relationship Id="rId26" Type="http://schemas.openxmlformats.org/officeDocument/2006/relationships/hyperlink" Target="http://register.consilium.europa.eu/servlet/driver?page=Result&amp;lang=EN&amp;typ=Advanced&amp;cmsid=639&amp;ff_COTE_DOCUMENT=7233/08&amp;ff_COTE_DOSSIER_INST=&amp;ff_TITRE=&amp;ff_FT_TEXT=&amp;ff_SOUS_COTE_MATIERE=&amp;dd_DATE_DOCUMENT=&amp;dd_DATE_REUNION=&amp;dd_FT_DATE=&amp;fc=ALLLANG&amp;srm=25&amp;md=" TargetMode="External"/><Relationship Id="rId3" Type="http://schemas.openxmlformats.org/officeDocument/2006/relationships/settings" Target="settings.xml"/><Relationship Id="rId21" Type="http://schemas.openxmlformats.org/officeDocument/2006/relationships/hyperlink" Target="http://register.consilium.europa.eu/servlet/driver?page=Result&amp;lang=EN&amp;typ=Advanced&amp;cmsid=639&amp;ff_COTE_DOCUMENT=7251/08&amp;ff_COTE_DOSSIER_INST=&amp;ff_TITRE=&amp;ff_FT_TEXT=&amp;ff_SOUS_COTE_MATIERE=&amp;dd_DATE_DOCUMENT=&amp;dd_DATE_REUNION=&amp;dd_FT_DATE=&amp;fc=ALLLANG&amp;srm=25&amp;md=" TargetMode="External"/><Relationship Id="rId7" Type="http://schemas.openxmlformats.org/officeDocument/2006/relationships/image" Target="media/image1.jpeg"/><Relationship Id="rId12" Type="http://schemas.openxmlformats.org/officeDocument/2006/relationships/hyperlink" Target="http://register.consilium.europa.eu/servlet/driver?page=Result&amp;lang=EN&amp;typ=Advanced&amp;cmsid=639&amp;ff_COTE_DOCUMENT=7280/08&amp;ff_COTE_DOSSIER_INST=&amp;ff_TITRE=&amp;ff_FT_TEXT=&amp;ff_SOUS_COTE_MATIERE=&amp;dd_DATE_DOCUMENT=&amp;dd_DATE_REUNION=&amp;dd_FT_DATE=&amp;fc=ALLLANG&amp;srm=25&amp;md=" TargetMode="External"/><Relationship Id="rId17" Type="http://schemas.openxmlformats.org/officeDocument/2006/relationships/hyperlink" Target="http://register.consilium.europa.eu/servlet/driver?page=Result&amp;lang=EN&amp;typ=Advanced&amp;cmsid=639&amp;ff_COTE_DOCUMENT=7169/08&amp;ff_COTE_DOSSIER_INST=&amp;ff_TITRE=&amp;ff_FT_TEXT=&amp;ff_SOUS_COTE_MATIERE=&amp;dd_DATE_DOCUMENT=&amp;dd_DATE_REUNION=&amp;dd_FT_DATE=&amp;fc=ALLLANG&amp;srm=25&amp;md=" TargetMode="External"/><Relationship Id="rId25" Type="http://schemas.openxmlformats.org/officeDocument/2006/relationships/hyperlink" Target="http://register.consilium.europa.eu/servlet/driver?page=Result&amp;lang=EN&amp;typ=Advanced&amp;cmsid=639&amp;ff_COTE_DOCUMENT=7302/08&amp;ff_COTE_DOSSIER_INST=&amp;ff_TITRE=&amp;ff_FT_TEXT=&amp;ff_SOUS_COTE_MATIERE=&amp;dd_DATE_DOCUMENT=&amp;dd_DATE_REUNION=&amp;dd_FT_DATE=&amp;fc=ALLLANG&amp;srm=25&amp;md=" TargetMode="External"/><Relationship Id="rId2" Type="http://schemas.openxmlformats.org/officeDocument/2006/relationships/styles" Target="styles.xml"/><Relationship Id="rId16" Type="http://schemas.openxmlformats.org/officeDocument/2006/relationships/hyperlink" Target="http://register.consilium.europa.eu/servlet/driver?page=Result&amp;lang=EN&amp;typ=Advanced&amp;cmsid=639&amp;ff_COTE_DOCUMENT=7171/08&amp;ff_COTE_DOSSIER_INST=&amp;ff_TITRE=&amp;ff_FT_TEXT=&amp;ff_SOUS_COTE_MATIERE=&amp;dd_DATE_DOCUMENT=&amp;dd_DATE_REUNION=&amp;dd_FT_DATE=&amp;fc=ALLLANG&amp;srm=25&amp;md=" TargetMode="External"/><Relationship Id="rId20" Type="http://schemas.openxmlformats.org/officeDocument/2006/relationships/hyperlink" Target="http://register.consilium.europa.eu/servlet/driver?page=Result&amp;lang=EN&amp;typ=Advanced&amp;cmsid=639&amp;ff_COTE_DOCUMENT=6326/1/08&amp;ff_COTE_DOSSIER_INST=&amp;ff_TITRE=&amp;ff_FT_TEXT=&amp;ff_SOUS_COTE_MATIERE=&amp;dd_DATE_DOCUMENT=&amp;dd_DATE_REUNION=&amp;dd_FT_DATE=&amp;fc=ALLLANG&amp;srm=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register.consilium.europa.eu/servlet/driver?page=Result&amp;lang=EN&amp;typ=Advanced&amp;cmsid=639&amp;ff_COTE_DOCUMENT=7304/08&amp;ff_COTE_DOSSIER_INST=&amp;ff_TITRE=&amp;ff_FT_TEXT=&amp;ff_SOUS_COTE_MATIERE=&amp;dd_DATE_DOCUMENT=&amp;dd_DATE_REUNION=&amp;dd_FT_DATE=&amp;fc=ALLLANG&amp;srm=25&amp;md=" TargetMode="External"/><Relationship Id="rId5" Type="http://schemas.openxmlformats.org/officeDocument/2006/relationships/footnotes" Target="footnotes.xml"/><Relationship Id="rId15" Type="http://schemas.openxmlformats.org/officeDocument/2006/relationships/hyperlink" Target="http://register.consilium.europa.eu/servlet/driver?page=Result&amp;lang=EN&amp;typ=Advanced&amp;cmsid=639&amp;ff_COTE_DOCUMENT=6445/08&amp;ff_COTE_DOSSIER_INST=&amp;ff_TITRE=&amp;ff_FT_TEXT=&amp;ff_SOUS_COTE_MATIERE=&amp;dd_DATE_DOCUMENT=&amp;dd_DATE_REUNION=&amp;dd_FT_DATE=&amp;fc=ALLLANG&amp;srm=25&amp;md=" TargetMode="External"/><Relationship Id="rId23" Type="http://schemas.openxmlformats.org/officeDocument/2006/relationships/hyperlink" Target="http://register.consilium.europa.eu/servlet/driver?page=Result&amp;lang=EN&amp;typ=Advanced&amp;cmsid=639&amp;ff_COTE_DOCUMENT=6408/08&amp;ff_COTE_DOSSIER_INST=&amp;ff_TITRE=&amp;ff_FT_TEXT=&amp;ff_SOUS_COTE_MATIERE=&amp;dd_DATE_DOCUMENT=&amp;dd_DATE_REUNION=&amp;dd_FT_DATE=&amp;fc=ALLLANG&amp;srm=25&amp;md="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register.consilium.europa.eu/servlet/driver?page=Result&amp;lang=EN&amp;typ=Advanced&amp;cmsid=639&amp;ff_COTE_DOCUMENT=7274/08&amp;ff_COTE_DOSSIER_INST=&amp;ff_TITRE=&amp;ff_FT_TEXT=&amp;ff_SOUS_COTE_MATIERE=&amp;dd_DATE_DOCUMENT=&amp;dd_DATE_REUNION=&amp;dd_FT_DATE=&amp;fc=ALLLANG&amp;srm=25&amp;m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egister.consilium.europa.eu/servlet/driver?page=Result&amp;lang=EN&amp;typ=Advanced&amp;cmsid=639&amp;ff_COTE_DOCUMENT=6933/08&amp;ff_COTE_DOSSIER_INST=&amp;ff_TITRE=&amp;ff_FT_TEXT=&amp;ff_SOUS_COTE_MATIERE=&amp;dd_DATE_DOCUMENT=&amp;dd_DATE_REUNION=&amp;dd_FT_DATE=&amp;fc=ALLLANG&amp;srm=25&amp;md=" TargetMode="External"/><Relationship Id="rId22" Type="http://schemas.openxmlformats.org/officeDocument/2006/relationships/hyperlink" Target="http://www.consilium.europa.eu/cms3_applications/Applications/newsRoom/related.asp?BID=111&amp;GRP=13151&amp;LANG=1&amp;cmsId=339" TargetMode="External"/><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_GenSv.dot</Template>
  <TotalTime>0</TotalTime>
  <Pages>2</Pages>
  <Words>6208</Words>
  <Characters>40291</Characters>
  <Application>Microsoft Office Word</Application>
  <DocSecurity>4</DocSecurity>
  <Lines>760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GEN</vt:lpstr>
      <vt:lpstr>GEN</vt:lpstr>
    </vt:vector>
  </TitlesOfParts>
  <Company>DTI</Company>
  <LinksUpToDate>false</LinksUpToDate>
  <CharactersWithSpaces>46282</CharactersWithSpaces>
  <SharedDoc>false</SharedDoc>
  <HLinks>
    <vt:vector size="90" baseType="variant">
      <vt:variant>
        <vt:i4>4128858</vt:i4>
      </vt:variant>
      <vt:variant>
        <vt:i4>42</vt:i4>
      </vt:variant>
      <vt:variant>
        <vt:i4>0</vt:i4>
      </vt:variant>
      <vt:variant>
        <vt:i4>5</vt:i4>
      </vt:variant>
      <vt:variant>
        <vt:lpwstr>http://register.consilium.europa.eu/servlet/driver?page=Result&amp;lang=EN&amp;typ=Advanced&amp;cmsid=639&amp;ff_COTE_DOCUMENT=7233/08&amp;ff_COTE_DOSSIER_INST=&amp;ff_TITRE=&amp;ff_FT_TEXT=&amp;ff_SOUS_COTE_MATIERE=&amp;dd_DATE_DOCUMENT=&amp;dd_DATE_REUNION=&amp;dd_FT_DATE=&amp;fc=ALLLANG&amp;srm=25&amp;md=</vt:lpwstr>
      </vt:variant>
      <vt:variant>
        <vt:lpwstr/>
      </vt:variant>
      <vt:variant>
        <vt:i4>3932250</vt:i4>
      </vt:variant>
      <vt:variant>
        <vt:i4>39</vt:i4>
      </vt:variant>
      <vt:variant>
        <vt:i4>0</vt:i4>
      </vt:variant>
      <vt:variant>
        <vt:i4>5</vt:i4>
      </vt:variant>
      <vt:variant>
        <vt:lpwstr>http://register.consilium.europa.eu/servlet/driver?page=Result&amp;lang=EN&amp;typ=Advanced&amp;cmsid=639&amp;ff_COTE_DOCUMENT=7302/08&amp;ff_COTE_DOSSIER_INST=&amp;ff_TITRE=&amp;ff_FT_TEXT=&amp;ff_SOUS_COTE_MATIERE=&amp;dd_DATE_DOCUMENT=&amp;dd_DATE_REUNION=&amp;dd_FT_DATE=&amp;fc=ALLLANG&amp;srm=25&amp;md=</vt:lpwstr>
      </vt:variant>
      <vt:variant>
        <vt:lpwstr/>
      </vt:variant>
      <vt:variant>
        <vt:i4>3932252</vt:i4>
      </vt:variant>
      <vt:variant>
        <vt:i4>36</vt:i4>
      </vt:variant>
      <vt:variant>
        <vt:i4>0</vt:i4>
      </vt:variant>
      <vt:variant>
        <vt:i4>5</vt:i4>
      </vt:variant>
      <vt:variant>
        <vt:lpwstr>http://register.consilium.europa.eu/servlet/driver?page=Result&amp;lang=EN&amp;typ=Advanced&amp;cmsid=639&amp;ff_COTE_DOCUMENT=7304/08&amp;ff_COTE_DOSSIER_INST=&amp;ff_TITRE=&amp;ff_FT_TEXT=&amp;ff_SOUS_COTE_MATIERE=&amp;dd_DATE_DOCUMENT=&amp;dd_DATE_REUNION=&amp;dd_FT_DATE=&amp;fc=ALLLANG&amp;srm=25&amp;md=</vt:lpwstr>
      </vt:variant>
      <vt:variant>
        <vt:lpwstr/>
      </vt:variant>
      <vt:variant>
        <vt:i4>3997783</vt:i4>
      </vt:variant>
      <vt:variant>
        <vt:i4>33</vt:i4>
      </vt:variant>
      <vt:variant>
        <vt:i4>0</vt:i4>
      </vt:variant>
      <vt:variant>
        <vt:i4>5</vt:i4>
      </vt:variant>
      <vt:variant>
        <vt:lpwstr>http://register.consilium.europa.eu/servlet/driver?page=Result&amp;lang=EN&amp;typ=Advanced&amp;cmsid=639&amp;ff_COTE_DOCUMENT=6408/08&amp;ff_COTE_DOSSIER_INST=&amp;ff_TITRE=&amp;ff_FT_TEXT=&amp;ff_SOUS_COTE_MATIERE=&amp;dd_DATE_DOCUMENT=&amp;dd_DATE_REUNION=&amp;dd_FT_DATE=&amp;fc=ALLLANG&amp;srm=25&amp;md=</vt:lpwstr>
      </vt:variant>
      <vt:variant>
        <vt:lpwstr/>
      </vt:variant>
      <vt:variant>
        <vt:i4>2490438</vt:i4>
      </vt:variant>
      <vt:variant>
        <vt:i4>30</vt:i4>
      </vt:variant>
      <vt:variant>
        <vt:i4>0</vt:i4>
      </vt:variant>
      <vt:variant>
        <vt:i4>5</vt:i4>
      </vt:variant>
      <vt:variant>
        <vt:lpwstr>http://www.consilium.europa.eu/cms3_applications/Applications/newsRoom/related.asp?BID=111&amp;GRP=13151&amp;LANG=1&amp;cmsId=339</vt:lpwstr>
      </vt:variant>
      <vt:variant>
        <vt:lpwstr/>
      </vt:variant>
      <vt:variant>
        <vt:i4>3735640</vt:i4>
      </vt:variant>
      <vt:variant>
        <vt:i4>27</vt:i4>
      </vt:variant>
      <vt:variant>
        <vt:i4>0</vt:i4>
      </vt:variant>
      <vt:variant>
        <vt:i4>5</vt:i4>
      </vt:variant>
      <vt:variant>
        <vt:lpwstr>http://register.consilium.europa.eu/servlet/driver?page=Result&amp;lang=EN&amp;typ=Advanced&amp;cmsid=639&amp;ff_COTE_DOCUMENT=7251/08&amp;ff_COTE_DOSSIER_INST=&amp;ff_TITRE=&amp;ff_FT_TEXT=&amp;ff_SOUS_COTE_MATIERE=&amp;dd_DATE_DOCUMENT=&amp;dd_DATE_REUNION=&amp;dd_FT_DATE=&amp;fc=ALLLANG&amp;srm=25&amp;md=</vt:lpwstr>
      </vt:variant>
      <vt:variant>
        <vt:lpwstr/>
      </vt:variant>
      <vt:variant>
        <vt:i4>5374007</vt:i4>
      </vt:variant>
      <vt:variant>
        <vt:i4>24</vt:i4>
      </vt:variant>
      <vt:variant>
        <vt:i4>0</vt:i4>
      </vt:variant>
      <vt:variant>
        <vt:i4>5</vt:i4>
      </vt:variant>
      <vt:variant>
        <vt:lpwstr>http://register.consilium.europa.eu/servlet/driver?page=Result&amp;lang=EN&amp;typ=Advanced&amp;cmsid=639&amp;ff_COTE_DOCUMENT=6326/1/08&amp;ff_COTE_DOSSIER_INST=&amp;ff_TITRE=&amp;ff_FT_TEXT=&amp;ff_SOUS_COTE_MATIERE=&amp;dd_DATE_DOCUMENT=&amp;dd_DATE_REUNION=&amp;dd_FT_DATE=&amp;fc=ALLLANG&amp;srm=25</vt:lpwstr>
      </vt:variant>
      <vt:variant>
        <vt:lpwstr/>
      </vt:variant>
      <vt:variant>
        <vt:i4>3866717</vt:i4>
      </vt:variant>
      <vt:variant>
        <vt:i4>21</vt:i4>
      </vt:variant>
      <vt:variant>
        <vt:i4>0</vt:i4>
      </vt:variant>
      <vt:variant>
        <vt:i4>5</vt:i4>
      </vt:variant>
      <vt:variant>
        <vt:lpwstr>http://register.consilium.europa.eu/servlet/driver?page=Result&amp;lang=EN&amp;typ=Advanced&amp;cmsid=639&amp;ff_COTE_DOCUMENT=7274/08&amp;ff_COTE_DOSSIER_INST=&amp;ff_TITRE=&amp;ff_FT_TEXT=&amp;ff_SOUS_COTE_MATIERE=&amp;dd_DATE_DOCUMENT=&amp;dd_DATE_REUNION=&amp;dd_FT_DATE=&amp;fc=ALLLANG&amp;srm=25&amp;md=</vt:lpwstr>
      </vt:variant>
      <vt:variant>
        <vt:lpwstr/>
      </vt:variant>
      <vt:variant>
        <vt:i4>3866714</vt:i4>
      </vt:variant>
      <vt:variant>
        <vt:i4>18</vt:i4>
      </vt:variant>
      <vt:variant>
        <vt:i4>0</vt:i4>
      </vt:variant>
      <vt:variant>
        <vt:i4>5</vt:i4>
      </vt:variant>
      <vt:variant>
        <vt:lpwstr>http://register.consilium.europa.eu/servlet/driver?page=Result&amp;lang=EN&amp;typ=Advanced&amp;cmsid=639&amp;ff_COTE_DOCUMENT=7170/08&amp;ff_COTE_DOSSIER_INST=&amp;ff_TITRE=&amp;ff_FT_TEXT=&amp;ff_SOUS_COTE_MATIERE=&amp;dd_DATE_DOCUMENT=&amp;dd_DATE_REUNION=&amp;dd_FT_DATE=&amp;fc=ALLLANG&amp;srm=25&amp;md=</vt:lpwstr>
      </vt:variant>
      <vt:variant>
        <vt:lpwstr/>
      </vt:variant>
      <vt:variant>
        <vt:i4>3801171</vt:i4>
      </vt:variant>
      <vt:variant>
        <vt:i4>15</vt:i4>
      </vt:variant>
      <vt:variant>
        <vt:i4>0</vt:i4>
      </vt:variant>
      <vt:variant>
        <vt:i4>5</vt:i4>
      </vt:variant>
      <vt:variant>
        <vt:lpwstr>http://register.consilium.europa.eu/servlet/driver?page=Result&amp;lang=EN&amp;typ=Advanced&amp;cmsid=639&amp;ff_COTE_DOCUMENT=7169/08&amp;ff_COTE_DOSSIER_INST=&amp;ff_TITRE=&amp;ff_FT_TEXT=&amp;ff_SOUS_COTE_MATIERE=&amp;dd_DATE_DOCUMENT=&amp;dd_DATE_REUNION=&amp;dd_FT_DATE=&amp;fc=ALLLANG&amp;srm=25&amp;md=</vt:lpwstr>
      </vt:variant>
      <vt:variant>
        <vt:lpwstr/>
      </vt:variant>
      <vt:variant>
        <vt:i4>3866715</vt:i4>
      </vt:variant>
      <vt:variant>
        <vt:i4>12</vt:i4>
      </vt:variant>
      <vt:variant>
        <vt:i4>0</vt:i4>
      </vt:variant>
      <vt:variant>
        <vt:i4>5</vt:i4>
      </vt:variant>
      <vt:variant>
        <vt:lpwstr>http://register.consilium.europa.eu/servlet/driver?page=Result&amp;lang=EN&amp;typ=Advanced&amp;cmsid=639&amp;ff_COTE_DOCUMENT=7171/08&amp;ff_COTE_DOSSIER_INST=&amp;ff_TITRE=&amp;ff_FT_TEXT=&amp;ff_SOUS_COTE_MATIERE=&amp;dd_DATE_DOCUMENT=&amp;dd_DATE_REUNION=&amp;dd_FT_DATE=&amp;fc=ALLLANG&amp;srm=25&amp;md=</vt:lpwstr>
      </vt:variant>
      <vt:variant>
        <vt:lpwstr/>
      </vt:variant>
      <vt:variant>
        <vt:i4>3735642</vt:i4>
      </vt:variant>
      <vt:variant>
        <vt:i4>9</vt:i4>
      </vt:variant>
      <vt:variant>
        <vt:i4>0</vt:i4>
      </vt:variant>
      <vt:variant>
        <vt:i4>5</vt:i4>
      </vt:variant>
      <vt:variant>
        <vt:lpwstr>http://register.consilium.europa.eu/servlet/driver?page=Result&amp;lang=EN&amp;typ=Advanced&amp;cmsid=639&amp;ff_COTE_DOCUMENT=6445/08&amp;ff_COTE_DOSSIER_INST=&amp;ff_TITRE=&amp;ff_FT_TEXT=&amp;ff_SOUS_COTE_MATIERE=&amp;dd_DATE_DOCUMENT=&amp;dd_DATE_REUNION=&amp;dd_FT_DATE=&amp;fc=ALLLANG&amp;srm=25&amp;md=</vt:lpwstr>
      </vt:variant>
      <vt:variant>
        <vt:lpwstr/>
      </vt:variant>
      <vt:variant>
        <vt:i4>4063313</vt:i4>
      </vt:variant>
      <vt:variant>
        <vt:i4>6</vt:i4>
      </vt:variant>
      <vt:variant>
        <vt:i4>0</vt:i4>
      </vt:variant>
      <vt:variant>
        <vt:i4>5</vt:i4>
      </vt:variant>
      <vt:variant>
        <vt:lpwstr>http://register.consilium.europa.eu/servlet/driver?page=Result&amp;lang=EN&amp;typ=Advanced&amp;cmsid=639&amp;ff_COTE_DOCUMENT=6933/08&amp;ff_COTE_DOSSIER_INST=&amp;ff_TITRE=&amp;ff_FT_TEXT=&amp;ff_SOUS_COTE_MATIERE=&amp;dd_DATE_DOCUMENT=&amp;dd_DATE_REUNION=&amp;dd_FT_DATE=&amp;fc=ALLLANG&amp;srm=25&amp;md=</vt:lpwstr>
      </vt:variant>
      <vt:variant>
        <vt:lpwstr/>
      </vt:variant>
      <vt:variant>
        <vt:i4>3866716</vt:i4>
      </vt:variant>
      <vt:variant>
        <vt:i4>3</vt:i4>
      </vt:variant>
      <vt:variant>
        <vt:i4>0</vt:i4>
      </vt:variant>
      <vt:variant>
        <vt:i4>5</vt:i4>
      </vt:variant>
      <vt:variant>
        <vt:lpwstr>http://register.consilium.europa.eu/servlet/driver?page=Result&amp;lang=EN&amp;typ=Advanced&amp;cmsid=639&amp;ff_COTE_DOCUMENT=7275/08&amp;ff_COTE_DOSSIER_INST=&amp;ff_TITRE=&amp;ff_FT_TEXT=&amp;ff_SOUS_COTE_MATIERE=&amp;dd_DATE_DOCUMENT=&amp;dd_DATE_REUNION=&amp;dd_FT_DATE=&amp;fc=ALLLANG&amp;srm=25&amp;md=</vt:lpwstr>
      </vt:variant>
      <vt:variant>
        <vt:lpwstr/>
      </vt:variant>
      <vt:variant>
        <vt:i4>3407961</vt:i4>
      </vt:variant>
      <vt:variant>
        <vt:i4>0</vt:i4>
      </vt:variant>
      <vt:variant>
        <vt:i4>0</vt:i4>
      </vt:variant>
      <vt:variant>
        <vt:i4>5</vt:i4>
      </vt:variant>
      <vt:variant>
        <vt:lpwstr>http://register.consilium.europa.eu/servlet/driver?page=Result&amp;lang=EN&amp;typ=Advanced&amp;cmsid=639&amp;ff_COTE_DOCUMENT=7280/08&amp;ff_COTE_DOSSIER_INST=&amp;ff_TITRE=&amp;ff_FT_TEXT=&amp;ff_SOUS_COTE_MATIERE=&amp;dd_DATE_DOCUMENT=&amp;dd_DATE_REUNION=&amp;dd_FT_DATE=&amp;fc=ALLLANG&amp;srm=25&amp;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2008-03-14T15:36:00Z</cp:lastPrinted>
  <dcterms:created xsi:type="dcterms:W3CDTF">2025-12-17T13:11:00Z</dcterms:created>
  <dcterms:modified xsi:type="dcterms:W3CDTF">2025-12-17T13:11:00Z</dcterms:modified>
</cp:coreProperties>
</file>