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2897A51" w14:textId="77777777">
        <w:tc>
          <w:tcPr>
            <w:tcW w:w="2268" w:type="dxa"/>
          </w:tcPr>
          <w:p w14:paraId="52897A4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2897A50" w14:textId="77777777" w:rsidR="006E4E11" w:rsidRDefault="006E4E11" w:rsidP="007242A3">
            <w:pPr>
              <w:framePr w:w="5035" w:h="1644" w:wrap="notBeside" w:vAnchor="page" w:hAnchor="page" w:x="6573" w:y="721"/>
              <w:rPr>
                <w:rFonts w:ascii="TradeGothic" w:hAnsi="TradeGothic"/>
                <w:i/>
                <w:sz w:val="18"/>
              </w:rPr>
            </w:pPr>
          </w:p>
        </w:tc>
      </w:tr>
      <w:tr w:rsidR="006E4E11" w14:paraId="52897A54" w14:textId="77777777">
        <w:tc>
          <w:tcPr>
            <w:tcW w:w="2268" w:type="dxa"/>
          </w:tcPr>
          <w:p w14:paraId="52897A5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2897A53" w14:textId="77777777" w:rsidR="006E4E11" w:rsidRDefault="006E4E11" w:rsidP="007242A3">
            <w:pPr>
              <w:framePr w:w="5035" w:h="1644" w:wrap="notBeside" w:vAnchor="page" w:hAnchor="page" w:x="6573" w:y="721"/>
              <w:rPr>
                <w:rFonts w:ascii="TradeGothic" w:hAnsi="TradeGothic"/>
                <w:b/>
                <w:sz w:val="22"/>
              </w:rPr>
            </w:pPr>
          </w:p>
        </w:tc>
      </w:tr>
      <w:tr w:rsidR="006E4E11" w14:paraId="52897A57" w14:textId="77777777">
        <w:tc>
          <w:tcPr>
            <w:tcW w:w="3402" w:type="dxa"/>
            <w:gridSpan w:val="2"/>
          </w:tcPr>
          <w:p w14:paraId="52897A55" w14:textId="77777777" w:rsidR="006E4E11" w:rsidRDefault="006E4E11" w:rsidP="007242A3">
            <w:pPr>
              <w:framePr w:w="5035" w:h="1644" w:wrap="notBeside" w:vAnchor="page" w:hAnchor="page" w:x="6573" w:y="721"/>
            </w:pPr>
          </w:p>
        </w:tc>
        <w:tc>
          <w:tcPr>
            <w:tcW w:w="1865" w:type="dxa"/>
          </w:tcPr>
          <w:p w14:paraId="52897A56" w14:textId="77777777" w:rsidR="006E4E11" w:rsidRDefault="006E4E11" w:rsidP="007242A3">
            <w:pPr>
              <w:framePr w:w="5035" w:h="1644" w:wrap="notBeside" w:vAnchor="page" w:hAnchor="page" w:x="6573" w:y="721"/>
            </w:pPr>
          </w:p>
        </w:tc>
      </w:tr>
      <w:tr w:rsidR="006E4E11" w14:paraId="52897A5A" w14:textId="77777777">
        <w:tc>
          <w:tcPr>
            <w:tcW w:w="2268" w:type="dxa"/>
          </w:tcPr>
          <w:p w14:paraId="52897A58" w14:textId="77777777" w:rsidR="006E4E11" w:rsidRDefault="006E4E11" w:rsidP="007242A3">
            <w:pPr>
              <w:framePr w:w="5035" w:h="1644" w:wrap="notBeside" w:vAnchor="page" w:hAnchor="page" w:x="6573" w:y="721"/>
            </w:pPr>
          </w:p>
        </w:tc>
        <w:tc>
          <w:tcPr>
            <w:tcW w:w="2999" w:type="dxa"/>
            <w:gridSpan w:val="2"/>
          </w:tcPr>
          <w:p w14:paraId="52897A59" w14:textId="47AC23A2" w:rsidR="006E4E11" w:rsidRPr="00ED583F" w:rsidRDefault="006E4E11" w:rsidP="00136838">
            <w:pPr>
              <w:framePr w:w="5035" w:h="1644" w:wrap="notBeside" w:vAnchor="page" w:hAnchor="page" w:x="6573" w:y="721"/>
              <w:rPr>
                <w:sz w:val="20"/>
              </w:rPr>
            </w:pPr>
          </w:p>
        </w:tc>
      </w:tr>
      <w:tr w:rsidR="006E4E11" w14:paraId="52897A5D" w14:textId="77777777">
        <w:tc>
          <w:tcPr>
            <w:tcW w:w="2268" w:type="dxa"/>
          </w:tcPr>
          <w:p w14:paraId="52897A5B" w14:textId="77777777" w:rsidR="006E4E11" w:rsidRDefault="006E4E11" w:rsidP="007242A3">
            <w:pPr>
              <w:framePr w:w="5035" w:h="1644" w:wrap="notBeside" w:vAnchor="page" w:hAnchor="page" w:x="6573" w:y="721"/>
            </w:pPr>
          </w:p>
        </w:tc>
        <w:tc>
          <w:tcPr>
            <w:tcW w:w="2999" w:type="dxa"/>
            <w:gridSpan w:val="2"/>
          </w:tcPr>
          <w:p w14:paraId="52897A5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2897A5F" w14:textId="77777777">
        <w:trPr>
          <w:trHeight w:val="284"/>
        </w:trPr>
        <w:tc>
          <w:tcPr>
            <w:tcW w:w="4911" w:type="dxa"/>
          </w:tcPr>
          <w:p w14:paraId="52897A5E" w14:textId="60FE4E4C" w:rsidR="006E4E11" w:rsidRDefault="00136838" w:rsidP="00136838">
            <w:pPr>
              <w:pStyle w:val="Avsndare"/>
              <w:framePr w:h="2483" w:wrap="notBeside" w:x="1504"/>
              <w:rPr>
                <w:b/>
                <w:i w:val="0"/>
                <w:sz w:val="22"/>
              </w:rPr>
            </w:pPr>
            <w:r>
              <w:rPr>
                <w:b/>
                <w:i w:val="0"/>
                <w:sz w:val="22"/>
              </w:rPr>
              <w:t>Utrikesdepartementet</w:t>
            </w:r>
          </w:p>
        </w:tc>
      </w:tr>
      <w:tr w:rsidR="006E4E11" w14:paraId="52897A61" w14:textId="77777777">
        <w:trPr>
          <w:trHeight w:val="284"/>
        </w:trPr>
        <w:tc>
          <w:tcPr>
            <w:tcW w:w="4911" w:type="dxa"/>
          </w:tcPr>
          <w:p w14:paraId="52897A60" w14:textId="0E077C13" w:rsidR="006E4E11" w:rsidRDefault="00136838" w:rsidP="00136838">
            <w:pPr>
              <w:pStyle w:val="Avsndare"/>
              <w:framePr w:h="2483" w:wrap="notBeside" w:x="1504"/>
              <w:rPr>
                <w:bCs/>
                <w:iCs/>
              </w:rPr>
            </w:pPr>
            <w:r>
              <w:rPr>
                <w:bCs/>
                <w:iCs/>
              </w:rPr>
              <w:t>Statsrådet Damberg</w:t>
            </w:r>
          </w:p>
        </w:tc>
      </w:tr>
      <w:tr w:rsidR="006E4E11" w14:paraId="52897A63" w14:textId="77777777">
        <w:trPr>
          <w:trHeight w:val="284"/>
        </w:trPr>
        <w:tc>
          <w:tcPr>
            <w:tcW w:w="4911" w:type="dxa"/>
          </w:tcPr>
          <w:p w14:paraId="52897A62" w14:textId="77777777" w:rsidR="006E4E11" w:rsidRDefault="006E4E11">
            <w:pPr>
              <w:pStyle w:val="Avsndare"/>
              <w:framePr w:h="2483" w:wrap="notBeside" w:x="1504"/>
              <w:rPr>
                <w:bCs/>
                <w:iCs/>
              </w:rPr>
            </w:pPr>
          </w:p>
        </w:tc>
      </w:tr>
      <w:tr w:rsidR="006E4E11" w14:paraId="52897A65" w14:textId="77777777">
        <w:trPr>
          <w:trHeight w:val="284"/>
        </w:trPr>
        <w:tc>
          <w:tcPr>
            <w:tcW w:w="4911" w:type="dxa"/>
          </w:tcPr>
          <w:p w14:paraId="52897A64" w14:textId="575AF933" w:rsidR="006E4E11" w:rsidRDefault="006E4E11">
            <w:pPr>
              <w:pStyle w:val="Avsndare"/>
              <w:framePr w:h="2483" w:wrap="notBeside" w:x="1504"/>
              <w:rPr>
                <w:bCs/>
                <w:iCs/>
              </w:rPr>
            </w:pPr>
          </w:p>
        </w:tc>
      </w:tr>
      <w:tr w:rsidR="006E4E11" w14:paraId="52897A67" w14:textId="77777777">
        <w:trPr>
          <w:trHeight w:val="284"/>
        </w:trPr>
        <w:tc>
          <w:tcPr>
            <w:tcW w:w="4911" w:type="dxa"/>
          </w:tcPr>
          <w:p w14:paraId="52897A66" w14:textId="581710E3" w:rsidR="006E4E11" w:rsidRDefault="006E4E11">
            <w:pPr>
              <w:pStyle w:val="Avsndare"/>
              <w:framePr w:h="2483" w:wrap="notBeside" w:x="1504"/>
              <w:rPr>
                <w:bCs/>
                <w:iCs/>
              </w:rPr>
            </w:pPr>
          </w:p>
        </w:tc>
      </w:tr>
      <w:tr w:rsidR="006E4E11" w14:paraId="52897A69" w14:textId="77777777">
        <w:trPr>
          <w:trHeight w:val="284"/>
        </w:trPr>
        <w:tc>
          <w:tcPr>
            <w:tcW w:w="4911" w:type="dxa"/>
          </w:tcPr>
          <w:p w14:paraId="52897A68" w14:textId="07EFBBDF" w:rsidR="006E4E11" w:rsidRDefault="006E4E11">
            <w:pPr>
              <w:pStyle w:val="Avsndare"/>
              <w:framePr w:h="2483" w:wrap="notBeside" w:x="1504"/>
              <w:rPr>
                <w:bCs/>
                <w:iCs/>
              </w:rPr>
            </w:pPr>
          </w:p>
        </w:tc>
      </w:tr>
      <w:tr w:rsidR="006E4E11" w14:paraId="52897A6B" w14:textId="77777777">
        <w:trPr>
          <w:trHeight w:val="284"/>
        </w:trPr>
        <w:tc>
          <w:tcPr>
            <w:tcW w:w="4911" w:type="dxa"/>
          </w:tcPr>
          <w:p w14:paraId="52897A6A" w14:textId="77777777" w:rsidR="006E4E11" w:rsidRDefault="006E4E11">
            <w:pPr>
              <w:pStyle w:val="Avsndare"/>
              <w:framePr w:h="2483" w:wrap="notBeside" w:x="1504"/>
              <w:rPr>
                <w:bCs/>
                <w:iCs/>
              </w:rPr>
            </w:pPr>
          </w:p>
        </w:tc>
      </w:tr>
      <w:tr w:rsidR="006E4E11" w14:paraId="52897A6D" w14:textId="77777777">
        <w:trPr>
          <w:trHeight w:val="284"/>
        </w:trPr>
        <w:tc>
          <w:tcPr>
            <w:tcW w:w="4911" w:type="dxa"/>
          </w:tcPr>
          <w:p w14:paraId="52897A6C" w14:textId="2E7BAEC2" w:rsidR="006E4E11" w:rsidRPr="00136838" w:rsidRDefault="006E4E11">
            <w:pPr>
              <w:pStyle w:val="Avsndare"/>
              <w:framePr w:h="2483" w:wrap="notBeside" w:x="1504"/>
              <w:rPr>
                <w:b/>
                <w:bCs/>
                <w:iCs/>
              </w:rPr>
            </w:pPr>
          </w:p>
        </w:tc>
      </w:tr>
      <w:tr w:rsidR="006E4E11" w14:paraId="52897A6F" w14:textId="77777777">
        <w:trPr>
          <w:trHeight w:val="284"/>
        </w:trPr>
        <w:tc>
          <w:tcPr>
            <w:tcW w:w="4911" w:type="dxa"/>
          </w:tcPr>
          <w:p w14:paraId="52897A6E" w14:textId="10C7A383" w:rsidR="00276CE5" w:rsidRPr="00136838" w:rsidRDefault="00276CE5">
            <w:pPr>
              <w:pStyle w:val="Avsndare"/>
              <w:framePr w:h="2483" w:wrap="notBeside" w:x="1504"/>
              <w:rPr>
                <w:b/>
                <w:bCs/>
                <w:iCs/>
              </w:rPr>
            </w:pPr>
          </w:p>
        </w:tc>
      </w:tr>
    </w:tbl>
    <w:p w14:paraId="52897A70" w14:textId="77777777" w:rsidR="006E4E11" w:rsidRDefault="006B7FA6">
      <w:pPr>
        <w:framePr w:w="4400" w:h="2523" w:wrap="notBeside" w:vAnchor="page" w:hAnchor="page" w:x="6453" w:y="2445"/>
        <w:ind w:left="142"/>
      </w:pPr>
      <w:r>
        <w:t>Till riksdagen</w:t>
      </w:r>
    </w:p>
    <w:p w14:paraId="52897A71" w14:textId="7FBA56F1" w:rsidR="006E4E11" w:rsidRDefault="006B7FA6" w:rsidP="006B7FA6">
      <w:pPr>
        <w:pStyle w:val="RKrubrik"/>
        <w:pBdr>
          <w:bottom w:val="single" w:sz="4" w:space="1" w:color="auto"/>
        </w:pBdr>
        <w:spacing w:before="0" w:after="0"/>
      </w:pPr>
      <w:r>
        <w:t>Svar på fråga 2014/15:569 av Håkan Svenneling (V) Nationell beslutande</w:t>
      </w:r>
      <w:r w:rsidR="00136838">
        <w:softHyphen/>
      </w:r>
      <w:r>
        <w:t>rätt om handelspolitiken</w:t>
      </w:r>
    </w:p>
    <w:p w14:paraId="52897A72" w14:textId="77777777" w:rsidR="006E4E11" w:rsidRDefault="006E4E11">
      <w:pPr>
        <w:pStyle w:val="RKnormal"/>
      </w:pPr>
    </w:p>
    <w:p w14:paraId="52897A73" w14:textId="77777777" w:rsidR="006B7FA6" w:rsidRDefault="006B7FA6" w:rsidP="00136838">
      <w:pPr>
        <w:pStyle w:val="RKnormal"/>
      </w:pPr>
      <w:r>
        <w:t xml:space="preserve">Håkan Svenneling har frågat </w:t>
      </w:r>
      <w:r w:rsidRPr="00FB780A">
        <w:t xml:space="preserve">mig om jag anser att CETA-avtalet och Singaporeavtalet </w:t>
      </w:r>
      <w:r>
        <w:t xml:space="preserve">innehåller bestämmelser som innebär att de </w:t>
      </w:r>
      <w:r w:rsidRPr="00FB780A">
        <w:t xml:space="preserve">är </w:t>
      </w:r>
      <w:r>
        <w:t xml:space="preserve">så kallade blandade avtal </w:t>
      </w:r>
      <w:r w:rsidRPr="00FB780A">
        <w:t xml:space="preserve">och därmed ska godkännas av Sveriges riksdag. </w:t>
      </w:r>
    </w:p>
    <w:p w14:paraId="52897A74" w14:textId="77777777" w:rsidR="006B7FA6" w:rsidRPr="00FB780A" w:rsidRDefault="006B7FA6" w:rsidP="00136838">
      <w:pPr>
        <w:pStyle w:val="RKnormal"/>
      </w:pPr>
    </w:p>
    <w:p w14:paraId="52897A75" w14:textId="77777777" w:rsidR="006B7FA6" w:rsidRDefault="006B7FA6" w:rsidP="00136838">
      <w:pPr>
        <w:pStyle w:val="RKnormal"/>
      </w:pPr>
      <w:r>
        <w:t xml:space="preserve">EU har en gemensam handelspolitik i enlighet med Fördraget om Europeiska unionens funktionssätt och har exklusiv kompetens på hela området för den gemensamma handelspolitiken.  </w:t>
      </w:r>
    </w:p>
    <w:p w14:paraId="52897A76" w14:textId="77777777" w:rsidR="006B7FA6" w:rsidRDefault="006B7FA6" w:rsidP="00136838">
      <w:pPr>
        <w:pStyle w:val="RKnormal"/>
      </w:pPr>
    </w:p>
    <w:p w14:paraId="52897A77" w14:textId="11DEC79B" w:rsidR="006B7FA6" w:rsidRDefault="006B7FA6" w:rsidP="00136838">
      <w:pPr>
        <w:pStyle w:val="RKnormal"/>
      </w:pPr>
      <w:r>
        <w:t>När Lissabonfördraget trädde i kraft 2009 utökades området för den gemensamma handelspolitiken till att även omfatta utländska direkt</w:t>
      </w:r>
      <w:r w:rsidR="00276CE5">
        <w:softHyphen/>
      </w:r>
      <w:r>
        <w:t xml:space="preserve">investeringar, tjänster och handelsrelaterade aspekter av immateriella rättigheter. Lissabonfördraget innebar även att Europaparlamentets roll utökades från att vara rådgivande till att bli medbeslutande. Numera krävs alltså ett godkännande av Europaparlamentet för att ett nytt handelsavtal ska kunna träda i kraft. </w:t>
      </w:r>
    </w:p>
    <w:p w14:paraId="52897A78" w14:textId="77777777" w:rsidR="006B7FA6" w:rsidRDefault="006B7FA6" w:rsidP="00136838">
      <w:pPr>
        <w:pStyle w:val="RKnormal"/>
      </w:pPr>
    </w:p>
    <w:p w14:paraId="52897A79" w14:textId="77777777" w:rsidR="006B7FA6" w:rsidRDefault="006B7FA6" w:rsidP="00136838">
      <w:pPr>
        <w:pStyle w:val="RKnormal"/>
      </w:pPr>
      <w:r>
        <w:t>En del i EU:s handelspolitiska strategi är att förhandla bilaterala- och regionala frihandelsavtal. I augusti 2014 avslutades förhandlingarna mellan EU och Kanada om ett frihandelsavtal (CETA).  Det sker nu en juridisk granskning och översättning av avtalet. Förhandlingarna mellan EU och Singapore om ett frihandelsavtal avslutades i december 2012. Avtalstexterna har granskats juridiskt och paraferades den 20 september 2013. Nu pågår översättning av texterna.</w:t>
      </w:r>
    </w:p>
    <w:p w14:paraId="52897A7A" w14:textId="77777777" w:rsidR="006B7FA6" w:rsidRDefault="006B7FA6" w:rsidP="00136838">
      <w:pPr>
        <w:pStyle w:val="RKnormal"/>
      </w:pPr>
    </w:p>
    <w:p w14:paraId="52897A7B" w14:textId="3BE48FE9" w:rsidR="006B7FA6" w:rsidRDefault="006B7FA6" w:rsidP="00136838">
      <w:pPr>
        <w:pStyle w:val="RKnormal"/>
      </w:pPr>
      <w:r>
        <w:t>Eftersom EU:s förhandlingar om handelsavtal vanligtvis omfattar ett brett spektrum av områden aktualiseras ofta frågan om de färdig</w:t>
      </w:r>
      <w:r w:rsidR="00C677CC">
        <w:softHyphen/>
      </w:r>
      <w:bookmarkStart w:id="0" w:name="_GoBack"/>
      <w:bookmarkEnd w:id="0"/>
      <w:r>
        <w:t xml:space="preserve">förhandlade avtalen omfattar frågor som ligger utanför EU:s exklusiva kompetens.  </w:t>
      </w:r>
    </w:p>
    <w:p w14:paraId="52897A7C" w14:textId="77777777" w:rsidR="006B7FA6" w:rsidRDefault="006B7FA6" w:rsidP="00136838">
      <w:pPr>
        <w:pStyle w:val="RKnormal"/>
      </w:pPr>
    </w:p>
    <w:p w14:paraId="52897A7D" w14:textId="03FA7EF1" w:rsidR="006B7FA6" w:rsidRDefault="006B7FA6" w:rsidP="00136838">
      <w:pPr>
        <w:pStyle w:val="RKnormal"/>
      </w:pPr>
      <w:r>
        <w:t>Kommissionen meddelade därför den 4 mars 2015 att man kommer att begära ett yttrande från EU-domstolen i syfte att få klarhet i kompetens</w:t>
      </w:r>
      <w:r w:rsidR="00C677CC">
        <w:softHyphen/>
      </w:r>
      <w:r>
        <w:t>fördelningen på de områden som omfattas av frihandels</w:t>
      </w:r>
      <w:r w:rsidR="00276CE5">
        <w:softHyphen/>
      </w:r>
      <w:r>
        <w:t xml:space="preserve">avtalen och om EU ensamt kan ingå avtalet med Singapore eller om EU:s medlemstater </w:t>
      </w:r>
      <w:r>
        <w:lastRenderedPageBreak/>
        <w:t xml:space="preserve">vid sidan om EU </w:t>
      </w:r>
      <w:r w:rsidR="00C769D7">
        <w:t xml:space="preserve">ska vara </w:t>
      </w:r>
      <w:r>
        <w:t xml:space="preserve">parter till avtalet. </w:t>
      </w:r>
      <w:r w:rsidRPr="00C46B66">
        <w:t xml:space="preserve"> Kommissionen har </w:t>
      </w:r>
      <w:r>
        <w:t xml:space="preserve">dock </w:t>
      </w:r>
      <w:r w:rsidRPr="00C46B66">
        <w:t>formellt ännu inte överlämnat begäran om yttrande till EU-domstolen.</w:t>
      </w:r>
    </w:p>
    <w:p w14:paraId="52897A7E" w14:textId="77777777" w:rsidR="006B7FA6" w:rsidRDefault="006B7FA6" w:rsidP="00136838">
      <w:pPr>
        <w:pStyle w:val="RKnormal"/>
      </w:pPr>
    </w:p>
    <w:p w14:paraId="52897A7F" w14:textId="77777777" w:rsidR="006B7FA6" w:rsidRDefault="006B7FA6" w:rsidP="00136838">
      <w:pPr>
        <w:pStyle w:val="RKnormal"/>
      </w:pPr>
      <w:r>
        <w:t>Många medlemsländer anser att CETA och frihandelsavtalet med Singapore innehåller bestämmelser som faller utanför EU:s exklusiva kompetens på handelspolitikens område och att avtalen är blandade och att de därför ska ingås både av EU och av medlemsstaterna. Sverige delar i princip den uppfattningen men avvaktar ett eventuellt ställningstagande från EU-domstolens sida.</w:t>
      </w:r>
    </w:p>
    <w:p w14:paraId="52897A83" w14:textId="77777777" w:rsidR="006B7FA6" w:rsidRDefault="006B7FA6" w:rsidP="00136838">
      <w:pPr>
        <w:pStyle w:val="RKnormal"/>
      </w:pPr>
    </w:p>
    <w:p w14:paraId="52897A84" w14:textId="35950EF4" w:rsidR="006B7FA6" w:rsidRDefault="006B7FA6" w:rsidP="00136838">
      <w:pPr>
        <w:pStyle w:val="RKnormal"/>
      </w:pPr>
      <w:r>
        <w:t xml:space="preserve">Stockholm den </w:t>
      </w:r>
      <w:r w:rsidR="00276CE5">
        <w:t>2 juni 2015</w:t>
      </w:r>
    </w:p>
    <w:p w14:paraId="52897A85" w14:textId="77777777" w:rsidR="006B7FA6" w:rsidRDefault="006B7FA6" w:rsidP="00136838">
      <w:pPr>
        <w:pStyle w:val="RKnormal"/>
      </w:pPr>
    </w:p>
    <w:p w14:paraId="52897A86" w14:textId="77777777" w:rsidR="006B7FA6" w:rsidRDefault="006B7FA6" w:rsidP="00136838">
      <w:pPr>
        <w:pStyle w:val="RKnormal"/>
      </w:pPr>
    </w:p>
    <w:p w14:paraId="52897A87" w14:textId="77777777" w:rsidR="006B7FA6" w:rsidRDefault="006B7FA6" w:rsidP="00136838">
      <w:pPr>
        <w:pStyle w:val="RKnormal"/>
      </w:pPr>
      <w:r>
        <w:t>Mikael Damberg</w:t>
      </w:r>
    </w:p>
    <w:sectPr w:rsidR="006B7FA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897A8A" w14:textId="77777777" w:rsidR="006B7FA6" w:rsidRDefault="006B7FA6">
      <w:r>
        <w:separator/>
      </w:r>
    </w:p>
  </w:endnote>
  <w:endnote w:type="continuationSeparator" w:id="0">
    <w:p w14:paraId="52897A8B" w14:textId="77777777" w:rsidR="006B7FA6" w:rsidRDefault="006B7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97A88" w14:textId="77777777" w:rsidR="006B7FA6" w:rsidRDefault="006B7FA6">
      <w:r>
        <w:separator/>
      </w:r>
    </w:p>
  </w:footnote>
  <w:footnote w:type="continuationSeparator" w:id="0">
    <w:p w14:paraId="52897A89" w14:textId="77777777" w:rsidR="006B7FA6" w:rsidRDefault="006B7F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97A8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677C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2897A90" w14:textId="77777777">
      <w:trPr>
        <w:cantSplit/>
      </w:trPr>
      <w:tc>
        <w:tcPr>
          <w:tcW w:w="3119" w:type="dxa"/>
        </w:tcPr>
        <w:p w14:paraId="52897A8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2897A8E" w14:textId="77777777" w:rsidR="00E80146" w:rsidRDefault="00E80146">
          <w:pPr>
            <w:pStyle w:val="Sidhuvud"/>
            <w:ind w:right="360"/>
          </w:pPr>
        </w:p>
      </w:tc>
      <w:tc>
        <w:tcPr>
          <w:tcW w:w="1525" w:type="dxa"/>
        </w:tcPr>
        <w:p w14:paraId="52897A8F" w14:textId="77777777" w:rsidR="00E80146" w:rsidRDefault="00E80146">
          <w:pPr>
            <w:pStyle w:val="Sidhuvud"/>
            <w:ind w:right="360"/>
          </w:pPr>
        </w:p>
      </w:tc>
    </w:tr>
  </w:tbl>
  <w:p w14:paraId="52897A9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97A9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2897A96" w14:textId="77777777">
      <w:trPr>
        <w:cantSplit/>
      </w:trPr>
      <w:tc>
        <w:tcPr>
          <w:tcW w:w="3119" w:type="dxa"/>
        </w:tcPr>
        <w:p w14:paraId="52897A9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2897A94" w14:textId="77777777" w:rsidR="00E80146" w:rsidRDefault="00E80146">
          <w:pPr>
            <w:pStyle w:val="Sidhuvud"/>
            <w:ind w:right="360"/>
          </w:pPr>
        </w:p>
      </w:tc>
      <w:tc>
        <w:tcPr>
          <w:tcW w:w="1525" w:type="dxa"/>
        </w:tcPr>
        <w:p w14:paraId="52897A95" w14:textId="77777777" w:rsidR="00E80146" w:rsidRDefault="00E80146">
          <w:pPr>
            <w:pStyle w:val="Sidhuvud"/>
            <w:ind w:right="360"/>
          </w:pPr>
        </w:p>
      </w:tc>
    </w:tr>
  </w:tbl>
  <w:p w14:paraId="52897A9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97A98" w14:textId="77777777" w:rsidR="006B7FA6" w:rsidRDefault="006B7FA6">
    <w:pPr>
      <w:framePr w:w="2948" w:h="1321" w:hRule="exact" w:wrap="notBeside" w:vAnchor="page" w:hAnchor="page" w:x="1362" w:y="653"/>
    </w:pPr>
    <w:r>
      <w:rPr>
        <w:noProof/>
        <w:lang w:eastAsia="sv-SE"/>
      </w:rPr>
      <w:drawing>
        <wp:inline distT="0" distB="0" distL="0" distR="0" wp14:anchorId="52897A9D" wp14:editId="52897A9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2897A99" w14:textId="77777777" w:rsidR="00E80146" w:rsidRDefault="00E80146">
    <w:pPr>
      <w:pStyle w:val="RKrubrik"/>
      <w:keepNext w:val="0"/>
      <w:tabs>
        <w:tab w:val="clear" w:pos="1134"/>
        <w:tab w:val="clear" w:pos="2835"/>
      </w:tabs>
      <w:spacing w:before="0" w:after="0" w:line="320" w:lineRule="atLeast"/>
      <w:rPr>
        <w:bCs/>
      </w:rPr>
    </w:pPr>
  </w:p>
  <w:p w14:paraId="52897A9A" w14:textId="77777777" w:rsidR="00E80146" w:rsidRDefault="00E80146">
    <w:pPr>
      <w:rPr>
        <w:rFonts w:ascii="TradeGothic" w:hAnsi="TradeGothic"/>
        <w:b/>
        <w:bCs/>
        <w:spacing w:val="12"/>
        <w:sz w:val="22"/>
      </w:rPr>
    </w:pPr>
  </w:p>
  <w:p w14:paraId="52897A9B" w14:textId="77777777" w:rsidR="00E80146" w:rsidRDefault="00E80146">
    <w:pPr>
      <w:pStyle w:val="RKrubrik"/>
      <w:keepNext w:val="0"/>
      <w:tabs>
        <w:tab w:val="clear" w:pos="1134"/>
        <w:tab w:val="clear" w:pos="2835"/>
      </w:tabs>
      <w:spacing w:before="0" w:after="0" w:line="320" w:lineRule="atLeast"/>
      <w:rPr>
        <w:bCs/>
      </w:rPr>
    </w:pPr>
  </w:p>
  <w:p w14:paraId="52897A9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FA6"/>
    <w:rsid w:val="000A0B6B"/>
    <w:rsid w:val="001279D7"/>
    <w:rsid w:val="00136838"/>
    <w:rsid w:val="00150384"/>
    <w:rsid w:val="00160901"/>
    <w:rsid w:val="001805B7"/>
    <w:rsid w:val="00276CE5"/>
    <w:rsid w:val="00367B1C"/>
    <w:rsid w:val="004A328D"/>
    <w:rsid w:val="0058762B"/>
    <w:rsid w:val="006B7FA6"/>
    <w:rsid w:val="006E4E11"/>
    <w:rsid w:val="007242A3"/>
    <w:rsid w:val="007A6855"/>
    <w:rsid w:val="0092027A"/>
    <w:rsid w:val="00955E31"/>
    <w:rsid w:val="00992E72"/>
    <w:rsid w:val="00AF26D1"/>
    <w:rsid w:val="00C677CC"/>
    <w:rsid w:val="00C769D7"/>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897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3683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3683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3683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3683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f823cb0f-f105-46d7-9912-d1370d3c53db</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B0358270-9828-4BDD-8756-EA95449FAA2A}"/>
</file>

<file path=customXml/itemProps2.xml><?xml version="1.0" encoding="utf-8"?>
<ds:datastoreItem xmlns:ds="http://schemas.openxmlformats.org/officeDocument/2006/customXml" ds:itemID="{0F32BC59-3FEC-4F71-B16A-1F1DDBD3F146}"/>
</file>

<file path=customXml/itemProps3.xml><?xml version="1.0" encoding="utf-8"?>
<ds:datastoreItem xmlns:ds="http://schemas.openxmlformats.org/officeDocument/2006/customXml" ds:itemID="{080AAFB7-4029-47F2-A922-4A7E504397E0}"/>
</file>

<file path=customXml/itemProps4.xml><?xml version="1.0" encoding="utf-8"?>
<ds:datastoreItem xmlns:ds="http://schemas.openxmlformats.org/officeDocument/2006/customXml" ds:itemID="{1EF4EDE2-2598-4850-BD79-795704EE6ED9}">
  <ds:schemaRefs>
    <ds:schemaRef ds:uri="http://schemas.microsoft.com/sharepoint/v3/contenttype/forms/url"/>
  </ds:schemaRefs>
</ds:datastoreItem>
</file>

<file path=customXml/itemProps5.xml><?xml version="1.0" encoding="utf-8"?>
<ds:datastoreItem xmlns:ds="http://schemas.openxmlformats.org/officeDocument/2006/customXml" ds:itemID="{0F32BC59-3FEC-4F71-B16A-1F1DDBD3F146}">
  <ds:schemaRefs>
    <ds:schemaRef ds:uri="http://schemas.microsoft.com/sharepoint/v3/contenttype/forms"/>
  </ds:schemaRefs>
</ds:datastoreItem>
</file>

<file path=customXml/itemProps6.xml><?xml version="1.0" encoding="utf-8"?>
<ds:datastoreItem xmlns:ds="http://schemas.openxmlformats.org/officeDocument/2006/customXml" ds:itemID="{F6D2D20E-02E9-4BE5-BEE5-E81C2B3DBEF5}">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2126</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Brandt</dc:creator>
  <cp:lastModifiedBy>Inga Holm</cp:lastModifiedBy>
  <cp:revision>4</cp:revision>
  <cp:lastPrinted>2000-01-21T12:02:00Z</cp:lastPrinted>
  <dcterms:created xsi:type="dcterms:W3CDTF">2015-06-01T14:02:00Z</dcterms:created>
  <dcterms:modified xsi:type="dcterms:W3CDTF">2015-06-02T07:27:00Z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3;0;0;224</vt:lpwstr>
  </property>
  <property fmtid="{D5CDD505-2E9C-101B-9397-08002B2CF9AE}" pid="3" name="Sprak">
    <vt:lpwstr>Svenska</vt:lpwstr>
  </property>
  <property fmtid="{D5CDD505-2E9C-101B-9397-08002B2CF9AE}" pid="4" name="DokID">
    <vt:i4>39</vt:i4>
  </property>
  <property fmtid="{D5CDD505-2E9C-101B-9397-08002B2CF9AE}" pid="5" name="_dlc_DocIdItemGuid">
    <vt:lpwstr>8c50d10c-bece-42e5-8ebc-8570cc4e8c68</vt:lpwstr>
  </property>
  <property fmtid="{D5CDD505-2E9C-101B-9397-08002B2CF9AE}" pid="6" name="ContentTypeId">
    <vt:lpwstr>0x0101007DCF975C04D44161A4E6A1E30BEAF3560093B6C30A1794704D9AEDAE4402691088</vt:lpwstr>
  </property>
  <property fmtid="{D5CDD505-2E9C-101B-9397-08002B2CF9AE}" pid="7" name="Departementsenhet">
    <vt:lpwstr/>
  </property>
  <property fmtid="{D5CDD505-2E9C-101B-9397-08002B2CF9AE}" pid="8" name="Aktivitetskategori">
    <vt:lpwstr/>
  </property>
</Properties>
</file>