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4A15DD8" w14:textId="77777777">
      <w:pPr>
        <w:pStyle w:val="Normalutanindragellerluft"/>
      </w:pPr>
      <w:bookmarkStart w:name="_Toc106800475" w:id="0"/>
      <w:bookmarkStart w:name="_Toc106801300" w:id="1"/>
    </w:p>
    <w:p w:rsidRPr="009B062B" w:rsidR="00AF30DD" w:rsidP="00B4151B" w:rsidRDefault="00BF4E2E"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alias w:val="Yrkande 1"/>
        <w:tag w:val="3bea1ab6-60c6-483f-bff8-05ec9660a6b9"/>
        <w:id w:val="1577324657"/>
        <w:lock w:val="sdtLocked"/>
      </w:sdtPr>
      <w:sdtEndPr/>
      <w:sdtContent>
        <w:p w:rsidR="00C865BE" w:rsidRDefault="00BF4E2E" w14:paraId="01FF0228" w14:textId="77777777">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alias w:val="Yrkande 2"/>
        <w:tag w:val="cd7f0530-0465-4177-9d54-0572ea332391"/>
        <w:id w:val="1139618381"/>
        <w:lock w:val="sdtLocked"/>
      </w:sdtPr>
      <w:sdtEndPr/>
      <w:sdtContent>
        <w:p w:rsidR="00C865BE" w:rsidRDefault="00BF4E2E" w14:paraId="0CD9FE21" w14:textId="77777777">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alias w:val="Yrkande 3"/>
        <w:tag w:val="3995134b-abd2-43fe-abe1-a6f9d749110a"/>
        <w:id w:val="636231250"/>
        <w:lock w:val="sdtLocked"/>
      </w:sdtPr>
      <w:sdtEndPr/>
      <w:sdtContent>
        <w:p w:rsidR="00C865BE" w:rsidRDefault="00BF4E2E" w14:paraId="0853D3F0"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4"/>
        <w:tag w:val="289b222a-b26d-4582-9baa-3f1224db3685"/>
        <w:id w:val="10728859"/>
        <w:lock w:val="sdtLocked"/>
      </w:sdtPr>
      <w:sdtEndPr/>
      <w:sdtContent>
        <w:p w:rsidR="00C865BE" w:rsidRDefault="00BF4E2E" w14:paraId="35BBCA6E"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5"/>
        <w:tag w:val="8db8e742-09ae-4128-9c0d-1a44eb19fa33"/>
        <w:id w:val="1617255554"/>
        <w:lock w:val="sdtLocked"/>
      </w:sdtPr>
      <w:sdtEndPr/>
      <w:sdtContent>
        <w:p w:rsidR="00C865BE" w:rsidRDefault="00BF4E2E" w14:paraId="34E42A2E"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6"/>
        <w:tag w:val="298b8a39-8854-43c9-9b2b-4f078ec55825"/>
        <w:id w:val="656188814"/>
        <w:lock w:val="sdtLocked"/>
      </w:sdtPr>
      <w:sdtEndPr/>
      <w:sdtContent>
        <w:p w:rsidR="00C865BE" w:rsidRDefault="00BF4E2E" w14:paraId="27196040" w14:textId="77777777">
          <w:pPr>
            <w:pStyle w:val="Frslagstext"/>
          </w:pPr>
          <w:r>
            <w:t>Riksdagen ställer sig bakom det som anförs i motionen om att regeringen bör ta fram förslag på ny lagstiftning kring företrädaransvar och tillkännager detta för regeringen.</w:t>
          </w:r>
        </w:p>
      </w:sdtContent>
    </w:sdt>
    <w:sdt>
      <w:sdtPr>
        <w:alias w:val="Yrkande 7"/>
        <w:tag w:val="ec972e64-3430-4c24-a090-73d21ef3ad44"/>
        <w:id w:val="-1161920442"/>
        <w:lock w:val="sdtLocked"/>
      </w:sdtPr>
      <w:sdtEndPr/>
      <w:sdtContent>
        <w:p w:rsidR="00C865BE" w:rsidRDefault="00BF4E2E" w14:paraId="43E2583C" w14:textId="77777777">
          <w:pPr>
            <w:pStyle w:val="Frslagstext"/>
          </w:pPr>
          <w:r>
            <w:t>Riksdagen ställer sig bakom det som anförs i motionen om att snarast genomföra en översyn av regelverket kring sponsring och tillkännager detta för regeringen.</w:t>
          </w:r>
        </w:p>
      </w:sdtContent>
    </w:sdt>
    <w:sdt>
      <w:sdtPr>
        <w:alias w:val="Yrkande 8"/>
        <w:tag w:val="da0c9bd2-0d36-40f2-9009-5391f15cfaa5"/>
        <w:id w:val="-1549137037"/>
        <w:lock w:val="sdtLocked"/>
      </w:sdtPr>
      <w:sdtEndPr/>
      <w:sdtContent>
        <w:p w:rsidR="00C865BE" w:rsidRDefault="00BF4E2E" w14:paraId="253DE060" w14:textId="77777777">
          <w:pPr>
            <w:pStyle w:val="Frslagstext"/>
          </w:pPr>
          <w:r>
            <w:t>Riksdagen ställer sig bakom det som anförs i motionen om att se över ersättningen för processkostnader i skattemål och tillkännager detta för regeringen.</w:t>
          </w:r>
        </w:p>
      </w:sdtContent>
    </w:sdt>
    <w:sdt>
      <w:sdtPr>
        <w:alias w:val="Yrkande 9"/>
        <w:tag w:val="e2c509c2-175c-417b-a674-7748292618e7"/>
        <w:id w:val="969411524"/>
        <w:lock w:val="sdtLocked"/>
      </w:sdtPr>
      <w:sdtEndPr/>
      <w:sdtContent>
        <w:p w:rsidR="00C865BE" w:rsidRDefault="00BF4E2E" w14:paraId="47B59A12" w14:textId="77777777">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alias w:val="Yrkande 10"/>
        <w:tag w:val="a9386585-6454-4542-807e-adce2623dbc8"/>
        <w:id w:val="-1320722416"/>
        <w:lock w:val="sdtLocked"/>
      </w:sdtPr>
      <w:sdtEndPr/>
      <w:sdtContent>
        <w:p w:rsidR="00C865BE" w:rsidRDefault="00BF4E2E" w14:paraId="5209AFA5" w14:textId="77777777">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alias w:val="Yrkande 11"/>
        <w:tag w:val="e594040f-3609-4044-9184-3f5d38d7a97d"/>
        <w:id w:val="-1948999682"/>
        <w:lock w:val="sdtLocked"/>
      </w:sdtPr>
      <w:sdtEndPr/>
      <w:sdtContent>
        <w:p w:rsidR="00C865BE" w:rsidRDefault="00BF4E2E" w14:paraId="4E9504EB" w14:textId="77777777">
          <w:pPr>
            <w:pStyle w:val="Frslagstext"/>
          </w:pPr>
          <w:r>
            <w:t>Riksdagen ställer sig bakom det som anförs i motionen om att se över möjligheten att införa ett landsbygdsavdrag och tillkännager detta för regeringen.</w:t>
          </w:r>
        </w:p>
      </w:sdtContent>
    </w:sdt>
    <w:sdt>
      <w:sdtPr>
        <w:alias w:val="Yrkande 12"/>
        <w:tag w:val="f9c447dc-958c-4f88-8626-e3b52e74f35e"/>
        <w:id w:val="644484590"/>
        <w:lock w:val="sdtLocked"/>
      </w:sdtPr>
      <w:sdtEndPr/>
      <w:sdtContent>
        <w:p w:rsidR="00C865BE" w:rsidRDefault="00BF4E2E" w14:paraId="1D925E39" w14:textId="77777777">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alias w:val="Yrkande 13"/>
        <w:tag w:val="7a98f6a8-52f4-4c53-90e8-79b617958701"/>
        <w:id w:val="289869676"/>
        <w:lock w:val="sdtLocked"/>
      </w:sdtPr>
      <w:sdtEndPr/>
      <w:sdtContent>
        <w:p w:rsidR="00C865BE" w:rsidRDefault="00BF4E2E" w14:paraId="55A72782" w14:textId="77777777">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alias w:val="Yrkande 14"/>
        <w:tag w:val="8471301a-81df-42ba-b924-54483ff42a8c"/>
        <w:id w:val="-221064662"/>
        <w:lock w:val="sdtLocked"/>
      </w:sdtPr>
      <w:sdtEndPr/>
      <w:sdtContent>
        <w:p w:rsidR="00C865BE" w:rsidRDefault="00BF4E2E" w14:paraId="77AE6BC8" w14:textId="77777777">
          <w:pPr>
            <w:pStyle w:val="Frslagstext"/>
          </w:pPr>
          <w:r>
            <w:t>Riksdagen ställer sig bakom det som anförs i motionen om att genomföra en översyn av mervärdesskatten för ideella föreningar och tillkännager detta för regeringen.</w:t>
          </w:r>
        </w:p>
      </w:sdtContent>
    </w:sdt>
    <w:sdt>
      <w:sdtPr>
        <w:alias w:val="Yrkande 15"/>
        <w:tag w:val="4005d0cc-81be-4b7a-9420-e16bfa3adfef"/>
        <w:id w:val="761179724"/>
        <w:lock w:val="sdtLocked"/>
      </w:sdtPr>
      <w:sdtEndPr/>
      <w:sdtContent>
        <w:p w:rsidR="00C865BE" w:rsidRDefault="00BF4E2E" w14:paraId="7ABBEE3A"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16"/>
        <w:tag w:val="e2ec6e92-f14d-40fb-9ecb-ec9cbbaa4ee4"/>
        <w:id w:val="619265254"/>
        <w:lock w:val="sdtLocked"/>
      </w:sdtPr>
      <w:sdtEndPr/>
      <w:sdtContent>
        <w:p w:rsidR="00C865BE" w:rsidRDefault="00BF4E2E" w14:paraId="0150C3CF" w14:textId="77777777">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alias w:val="Yrkande 17"/>
        <w:tag w:val="3e6c9b68-766b-4284-a988-66e70c250053"/>
        <w:id w:val="-1881772340"/>
        <w:lock w:val="sdtLocked"/>
      </w:sdtPr>
      <w:sdtEndPr/>
      <w:sdtContent>
        <w:p w:rsidR="00C865BE" w:rsidRDefault="00BF4E2E" w14:paraId="4ADAD35E" w14:textId="77777777">
          <w:pPr>
            <w:pStyle w:val="Frslagstext"/>
          </w:pPr>
          <w:r>
            <w:t>Riksdagen ställer sig bakom det som anförs i motionen om en differentierad spelskatt och tillkännager detta för regeringen.</w:t>
          </w:r>
        </w:p>
      </w:sdtContent>
    </w:sdt>
    <w:sdt>
      <w:sdtPr>
        <w:alias w:val="Yrkande 18"/>
        <w:tag w:val="75c3434f-41f8-4031-8ec3-d0345a5e2cbf"/>
        <w:id w:val="-147365666"/>
        <w:lock w:val="sdtLocked"/>
      </w:sdtPr>
      <w:sdtEndPr/>
      <w:sdtContent>
        <w:p w:rsidR="00C865BE" w:rsidRDefault="00BF4E2E" w14:paraId="6922EAF2" w14:textId="77777777">
          <w:pPr>
            <w:pStyle w:val="Frslagstext"/>
          </w:pPr>
          <w:r>
            <w:t>Riksdagen ställer sig bakom det som anförs i motionen om att styrelseledamöter ska kunna fakturera uppdrag vid näringsverksamhet och tillkännager detta för regeringen.</w:t>
          </w:r>
        </w:p>
      </w:sdtContent>
    </w:sdt>
    <w:sdt>
      <w:sdtPr>
        <w:alias w:val="Yrkande 19"/>
        <w:tag w:val="3429db5f-d16c-4221-853d-d78bab5bf736"/>
        <w:id w:val="317381564"/>
        <w:lock w:val="sdtLocked"/>
      </w:sdtPr>
      <w:sdtEndPr/>
      <w:sdtContent>
        <w:p w:rsidR="00C865BE" w:rsidRDefault="00BF4E2E" w14:paraId="3A3B2131" w14:textId="77777777">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w:rsidRPr="009B062B" w:rsidR="006D79C9" w:rsidP="00333E95" w:rsidRDefault="006D79C9" w14:paraId="3EB27D21" w14:textId="77777777">
          <w:pPr>
            <w:pStyle w:val="Rubrik1"/>
          </w:pPr>
          <w:r>
            <w:t>Motivering</w:t>
          </w:r>
        </w:p>
      </w:sdtContent>
    </w:sdt>
    <w:bookmarkEnd w:displacedByCustomXml="prev" w:id="3"/>
    <w:bookmarkEnd w:displacedByCustomXml="prev" w:id="4"/>
    <w:p w:rsidR="00F03513" w:rsidP="00F03513" w:rsidRDefault="00F03513" w14:paraId="730D5984" w14:textId="4EE590EB">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konkurrenskraft. Trots de framsteg som skett kan det konstateras att det svenska skattesystemet lider av stora skevheter som begränsar möjligheten till sysselsättning för utsatta grupper, för entreprenörskap och för Sveriges framtida tillväxtmöjligheter.</w:t>
      </w:r>
    </w:p>
    <w:p w:rsidR="00F03513" w:rsidP="00F03513" w:rsidRDefault="00F03513" w14:paraId="62301955" w14:textId="77777777">
      <w:pPr>
        <w:pStyle w:val="Normalutanindragellerluft"/>
      </w:pPr>
      <w:r>
        <w:t xml:space="preserve">Sverige har länge varit i behov av en omfattande skattereform, som syftar till att skapa mer jobb och tillväxt och att locka investeringar till Sverige samtidigt som kostnaden för miljöfarlig verksamhet fortsätter att öka. </w:t>
      </w:r>
    </w:p>
    <w:p w:rsidR="00F03513" w:rsidP="00F03513" w:rsidRDefault="00F03513" w14:paraId="6A48BFCC" w14:textId="77777777">
      <w:pPr>
        <w:pStyle w:val="Normalutanindragellerluft"/>
      </w:pPr>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w:rsidRPr="00F03513" w:rsidR="00F03513" w:rsidP="00F03513" w:rsidRDefault="00F03513" w14:paraId="03F2E0DC" w14:textId="77777777">
      <w:pPr>
        <w:pStyle w:val="Rubrik2"/>
      </w:pPr>
      <w:r w:rsidRPr="00F03513">
        <w:t xml:space="preserve">Ett effektivt och rättvist skattesystem </w:t>
      </w:r>
    </w:p>
    <w:p w:rsidR="00F03513" w:rsidP="00F03513" w:rsidRDefault="00F03513" w14:paraId="17A9130B" w14:textId="54B0337F">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offentliga åtagandet. De skatter som tas ut ska vara lättförståeliga, uppmuntra människor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w:t>
      </w:r>
      <w:r>
        <w:lastRenderedPageBreak/>
        <w:t>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w:t>
      </w:r>
      <w:r w:rsidR="00077E27">
        <w:t>.</w:t>
      </w:r>
      <w:r>
        <w:t xml:space="preserve"> </w:t>
      </w:r>
      <w:r w:rsidR="00077E27">
        <w:t xml:space="preserve">Det </w:t>
      </w:r>
      <w:r>
        <w:t>hämmar likviditeten i bolaget och minskar utrymmet för investeringar. Centerpartiet vill se över systemet så att företag inte ska behöva betala skatt i förskott.</w:t>
      </w:r>
    </w:p>
    <w:p w:rsidR="00F03513" w:rsidP="00F03513" w:rsidRDefault="00F03513" w14:paraId="4C4C4C89" w14:textId="29761012">
      <w:pPr>
        <w:pStyle w:val="Normalutanindragellerluft"/>
      </w:pPr>
      <w:r>
        <w:t xml:space="preserve">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w:rsidRPr="00F03513" w:rsidR="00F03513" w:rsidP="00F03513" w:rsidRDefault="00F03513" w14:paraId="2620FECF" w14:textId="77777777">
      <w:pPr>
        <w:pStyle w:val="Rubrik3"/>
      </w:pPr>
      <w:r w:rsidRPr="00F03513">
        <w:t xml:space="preserve">Enkelhet, transparens och minskad administration </w:t>
      </w:r>
    </w:p>
    <w:p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w:rsidR="00F03513" w:rsidP="00F03513" w:rsidRDefault="00F03513" w14:paraId="48C2769C" w14:textId="6A9CC4D9">
      <w:pPr>
        <w:pStyle w:val="Normalutanindragellerluft"/>
      </w:pPr>
      <w:r>
        <w:t xml:space="preserve">Ett regelverk som är särskilt problematiskt för många företag, exempelvis besöksnäring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w:t>
      </w:r>
      <w:r>
        <w:lastRenderedPageBreak/>
        <w:t>steg behöver utvidgningen från 2018 slopas. Regelkrånglet måste minska och här kan ny teknik bana väg för enklare system.</w:t>
      </w:r>
    </w:p>
    <w:p w:rsidR="00F03513" w:rsidP="00F03513" w:rsidRDefault="00F03513" w14:paraId="674D12E4" w14:textId="77777777">
      <w:pPr>
        <w:pStyle w:val="Normalutanindragellerluft"/>
      </w:pPr>
      <w:r>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00F03513" w:rsidP="00F03513" w:rsidRDefault="00F03513" w14:paraId="12DA94F7" w14:textId="2444EEDB">
      <w:pPr>
        <w:pStyle w:val="Normalutanindragellerluft"/>
      </w:pPr>
      <w:r>
        <w:t xml:space="preserve">I samband med pandemin blev det uppenbart för allt fler att systemet med förmånsbeskattning </w:t>
      </w:r>
      <w:r w:rsidR="008D50DE">
        <w:t xml:space="preserve">både </w:t>
      </w:r>
      <w:r>
        <w:t xml:space="preserve">är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w:rsidR="00F03513" w:rsidP="00F03513" w:rsidRDefault="00F03513" w14:paraId="66917CED" w14:textId="77777777">
      <w:pPr>
        <w:pStyle w:val="Normalutanindragellerluft"/>
      </w:pPr>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w:rsidRPr="00F03513" w:rsidR="00F03513" w:rsidP="00F03513" w:rsidRDefault="00F03513" w14:paraId="76728EF3" w14:textId="77777777">
      <w:pPr>
        <w:pStyle w:val="Rubrik3"/>
      </w:pPr>
      <w:r w:rsidRPr="00F03513">
        <w:t xml:space="preserve">Förutsättningarna för enskilda näringsidkare behöver stärkas </w:t>
      </w:r>
    </w:p>
    <w:p w:rsidR="00F03513" w:rsidP="00F03513" w:rsidRDefault="00F03513" w14:paraId="23E2EDF9" w14:textId="53CF922B">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w:t>
      </w:r>
      <w:r>
        <w:lastRenderedPageBreak/>
        <w:t xml:space="preserve">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w:t>
      </w:r>
      <w:r w:rsidR="008D50DE">
        <w:t xml:space="preserve">blir </w:t>
      </w:r>
      <w:r>
        <w:t xml:space="preserve">både enklare och bättre, men anser att de nya reglerna inte är tillräckliga. För många bolag innebär det en skatteökning. De s.k. 3:12-reglerna behöver därför fortsatt ses över i syfte att sänka skatten och förenkla för de ägarledda små företagen. </w:t>
      </w:r>
    </w:p>
    <w:p w:rsidRPr="00F03513" w:rsidR="00F03513" w:rsidP="00F03513" w:rsidRDefault="00F03513" w14:paraId="53D0404C" w14:textId="77777777">
      <w:pPr>
        <w:pStyle w:val="Rubrik3"/>
      </w:pPr>
      <w:r w:rsidRPr="00F03513">
        <w:t xml:space="preserve">Ett starkare civilsamhälle </w:t>
      </w:r>
    </w:p>
    <w:p w:rsidR="00F03513" w:rsidP="00F03513" w:rsidRDefault="00F03513" w14:paraId="773F9174" w14:textId="07624248">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marknadsvärdet inte kan mätas så som </w:t>
      </w:r>
      <w:r w:rsidR="008D50DE">
        <w:t>man</w:t>
      </w:r>
      <w:r>
        <w:t xml:space="preserve">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w:t>
      </w:r>
      <w:r>
        <w:lastRenderedPageBreak/>
        <w:t>få mer output från detta jämfört med företagaren som har en skylt vid en handbollsmatch med 2</w:t>
      </w:r>
      <w:r w:rsidR="008D50DE">
        <w:t> </w:t>
      </w:r>
      <w:r>
        <w:t xml:space="preserve">000 åskådare. </w:t>
      </w:r>
    </w:p>
    <w:p w:rsidR="00F03513" w:rsidP="00F03513" w:rsidRDefault="00F03513" w14:paraId="5CBBF3EB" w14:textId="303F1B6B">
      <w:pPr>
        <w:pStyle w:val="Normalutanindragellerluft"/>
      </w:pPr>
      <w:r>
        <w:t>Hästsporten är en brett uppskattad sport med andra förutsättningar samt en näring som skapar jobb i hela landet, inte minst på landsbygden. 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w:rsidRPr="00F03513" w:rsidR="00F03513" w:rsidP="00F03513" w:rsidRDefault="00F03513" w14:paraId="3189640D" w14:textId="77777777">
      <w:pPr>
        <w:pStyle w:val="Rubrik3"/>
      </w:pPr>
      <w:r w:rsidRPr="00F03513">
        <w:t xml:space="preserve">Rättssäkerhet för företagare </w:t>
      </w:r>
    </w:p>
    <w:p w:rsidR="00F03513" w:rsidP="00F03513" w:rsidRDefault="00F03513" w14:paraId="7ED00CDA" w14:textId="41720B12">
      <w:pPr>
        <w:pStyle w:val="Normalutanindragellerluft"/>
      </w:pPr>
      <w:r>
        <w:t xml:space="preserve">Alla har rätt att få sin sak prövad i domstol när en myndighets 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w:rsidRPr="00F03513" w:rsidR="00F03513" w:rsidP="00F03513" w:rsidRDefault="00F03513" w14:paraId="0E8A0800" w14:textId="77777777">
      <w:pPr>
        <w:pStyle w:val="Rubrik3"/>
      </w:pPr>
      <w:r w:rsidRPr="00F03513">
        <w:t xml:space="preserve">Ett skattesystem för regional tillväxt och likvärdiga förutsättningar i hela landet </w:t>
      </w:r>
    </w:p>
    <w:p w:rsidR="00F03513" w:rsidP="00F03513" w:rsidRDefault="00F03513" w14:paraId="6061A4C4" w14:textId="0DF06A74">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w:t>
      </w:r>
      <w:r>
        <w:lastRenderedPageBreak/>
        <w:t xml:space="preserve">möjligheter och incitament att föra en tillväxtfrämjande politik utifrån sina egna förutsättningar. Centerpartiet vill utreda hur ett antal skattebaser skulle kunna kommunaliseras eller regionaliseras, så att en större andel av de värden som skapas stannar lokalt. Ett första steg är att kommunalisera och/eller regionalisera fastighetsskatten på vatten- och vindkraftverk. </w:t>
      </w:r>
    </w:p>
    <w:p w:rsidR="00F03513" w:rsidP="00F03513" w:rsidRDefault="00F03513" w14:paraId="1CFAD8F5" w14:textId="06BD2ABA">
      <w:pPr>
        <w:pStyle w:val="Normalutanindragellerluft"/>
      </w:pPr>
      <w:r>
        <w:t xml:space="preserve">Den 1 november varje år sätts den kommunala skattebasen inför följande år utifrån hur många som är folkbokförda i kommunen vid det datumet. Många kommuner har dock en stor utmaning med en relativt sett hög andel deltidsboende, som aldrig folkbokför sig i kommunen, under stora delar av året. Såväl en hög andel säsongsanställda som övriga deltidsboende under året innebär ett tryck på såväl infrastruktur som välfärdstjänster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w:rsidR="00F03513" w:rsidP="00F03513" w:rsidRDefault="00F03513" w14:paraId="5E61FC1B" w14:textId="7A25F45B">
      <w:pPr>
        <w:pStyle w:val="Normalutanindragellerluft"/>
      </w:pPr>
      <w:r>
        <w:t>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w:t>
      </w:r>
      <w:r w:rsidR="00151D23">
        <w:t> </w:t>
      </w:r>
      <w:r>
        <w:t>000 kronor mer i plånboken för människor på landsbygden som är med i samfällighetsföreningar</w:t>
      </w:r>
      <w:r w:rsidR="00151D23">
        <w:t xml:space="preserve"> – e</w:t>
      </w:r>
      <w:r>
        <w:t xml:space="preserve">tt avdrag som kan göras i deklarationen, precis som det avdrag som kan göras för fackföreningsavgiften. </w:t>
      </w:r>
    </w:p>
    <w:p w:rsidR="00F03513" w:rsidP="00F03513" w:rsidRDefault="00F03513" w14:paraId="70116E20" w14:textId="77777777">
      <w:pPr>
        <w:pStyle w:val="Normalutanindragellerluft"/>
      </w:pPr>
      <w:r>
        <w:lastRenderedPageBreak/>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ändras i syfte att undvika beskattning vid en enskild tidpunkt. Exakt hur detta kan och bör genomföras måste dock vara föremål för en utredning. </w:t>
      </w:r>
    </w:p>
    <w:p w:rsidRPr="00F03513" w:rsidR="00F03513" w:rsidP="00F03513" w:rsidRDefault="00F03513" w14:paraId="67BAA50E" w14:textId="77777777">
      <w:pPr>
        <w:pStyle w:val="Rubrik2"/>
      </w:pPr>
      <w:r w:rsidRPr="00F03513">
        <w:t>Mervärdesskattesystemet</w:t>
      </w:r>
    </w:p>
    <w:p w:rsidRPr="00F03513" w:rsidR="00F03513" w:rsidP="00F03513" w:rsidRDefault="00F03513" w14:paraId="7E5AE56C" w14:textId="77777777">
      <w:pPr>
        <w:pStyle w:val="Rubrik3"/>
      </w:pPr>
      <w:r w:rsidRPr="00F03513">
        <w:t>Ideella föreningar</w:t>
      </w:r>
    </w:p>
    <w:p w:rsidR="00F03513" w:rsidP="00F03513" w:rsidRDefault="00F03513" w14:paraId="00204A30"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w:rsidR="00F03513" w:rsidP="00F03513" w:rsidRDefault="00F03513" w14:paraId="71CAC0EB" w14:textId="1D1C33EF">
      <w:pPr>
        <w:pStyle w:val="Normalutanindragellerluft"/>
      </w:pPr>
      <w:r>
        <w:t xml:space="preserve">Hur Sverige kan och bör hantera momssystemet aktualiseras återkommande. I närtid har ett antal frågor aktualiserats som pekar på behov av en större översyn av mervärdesskattesystemet.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w:rsidR="00F03513" w:rsidP="00F03513" w:rsidRDefault="00F03513" w14:paraId="0A57DB08" w14:textId="31F6E8EA">
      <w:pPr>
        <w:pStyle w:val="Normalutanindragellerluft"/>
      </w:pPr>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w:t>
      </w:r>
      <w:r>
        <w:lastRenderedPageBreak/>
        <w:t xml:space="preserve">momsundantaget för ideella föreningar. Detta trots att det handlar om verksamhet som är skräddarsydd för den egna organisationens behov, och därmed </w:t>
      </w:r>
      <w:r w:rsidR="00151D23">
        <w:t>inte</w:t>
      </w:r>
      <w:r>
        <w:t xml:space="preserve"> </w:t>
      </w:r>
      <w:r w:rsidR="00151D23">
        <w:t xml:space="preserve">utgör </w:t>
      </w:r>
      <w:r>
        <w:t xml:space="preserve">föremål för konkurrenssnedvridning. </w:t>
      </w:r>
    </w:p>
    <w:p w:rsidR="00F03513" w:rsidP="00F03513" w:rsidRDefault="00F03513" w14:paraId="677A73BB" w14:textId="77777777">
      <w:pPr>
        <w:pStyle w:val="Normalutanindragellerluft"/>
      </w:pPr>
      <w:r>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w:rsidRPr="00F03513" w:rsidR="00F03513" w:rsidP="00F03513" w:rsidRDefault="00F03513" w14:paraId="5FB6C51E" w14:textId="77777777">
      <w:pPr>
        <w:pStyle w:val="Rubrik2"/>
      </w:pPr>
      <w:r w:rsidRPr="00F03513">
        <w:t xml:space="preserve">Grön skatteväxling </w:t>
      </w:r>
    </w:p>
    <w:p w:rsidR="00F03513" w:rsidP="00F03513" w:rsidRDefault="00F03513" w14:paraId="01B4F73B" w14:textId="68522EE0">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skatteväxlingen – på så sätt skapar vi förutsättningarna för en hållbar omställning.</w:t>
      </w:r>
    </w:p>
    <w:p w:rsidRPr="00422B9E" w:rsidR="00422B9E" w:rsidP="008E0FE2" w:rsidRDefault="00422B9E" w14:paraId="60771E92" w14:textId="49BC13B7">
      <w:pPr>
        <w:pStyle w:val="Normalutanindragellerluft"/>
      </w:pPr>
    </w:p>
    <w:p w:rsidR="00BB6339" w:rsidP="008E0FE2" w:rsidRDefault="00BB6339" w14:paraId="54DCC119" w14:textId="77777777">
      <w:pPr>
        <w:pStyle w:val="Normalutanindragellerluft"/>
      </w:pPr>
    </w:p>
    <w:sdt>
      <w:sdtPr>
        <w:alias w:val="CC_Underskrifter"/>
        <w:tag w:val="CC_Underskrifter"/>
        <w:id w:val="583496634"/>
        <w:lock w:val="sdtContentLocked"/>
        <w:placeholder>
          <w:docPart w:val="0CF92ED7BECA44508480F4D90C97FF1A"/>
        </w:placeholder>
      </w:sdtPr>
      <w:sdtEndPr>
        <w:rPr>
          <w:i/>
          <w:noProof/>
        </w:rPr>
      </w:sdtEndPr>
      <w:sdtContent>
        <w:p w:rsidR="00F03513" w:rsidP="00D97449" w:rsidRDefault="00F03513" w14:paraId="6D3CABC7" w14:textId="77777777"/>
        <w:p w:rsidR="00F03513" w:rsidP="00D97449" w:rsidRDefault="00BF4E2E" w14:paraId="52D90B64" w14:textId="330BCA97"/>
      </w:sdtContent>
    </w:sdt>
    <w:tbl>
      <w:tblPr>
        <w:tblW w:w="5000" w:type="pct"/>
        <w:tblLook w:val="04A0" w:firstRow="1" w:lastRow="0" w:firstColumn="1" w:lastColumn="0" w:noHBand="0" w:noVBand="1"/>
        <w:tblCaption w:val="underskrifter"/>
      </w:tblPr>
      <w:tblGrid>
        <w:gridCol w:w="4252"/>
        <w:gridCol w:w="4252"/>
      </w:tblGrid>
      <w:tr w:rsidR="00C865BE" w14:paraId="29A6049C" w14:textId="77777777">
        <w:trPr>
          <w:cantSplit/>
        </w:trPr>
        <w:tc>
          <w:tcPr>
            <w:tcW w:w="50" w:type="pct"/>
            <w:vAlign w:val="bottom"/>
          </w:tcPr>
          <w:p w:rsidR="00C865BE" w:rsidRDefault="00BF4E2E" w14:paraId="17A59DEF" w14:textId="77777777">
            <w:pPr>
              <w:pStyle w:val="Underskrifter"/>
              <w:spacing w:after="0"/>
            </w:pPr>
            <w:r>
              <w:t>Anders Ådahl (C)</w:t>
            </w:r>
          </w:p>
        </w:tc>
        <w:tc>
          <w:tcPr>
            <w:tcW w:w="50" w:type="pct"/>
            <w:vAlign w:val="bottom"/>
          </w:tcPr>
          <w:p w:rsidR="00C865BE" w:rsidRDefault="00C865BE" w14:paraId="47A89697" w14:textId="77777777">
            <w:pPr>
              <w:pStyle w:val="Underskrifter"/>
              <w:spacing w:after="0"/>
            </w:pPr>
          </w:p>
        </w:tc>
      </w:tr>
      <w:tr w:rsidR="00C865BE" w14:paraId="2FD1F751" w14:textId="77777777">
        <w:trPr>
          <w:cantSplit/>
        </w:trPr>
        <w:tc>
          <w:tcPr>
            <w:tcW w:w="50" w:type="pct"/>
            <w:vAlign w:val="bottom"/>
          </w:tcPr>
          <w:p w:rsidR="00C865BE" w:rsidRDefault="00BF4E2E" w14:paraId="610BA1C5" w14:textId="77777777">
            <w:pPr>
              <w:pStyle w:val="Underskrifter"/>
              <w:spacing w:after="0"/>
            </w:pPr>
            <w:r>
              <w:t>Anders Karlsson (C)</w:t>
            </w:r>
          </w:p>
        </w:tc>
        <w:tc>
          <w:tcPr>
            <w:tcW w:w="50" w:type="pct"/>
            <w:vAlign w:val="bottom"/>
          </w:tcPr>
          <w:p w:rsidR="00C865BE" w:rsidRDefault="00BF4E2E" w14:paraId="1649FF40" w14:textId="77777777">
            <w:pPr>
              <w:pStyle w:val="Underskrifter"/>
              <w:spacing w:after="0"/>
            </w:pPr>
            <w:r>
              <w:t>Helena Vilhelmsson (C)</w:t>
            </w:r>
          </w:p>
        </w:tc>
      </w:tr>
      <w:tr w:rsidR="00C865BE" w14:paraId="15764A31" w14:textId="77777777">
        <w:trPr>
          <w:cantSplit/>
        </w:trPr>
        <w:tc>
          <w:tcPr>
            <w:tcW w:w="50" w:type="pct"/>
            <w:vAlign w:val="bottom"/>
          </w:tcPr>
          <w:p w:rsidR="00C865BE" w:rsidRDefault="00BF4E2E" w14:paraId="2509B9B1" w14:textId="77777777">
            <w:pPr>
              <w:pStyle w:val="Underskrifter"/>
              <w:spacing w:after="0"/>
            </w:pPr>
            <w:r>
              <w:t>Ulrika Heie (C)</w:t>
            </w:r>
          </w:p>
        </w:tc>
        <w:tc>
          <w:tcPr>
            <w:tcW w:w="50" w:type="pct"/>
            <w:vAlign w:val="bottom"/>
          </w:tcPr>
          <w:p w:rsidR="00C865BE" w:rsidRDefault="00BF4E2E" w14:paraId="012577EC" w14:textId="77777777">
            <w:pPr>
              <w:pStyle w:val="Underskrifter"/>
              <w:spacing w:after="0"/>
            </w:pPr>
            <w:r>
              <w:t>Stina Larsson (C)</w:t>
            </w:r>
          </w:p>
        </w:tc>
      </w:tr>
      <w:tr w:rsidR="00C865BE" w14:paraId="2E35AF5E" w14:textId="77777777">
        <w:trPr>
          <w:cantSplit/>
        </w:trPr>
        <w:tc>
          <w:tcPr>
            <w:tcW w:w="50" w:type="pct"/>
            <w:vAlign w:val="bottom"/>
          </w:tcPr>
          <w:p w:rsidR="00C865BE" w:rsidRDefault="00BF4E2E" w14:paraId="7608E8C7" w14:textId="77777777">
            <w:pPr>
              <w:pStyle w:val="Underskrifter"/>
              <w:spacing w:after="0"/>
            </w:pPr>
            <w:r>
              <w:t>Helena Lindahl (C)</w:t>
            </w:r>
          </w:p>
        </w:tc>
        <w:tc>
          <w:tcPr>
            <w:tcW w:w="50" w:type="pct"/>
            <w:vAlign w:val="bottom"/>
          </w:tcPr>
          <w:p w:rsidR="00C865BE" w:rsidRDefault="00BF4E2E" w14:paraId="4ED721BA" w14:textId="77777777">
            <w:pPr>
              <w:pStyle w:val="Underskrifter"/>
              <w:spacing w:after="0"/>
            </w:pPr>
            <w:r>
              <w:t>Rickard Nordin (C)</w:t>
            </w:r>
          </w:p>
        </w:tc>
      </w:tr>
      <w:tr w:rsidR="00C865BE" w14:paraId="42416097" w14:textId="77777777">
        <w:trPr>
          <w:cantSplit/>
        </w:trPr>
        <w:tc>
          <w:tcPr>
            <w:tcW w:w="50" w:type="pct"/>
            <w:vAlign w:val="bottom"/>
          </w:tcPr>
          <w:p w:rsidR="00C865BE" w:rsidRDefault="00BF4E2E" w14:paraId="5C9577F9" w14:textId="77777777">
            <w:pPr>
              <w:pStyle w:val="Underskrifter"/>
              <w:spacing w:after="0"/>
            </w:pPr>
            <w:r>
              <w:t>Mona Smedman (C)</w:t>
            </w:r>
          </w:p>
        </w:tc>
        <w:tc>
          <w:tcPr>
            <w:tcW w:w="50" w:type="pct"/>
            <w:vAlign w:val="bottom"/>
          </w:tcPr>
          <w:p w:rsidR="00C865BE" w:rsidRDefault="00BF4E2E" w14:paraId="6D286897" w14:textId="77777777">
            <w:pPr>
              <w:pStyle w:val="Underskrifter"/>
              <w:spacing w:after="0"/>
            </w:pPr>
            <w:r>
              <w:t>Elisabeth Thand Ringqvist (C)</w:t>
            </w:r>
          </w:p>
        </w:tc>
      </w:tr>
      <w:tr w:rsidR="00C865BE" w14:paraId="6EC26DC2" w14:textId="77777777">
        <w:trPr>
          <w:cantSplit/>
        </w:trPr>
        <w:tc>
          <w:tcPr>
            <w:tcW w:w="50" w:type="pct"/>
            <w:vAlign w:val="bottom"/>
          </w:tcPr>
          <w:p w:rsidR="00C865BE" w:rsidRDefault="00BF4E2E" w14:paraId="612364E2" w14:textId="77777777">
            <w:pPr>
              <w:pStyle w:val="Underskrifter"/>
              <w:spacing w:after="0"/>
            </w:pPr>
            <w:r>
              <w:t>Martin Ådahl (C)</w:t>
            </w:r>
          </w:p>
        </w:tc>
        <w:tc>
          <w:tcPr>
            <w:tcW w:w="50" w:type="pct"/>
            <w:vAlign w:val="bottom"/>
          </w:tcPr>
          <w:p w:rsidR="00C865BE" w:rsidRDefault="00C865BE" w14:paraId="25E21EC0" w14:textId="77777777">
            <w:pPr>
              <w:pStyle w:val="Underskrifter"/>
              <w:spacing w:after="0"/>
            </w:pPr>
          </w:p>
        </w:tc>
      </w:tr>
    </w:tbl>
    <w:p w:rsidRPr="008E0FE2" w:rsidR="004801AC" w:rsidP="00DF3554" w:rsidRDefault="004801AC" w14:paraId="00F9D786" w14:textId="6B96D2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AD2" w14:textId="77777777" w:rsidR="00BF4E2E" w:rsidRDefault="00BF4E2E" w:rsidP="000C1CAD">
      <w:pPr>
        <w:spacing w:line="240" w:lineRule="auto"/>
      </w:pPr>
      <w:r>
        <w:separator/>
      </w:r>
    </w:p>
  </w:endnote>
  <w:endnote w:type="continuationSeparator" w:id="0">
    <w:p w14:paraId="2076967B" w14:textId="77777777" w:rsidR="00BF4E2E" w:rsidRDefault="00BF4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EB5E" w14:textId="77777777" w:rsidR="00BF4E2E" w:rsidRDefault="00BF4E2E" w:rsidP="000C1CAD">
      <w:pPr>
        <w:spacing w:line="240" w:lineRule="auto"/>
      </w:pPr>
      <w:r>
        <w:separator/>
      </w:r>
    </w:p>
  </w:footnote>
  <w:footnote w:type="continuationSeparator" w:id="0">
    <w:p w14:paraId="4657FCC7" w14:textId="77777777" w:rsidR="00BF4E2E" w:rsidRDefault="00BF4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3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7ECCF0" wp14:editId="0988E3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A43AC9" w14:textId="55322FC2" w:rsidR="00262EA3" w:rsidRDefault="00BF4E2E" w:rsidP="008103B5">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7EC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14:paraId="7E0EA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66F1" w14:textId="77777777" w:rsidR="00262EA3" w:rsidRDefault="00262EA3" w:rsidP="008563AC">
    <w:pPr>
      <w:jc w:val="right"/>
    </w:pPr>
  </w:p>
  <w:p w14:paraId="39D90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22A1" w14:textId="77777777" w:rsidR="00262EA3" w:rsidRDefault="00BF4E2E" w:rsidP="008563AC">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anchorId="638A07C4" wp14:editId="4158E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2E43D9" w14:textId="6C36D2CC" w:rsidR="00262EA3" w:rsidRDefault="00BF4E2E" w:rsidP="00A314CF">
    <w:pPr>
      <w:pStyle w:val="FSHNormal"/>
      <w:spacing w:before="40"/>
    </w:pPr>
    <w:sdt>
      <w:sdtPr>
        <w:alias w:val="CC_Noformat_Motionstyp"/>
        <w:tag w:val="CC_Noformat_Motionstyp"/>
        <w:id w:val="1162973129"/>
        <w:lock w:val="sdtContentLocked"/>
        <w15:appearance w15:val="hidden"/>
        <w:text/>
      </w:sdtPr>
      <w:sdtEndPr/>
      <w:sdtContent>
        <w:r w:rsidR="00D97449">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14:paraId="7DED88A3" w14:textId="77777777" w:rsidR="00262EA3" w:rsidRPr="008227B3" w:rsidRDefault="00BF4E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FC6E2" w14:textId="2CBB8806" w:rsidR="00262EA3" w:rsidRPr="008227B3" w:rsidRDefault="00BF4E2E" w:rsidP="00B37A37">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rsidR="00D97449">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rsidR="00D97449">
          <w:t>:2835</w:t>
        </w:r>
      </w:sdtContent>
    </w:sdt>
  </w:p>
  <w:p w14:paraId="389D94B5" w14:textId="6461AEAD" w:rsidR="00262EA3" w:rsidRDefault="00BF4E2E" w:rsidP="00E03A3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rsidR="00D97449">
          <w:t>av Anders Ådahl m.fl. (C)</w:t>
        </w:r>
      </w:sdtContent>
    </w:sdt>
  </w:p>
  <w:sdt>
    <w:sdtPr>
      <w:alias w:val="CC_Noformat_Rubtext"/>
      <w:tag w:val="CC_Noformat_Rubtext"/>
      <w:id w:val="-218060500"/>
      <w:lock w:val="sdtLocked"/>
      <w:placeholder>
        <w:docPart w:val="310D148077C745AEAAC155ADD911C66A"/>
      </w:placeholder>
      <w:text/>
    </w:sdtPr>
    <w:sdtEndPr/>
    <w:sdtContent>
      <w:p w14:paraId="105EBDF9" w14:textId="2C77B4F2" w:rsidR="00262EA3" w:rsidRDefault="00FF0DD0" w:rsidP="00283E0F">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14:paraId="1DAAA1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8448687">
    <w:abstractNumId w:val="9"/>
  </w:num>
  <w:num w:numId="2" w16cid:durableId="1772050615">
    <w:abstractNumId w:val="8"/>
  </w:num>
  <w:num w:numId="3" w16cid:durableId="2082171304">
    <w:abstractNumId w:val="16"/>
  </w:num>
  <w:num w:numId="4" w16cid:durableId="1862742174">
    <w:abstractNumId w:val="14"/>
  </w:num>
  <w:num w:numId="5" w16cid:durableId="128667582">
    <w:abstractNumId w:val="17"/>
  </w:num>
  <w:num w:numId="6" w16cid:durableId="1780369421">
    <w:abstractNumId w:val="18"/>
  </w:num>
  <w:num w:numId="7" w16cid:durableId="1939213193">
    <w:abstractNumId w:val="11"/>
  </w:num>
  <w:num w:numId="8" w16cid:durableId="418915409">
    <w:abstractNumId w:val="12"/>
  </w:num>
  <w:num w:numId="9" w16cid:durableId="1048535576">
    <w:abstractNumId w:val="15"/>
  </w:num>
  <w:num w:numId="10" w16cid:durableId="62457860">
    <w:abstractNumId w:val="22"/>
  </w:num>
  <w:num w:numId="11" w16cid:durableId="2041395966">
    <w:abstractNumId w:val="21"/>
  </w:num>
  <w:num w:numId="12" w16cid:durableId="1957253867">
    <w:abstractNumId w:val="21"/>
  </w:num>
  <w:num w:numId="13" w16cid:durableId="1463570748">
    <w:abstractNumId w:val="3"/>
  </w:num>
  <w:num w:numId="14" w16cid:durableId="1726680144">
    <w:abstractNumId w:val="2"/>
  </w:num>
  <w:num w:numId="15" w16cid:durableId="169219772">
    <w:abstractNumId w:val="1"/>
  </w:num>
  <w:num w:numId="16" w16cid:durableId="1473906039">
    <w:abstractNumId w:val="0"/>
  </w:num>
  <w:num w:numId="17" w16cid:durableId="566845897">
    <w:abstractNumId w:val="7"/>
  </w:num>
  <w:num w:numId="18" w16cid:durableId="999621465">
    <w:abstractNumId w:val="6"/>
  </w:num>
  <w:num w:numId="19" w16cid:durableId="1714159778">
    <w:abstractNumId w:val="5"/>
  </w:num>
  <w:num w:numId="20" w16cid:durableId="1496217457">
    <w:abstractNumId w:val="4"/>
  </w:num>
  <w:num w:numId="21" w16cid:durableId="1729498771">
    <w:abstractNumId w:val="21"/>
  </w:num>
  <w:num w:numId="22" w16cid:durableId="1509710589">
    <w:abstractNumId w:val="21"/>
  </w:num>
  <w:num w:numId="23" w16cid:durableId="1026252618">
    <w:abstractNumId w:val="21"/>
  </w:num>
  <w:num w:numId="24" w16cid:durableId="115486672">
    <w:abstractNumId w:val="21"/>
  </w:num>
  <w:num w:numId="25" w16cid:durableId="962274005">
    <w:abstractNumId w:val="21"/>
  </w:num>
  <w:num w:numId="26" w16cid:durableId="810753041">
    <w:abstractNumId w:val="22"/>
  </w:num>
  <w:num w:numId="27" w16cid:durableId="763376390">
    <w:abstractNumId w:val="22"/>
  </w:num>
  <w:num w:numId="28" w16cid:durableId="411318989">
    <w:abstractNumId w:val="22"/>
  </w:num>
  <w:num w:numId="29" w16cid:durableId="584337752">
    <w:abstractNumId w:val="22"/>
  </w:num>
  <w:num w:numId="30" w16cid:durableId="1983383053">
    <w:abstractNumId w:val="21"/>
  </w:num>
  <w:num w:numId="31" w16cid:durableId="1095788948">
    <w:abstractNumId w:val="21"/>
  </w:num>
  <w:num w:numId="32" w16cid:durableId="1363093491">
    <w:abstractNumId w:val="22"/>
  </w:num>
  <w:num w:numId="33" w16cid:durableId="141123277">
    <w:abstractNumId w:val="21"/>
  </w:num>
  <w:num w:numId="34" w16cid:durableId="740567848">
    <w:abstractNumId w:val="18"/>
  </w:num>
  <w:num w:numId="35" w16cid:durableId="1614821916">
    <w:abstractNumId w:val="18"/>
    <w:lvlOverride w:ilvl="0">
      <w:startOverride w:val="1"/>
    </w:lvlOverride>
  </w:num>
  <w:num w:numId="36" w16cid:durableId="1964844895">
    <w:abstractNumId w:val="19"/>
  </w:num>
  <w:num w:numId="37" w16cid:durableId="698168144">
    <w:abstractNumId w:val="18"/>
    <w:lvlOverride w:ilvl="0">
      <w:startOverride w:val="1"/>
    </w:lvlOverride>
  </w:num>
  <w:num w:numId="38" w16cid:durableId="1923374785">
    <w:abstractNumId w:val="13"/>
  </w:num>
  <w:num w:numId="39" w16cid:durableId="672339646">
    <w:abstractNumId w:val="10"/>
  </w:num>
  <w:num w:numId="40" w16cid:durableId="2413746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27"/>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D2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E2E"/>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B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6"/>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2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8D2236" w:rsidRDefault="00BC26F8">
          <w:pPr>
            <w:pStyle w:val="2EF6D919CF6D48F0930066A4BBC7AA14"/>
          </w:pPr>
          <w:r w:rsidRPr="005A0A93">
            <w:rPr>
              <w:rStyle w:val="Platshllartext"/>
            </w:rPr>
            <w:t>Förslag till riksdagsbeslut</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8D2236" w:rsidRDefault="00BC26F8">
          <w:pPr>
            <w:pStyle w:val="E29C73C9023E48D18C4E3568BC5229B2"/>
          </w:pPr>
          <w:r w:rsidRPr="005A0A93">
            <w:rPr>
              <w:rStyle w:val="Platshllartext"/>
            </w:rPr>
            <w:t>Motivering</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8D2236"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8D2236"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8D2236"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8D2236"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8D2236"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8D2236"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8D2236" w:rsidRDefault="00BC26F8">
          <w:r w:rsidRPr="00366974">
            <w:rPr>
              <w:rStyle w:val="Platshllartext"/>
            </w:rPr>
            <w:t>[ange din text här]</w:t>
          </w:r>
        </w:p>
      </w:docPartBody>
    </w:docPart>
    <w:docPart>
      <w:docPartPr>
        <w:name w:val="0CF92ED7BECA44508480F4D90C97FF1A"/>
        <w:category>
          <w:name w:val="Allmänt"/>
          <w:gallery w:val="placeholder"/>
        </w:category>
        <w:types>
          <w:type w:val="bbPlcHdr"/>
        </w:types>
        <w:behaviors>
          <w:behavior w:val="content"/>
        </w:behaviors>
        <w:guid w:val="{3B1F8905-40D0-456F-93C6-203F3A3EE1DA}"/>
      </w:docPartPr>
      <w:docPartBody>
        <w:p w:rsidR="004D71F0" w:rsidRDefault="004D7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4D71F0"/>
    <w:rsid w:val="008D2236"/>
    <w:rsid w:val="00BC26F8"/>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1A983" w:themeColor="accent2" w:themeTint="99"/>
    </w:rPr>
  </w:style>
  <w:style w:type="paragraph" w:customStyle="1" w:styleId="2EF6D919CF6D48F0930066A4BBC7AA14">
    <w:name w:val="2EF6D919CF6D48F0930066A4BBC7AA14"/>
  </w:style>
  <w:style w:type="paragraph" w:customStyle="1" w:styleId="F304CA23411D47CB885B7BFF5F2632BF">
    <w:name w:val="F304CA23411D47CB885B7BFF5F2632BF"/>
  </w:style>
  <w:style w:type="paragraph" w:customStyle="1" w:styleId="E29C73C9023E48D18C4E3568BC5229B2">
    <w:name w:val="E29C73C9023E48D18C4E3568BC5229B2"/>
  </w:style>
  <w:style w:type="paragraph" w:customStyle="1" w:styleId="22D2DB1243494E5DA7677F3A0EE6086D">
    <w:name w:val="22D2DB1243494E5DA7677F3A0EE6086D"/>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5F5C2-272F-41AC-A14F-B7BAAD7D7A98}"/>
</file>

<file path=customXml/itemProps2.xml><?xml version="1.0" encoding="utf-8"?>
<ds:datastoreItem xmlns:ds="http://schemas.openxmlformats.org/officeDocument/2006/customXml" ds:itemID="{B64750E0-0CCE-4515-B833-28C0E1BF30C7}"/>
</file>

<file path=customXml/itemProps3.xml><?xml version="1.0" encoding="utf-8"?>
<ds:datastoreItem xmlns:ds="http://schemas.openxmlformats.org/officeDocument/2006/customXml" ds:itemID="{C6E57E6B-8E42-4CFB-AA3C-C69CC900F86A}"/>
</file>

<file path=docProps/app.xml><?xml version="1.0" encoding="utf-8"?>
<Properties xmlns="http://schemas.openxmlformats.org/officeDocument/2006/extended-properties" xmlns:vt="http://schemas.openxmlformats.org/officeDocument/2006/docPropsVTypes">
  <Template>Normal</Template>
  <TotalTime>106</TotalTime>
  <Pages>10</Pages>
  <Words>3202</Words>
  <Characters>19858</Characters>
  <Application>Microsoft Office Word</Application>
  <DocSecurity>0</DocSecurity>
  <Lines>431</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vt:lpstr>
      <vt:lpstr>
      </vt:lpstr>
    </vt:vector>
  </TitlesOfParts>
  <Company>Sveriges riksdag</Company>
  <LinksUpToDate>false</LinksUpToDate>
  <CharactersWithSpaces>22749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