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5F7" w:rsidRDefault="006705F7">
      <w:pPr>
        <w:pStyle w:val="Rubrik1"/>
        <w:spacing w:before="0"/>
      </w:pPr>
      <w:bookmarkStart w:id="0" w:name="_Toc348930335"/>
      <w:r>
        <w:rPr>
          <w:vanish/>
        </w:rPr>
        <w:t>&lt;1</w:t>
      </w:r>
      <w:r>
        <w:t>Till utrikesutskottet</w:t>
      </w:r>
      <w:bookmarkEnd w:id="0"/>
    </w:p>
    <w:p w:rsidR="006705F7" w:rsidRDefault="006705F7">
      <w:r>
        <w:t>Utrikesutskottet har berett skatteutskottet tillfälle att yttra sig över regerin</w:t>
      </w:r>
      <w:r>
        <w:t>g</w:t>
      </w:r>
      <w:r>
        <w:t>ens skrivelse 1995/96:30 EU:s regeringskonferens 1996 jämte motioner.</w:t>
      </w:r>
    </w:p>
    <w:p w:rsidR="006705F7" w:rsidRDefault="006705F7">
      <w:pPr>
        <w:pStyle w:val="Rubrik2"/>
      </w:pPr>
      <w:r>
        <w:rPr>
          <w:vanish/>
        </w:rPr>
        <w:t>&lt;2</w:t>
      </w:r>
      <w:r>
        <w:t>Beskattningen av sparande</w:t>
      </w:r>
    </w:p>
    <w:p w:rsidR="006705F7" w:rsidRDefault="006705F7">
      <w:r>
        <w:t>I motion U22 av Gudrun Schyman m.fl. (v) anför motionärerna att det krävs ett brett internationellt samarbete för att minska arbetslösheten och att sa</w:t>
      </w:r>
      <w:r>
        <w:t>m</w:t>
      </w:r>
      <w:r>
        <w:t>arbetet bl.a. måste innehålla världsomfattande avtal om miniminivåer för kapitalskatter (yrkande 19 i denna del). Enligt motionärernas mening bör vidare medlemsstaterna inom EU träffa ett avtal som möjliggör utbyte av information om banktillgodohavanden (yrkande 30).</w:t>
      </w:r>
    </w:p>
    <w:p w:rsidR="006705F7" w:rsidRDefault="006705F7">
      <w:pPr>
        <w:pStyle w:val="Normaltindrag"/>
      </w:pPr>
      <w:r>
        <w:t>Sverige har i dag dubbelbeskattningsavtal med närmare åttio länder, och de flesta avtalen innehåller bestämmelser om utbyte av information mellan skatteförvaltningarna. Bestämmelsen om informationsutbyte är normalt utformad i enlighet med OECD:s modellavtal. De svenska myndigheterna kan erhålla informationen på begäran eller automatiskt enligt särskild öve</w:t>
      </w:r>
      <w:r>
        <w:t>r</w:t>
      </w:r>
      <w:r>
        <w:t>ensko</w:t>
      </w:r>
      <w:r>
        <w:t>m</w:t>
      </w:r>
      <w:r>
        <w:t xml:space="preserve">melse. </w:t>
      </w:r>
    </w:p>
    <w:p w:rsidR="006705F7" w:rsidRDefault="006705F7">
      <w:pPr>
        <w:pStyle w:val="Normaltindrag"/>
      </w:pPr>
      <w:r>
        <w:t>Till följd av ett svenskt initiativ har man inom Europarådet och OECD u</w:t>
      </w:r>
      <w:r>
        <w:t>t</w:t>
      </w:r>
      <w:r>
        <w:t>arbetat en konvention om ömsesidig handräckning i skatteärenden. Konve</w:t>
      </w:r>
      <w:r>
        <w:t>n</w:t>
      </w:r>
      <w:r>
        <w:t>tionen har antagits av Europarådets ministerkommitté 1987 och innehåller bl.a. regler om informationsutbyte. Den har undertecknats av Sverige, Da</w:t>
      </w:r>
      <w:r>
        <w:t>n</w:t>
      </w:r>
      <w:r>
        <w:t xml:space="preserve">mark, Norge, Finland och USA och trädde i kraft den 1 april 1995. </w:t>
      </w:r>
    </w:p>
    <w:p w:rsidR="006705F7" w:rsidRDefault="006705F7">
      <w:pPr>
        <w:pStyle w:val="Normaltindrag"/>
      </w:pPr>
      <w:r>
        <w:t>Inom EU gäller EG:s handräckningsdirektiv (77/799/EEG) som bl.a. inn</w:t>
      </w:r>
      <w:r>
        <w:t>e</w:t>
      </w:r>
      <w:r>
        <w:t>håller regler om informationsutbyte. Den gemenskapsrättsliga grunden för direktivet är att skatteflykt och undandragande av skatt som sträcker sig över medlemsstaternas gränser leder till budgetförluster och kränkning av princ</w:t>
      </w:r>
      <w:r>
        <w:t>i</w:t>
      </w:r>
      <w:r>
        <w:t xml:space="preserve">pen om rättvis beskattning och är ägnade att åstadkomma snedvridning av kapitalrörelser och konkurrensbetingelser på den gemensamma marknaden. </w:t>
      </w:r>
    </w:p>
    <w:p w:rsidR="006705F7" w:rsidRDefault="006705F7">
      <w:pPr>
        <w:pStyle w:val="Normaltindrag"/>
      </w:pPr>
      <w:r>
        <w:t>Även om de redovisade instrumenten i många fall ger goda möjligheter att inhämta information om banktillgodohavanden m.m. i utlandet finns det begränsningar. Vissa länder har inte velat träffa avtal om informationsutbyte. När det gäller direktivet finns en motsvarande begränsning genom att me</w:t>
      </w:r>
      <w:r>
        <w:t>d</w:t>
      </w:r>
      <w:r>
        <w:t>lemsstaterna har rätt att vägra att genomföra efterforskningar eller tillhand</w:t>
      </w:r>
      <w:r>
        <w:t>a</w:t>
      </w:r>
      <w:r>
        <w:t xml:space="preserve">hålla information som deras skattemyndigheter inte får utföra eller samla in. </w:t>
      </w:r>
      <w:r>
        <w:lastRenderedPageBreak/>
        <w:t>En medlemsstat får vidare vägra att lämna ut information om detta skulle leda till röjande av affärshemlighet eller liknande eller om utlämnandet skulle strida mot allmänna grun</w:t>
      </w:r>
      <w:r>
        <w:t>d</w:t>
      </w:r>
      <w:r>
        <w:t>satser.</w:t>
      </w:r>
    </w:p>
    <w:p w:rsidR="006705F7" w:rsidRDefault="006705F7">
      <w:pPr>
        <w:pStyle w:val="Normaltindrag"/>
      </w:pPr>
      <w:r>
        <w:t>Ett alternativ till informationsutbyte när det gäller beskattningen av ränta är att den utbetalande staten innehåller en källskatt. Denna metod tillämpas av Sverige när det gäller t.ex. aktieutdelning. Inom EG har man 1989 lagt fram ett direktivförslag om källskatt på ränta. När förslaget inte accepterats av alla stater har man på förslag av Belgien och Tyskland tagit upp frågan om ett blandat system där varje medlemsstat kan välja mellan att ta ut käl</w:t>
      </w:r>
      <w:r>
        <w:t>l</w:t>
      </w:r>
      <w:r>
        <w:t>skatt och att lämna information. Även detta förslag har fallit. Bl.a. anser Storbritannien och Luxemburg att varje form av gemensam räntebeskattning kan innebära att deras position på den internationella kapitalmarknaden äventyras. Frågan har emellertid fått ny aktualitet. I de riktlinjer som det italienska ordförandeskapet presenterat sägs bl.a. att man - om en mer öppen attityd än tidigare visas från några medlemsstaters sida – bör återuppta b</w:t>
      </w:r>
      <w:r>
        <w:t>e</w:t>
      </w:r>
      <w:r>
        <w:t>handlingen av förslaget till direktiv om ett gemensamt system för källb</w:t>
      </w:r>
      <w:r>
        <w:t>e</w:t>
      </w:r>
      <w:r>
        <w:t>skattning av ränteintäkter. En diskussion bör enligt direktiven inledas om detta ämne i syfte att inhämta ministrarnas synpunkter om lämpligheten att bibehålla det nuvarande systemet eller att i stället påbörja ändringar av de gällande systemen.</w:t>
      </w:r>
    </w:p>
    <w:p w:rsidR="006705F7" w:rsidRDefault="006705F7">
      <w:pPr>
        <w:pStyle w:val="Normaltindrag"/>
      </w:pPr>
      <w:r>
        <w:t>Vid finansministrarnas öppna debatt den 22 januari 1996 om det italienska ordförandeskapets riktlinjer stödde finansminister Göran Persson planerna på gemensamma regler för beskattningen av sparande. Finansministern tillade att en lösning på detta problem borde ses som en del av arbetet med att få till stånd den ekonomiska och monetära unionen (EMU). Finansministern pek</w:t>
      </w:r>
      <w:r>
        <w:t>a</w:t>
      </w:r>
      <w:r>
        <w:t>de också på betydelsen av ett ökat samarbete mellan skatteadministrationerna och av att dessa får tillgång till uppgifter av betydelse för beskat</w:t>
      </w:r>
      <w:r>
        <w:t>t</w:t>
      </w:r>
      <w:r>
        <w:t>ningen.</w:t>
      </w:r>
    </w:p>
    <w:p w:rsidR="006705F7" w:rsidRDefault="006705F7">
      <w:pPr>
        <w:pStyle w:val="Normaltindrag"/>
      </w:pPr>
      <w:r>
        <w:t>Enligt skatteutskottets mening visar det anförda att regeringen är medveten om de problem som finns när det gäller beskattningen av kapital och att regeringen är pådrivande i dessa frågor. Mot denna bakgrund finns det enligt utskottets mening inte någon anledning till tillkännagivanden med det inn</w:t>
      </w:r>
      <w:r>
        <w:t>e</w:t>
      </w:r>
      <w:r>
        <w:t>håll som motionärerna föreslår, och utskottet avstyrker därför motion U22 yrkande 19 i denna del och yrkande 30.</w:t>
      </w:r>
    </w:p>
    <w:p w:rsidR="006705F7" w:rsidRDefault="006705F7">
      <w:pPr>
        <w:pStyle w:val="Rubrik2"/>
      </w:pPr>
      <w:r>
        <w:rPr>
          <w:vanish/>
        </w:rPr>
        <w:t>&lt;2</w:t>
      </w:r>
      <w:r>
        <w:t>Skatter som styrmedel</w:t>
      </w:r>
    </w:p>
    <w:p w:rsidR="006705F7" w:rsidRDefault="006705F7">
      <w:pPr>
        <w:rPr>
          <w:kern w:val="1"/>
        </w:rPr>
      </w:pPr>
      <w:r>
        <w:t>I skrivelsen redovisar regeringen sin inställning när det gäller att integrera kravet på miljöhänsyn i olika politikområden. Härvid framhåller regeringen  att en</w:t>
      </w:r>
      <w:r>
        <w:rPr>
          <w:kern w:val="1"/>
        </w:rPr>
        <w:t xml:space="preserve"> viktig förändring som kan aktualiseras vid regeringskonferensen är att tillämpa majoritetsbeslut på områden där det för närvarande krävs enhälli</w:t>
      </w:r>
      <w:r>
        <w:rPr>
          <w:kern w:val="1"/>
        </w:rPr>
        <w:t>g</w:t>
      </w:r>
      <w:r>
        <w:rPr>
          <w:kern w:val="1"/>
        </w:rPr>
        <w:t>het. Ett sådant område är beslut på miljöområdet som rör bestämmelser av främst skattekara</w:t>
      </w:r>
      <w:r>
        <w:rPr>
          <w:kern w:val="1"/>
        </w:rPr>
        <w:t>k</w:t>
      </w:r>
      <w:r>
        <w:rPr>
          <w:kern w:val="1"/>
        </w:rPr>
        <w:t>tär.</w:t>
      </w:r>
    </w:p>
    <w:p w:rsidR="006705F7" w:rsidRDefault="006705F7">
      <w:pPr>
        <w:pStyle w:val="Normaltindrag"/>
        <w:rPr>
          <w:kern w:val="1"/>
        </w:rPr>
      </w:pPr>
      <w:r>
        <w:rPr>
          <w:kern w:val="1"/>
        </w:rPr>
        <w:t>I Moderaternas partimotion U23 anför motionärerna att det är viktigt att medlemsländerna kommer överens när det gäller ekonomiska styrmedel och att detta t.ex. gäller den av motionärerna förespråkade miniminivån för ko</w:t>
      </w:r>
      <w:r>
        <w:rPr>
          <w:kern w:val="1"/>
        </w:rPr>
        <w:t>l</w:t>
      </w:r>
      <w:r>
        <w:rPr>
          <w:kern w:val="1"/>
        </w:rPr>
        <w:t>dioxidbeskattningen. Motionärerna anser emellertid inte att Romfördraget bör ändras så att det blir möjligt att fatta majoritetsbeslut om harmoniserin</w:t>
      </w:r>
      <w:r>
        <w:rPr>
          <w:kern w:val="1"/>
        </w:rPr>
        <w:t>g</w:t>
      </w:r>
      <w:r>
        <w:rPr>
          <w:kern w:val="1"/>
        </w:rPr>
        <w:t>en av skatter.</w:t>
      </w:r>
    </w:p>
    <w:p w:rsidR="006705F7" w:rsidRDefault="006705F7">
      <w:pPr>
        <w:pStyle w:val="Normaltindrag"/>
        <w:rPr>
          <w:kern w:val="1"/>
        </w:rPr>
      </w:pPr>
      <w:r>
        <w:rPr>
          <w:kern w:val="1"/>
        </w:rPr>
        <w:t>Motionärerna från Folkpartiet liberalerna anför i motion U19 att det är viktigt att gå över till majoritetsbeslut när det gäller frågor om ekonomiska styrmedel i miljöpolitiken. De vill att Sverige verkar för en ändring av Ro</w:t>
      </w:r>
      <w:r>
        <w:rPr>
          <w:kern w:val="1"/>
        </w:rPr>
        <w:t>m</w:t>
      </w:r>
      <w:r>
        <w:rPr>
          <w:kern w:val="1"/>
        </w:rPr>
        <w:t>fördraget som gör det möjligt att med kvalificerad majoritet införa avgifter för att motverka gränsöverskridande miljöproblem. Av ändringen bör det enligt motionärerna framgå vilka föroreningar som kan avgiftsbeläggas, att intäkten tillfaller det enskilda medlemslandet och att det skall vara fråga om minimiavgifter. Den allmänna skatte- och finanspolitiken faller enligt moti</w:t>
      </w:r>
      <w:r>
        <w:rPr>
          <w:kern w:val="1"/>
        </w:rPr>
        <w:t>o</w:t>
      </w:r>
      <w:r>
        <w:rPr>
          <w:kern w:val="1"/>
        </w:rPr>
        <w:t>närerna självklart under den nationella kompetensen.</w:t>
      </w:r>
    </w:p>
    <w:p w:rsidR="006705F7" w:rsidRDefault="006705F7">
      <w:pPr>
        <w:pStyle w:val="Normaltindrag"/>
        <w:rPr>
          <w:kern w:val="1"/>
        </w:rPr>
      </w:pPr>
      <w:r>
        <w:rPr>
          <w:kern w:val="1"/>
        </w:rPr>
        <w:t>I Centerpartiets motion U25 anför motionärerna att gemenskapens ofö</w:t>
      </w:r>
      <w:r>
        <w:rPr>
          <w:kern w:val="1"/>
        </w:rPr>
        <w:t>r</w:t>
      </w:r>
      <w:r>
        <w:rPr>
          <w:kern w:val="1"/>
        </w:rPr>
        <w:t>måga att enas i frågan om en gemensam koldioxidskatt visar på problemet med dagens beslutsregler. EU-samarbetet på miljöområdet bör enligt dessa motionärer koncentreras på att åstadkomma miniminormer i syfte att främja en hållbar utveckling och på att beslut om gemensamma ekonomiska styrm</w:t>
      </w:r>
      <w:r>
        <w:rPr>
          <w:kern w:val="1"/>
        </w:rPr>
        <w:t>e</w:t>
      </w:r>
      <w:r>
        <w:rPr>
          <w:kern w:val="1"/>
        </w:rPr>
        <w:t>del skall fattas med kvalificerad majoritet. Sverige bör därför enligt motion</w:t>
      </w:r>
      <w:r>
        <w:rPr>
          <w:kern w:val="1"/>
        </w:rPr>
        <w:t>ä</w:t>
      </w:r>
      <w:r>
        <w:rPr>
          <w:kern w:val="1"/>
        </w:rPr>
        <w:t>rerna driva frågan om ett slopande av Romfördragets krav på enhällighet vid beslut om miljöskatter.</w:t>
      </w:r>
    </w:p>
    <w:p w:rsidR="006705F7" w:rsidRDefault="006705F7">
      <w:pPr>
        <w:pStyle w:val="Normaltindrag"/>
        <w:rPr>
          <w:kern w:val="1"/>
        </w:rPr>
      </w:pPr>
      <w:r>
        <w:rPr>
          <w:kern w:val="1"/>
        </w:rPr>
        <w:t>Också i Kristdemokraternas partimotion  U21 anförs att beslut om mi</w:t>
      </w:r>
      <w:r>
        <w:rPr>
          <w:kern w:val="1"/>
        </w:rPr>
        <w:t>l</w:t>
      </w:r>
      <w:r>
        <w:rPr>
          <w:kern w:val="1"/>
        </w:rPr>
        <w:t>jöskatter bör kunna fattas med kvalificerad majoritet. Motionärerna anser att den svenska utgångspunkten måste vara att EU:s miljöprofil skall stärkas, och Sverige bör därför under konferensen arbeta för att beslut om miljöska</w:t>
      </w:r>
      <w:r>
        <w:rPr>
          <w:kern w:val="1"/>
        </w:rPr>
        <w:t>t</w:t>
      </w:r>
      <w:r>
        <w:rPr>
          <w:kern w:val="1"/>
        </w:rPr>
        <w:t>ter skall kunna fattas med kvalif</w:t>
      </w:r>
      <w:r>
        <w:rPr>
          <w:kern w:val="1"/>
        </w:rPr>
        <w:t>i</w:t>
      </w:r>
      <w:r>
        <w:rPr>
          <w:kern w:val="1"/>
        </w:rPr>
        <w:t>cerad majoritet.</w:t>
      </w:r>
    </w:p>
    <w:p w:rsidR="006705F7" w:rsidRDefault="006705F7">
      <w:pPr>
        <w:pStyle w:val="Normaltindrag"/>
        <w:rPr>
          <w:kern w:val="1"/>
        </w:rPr>
      </w:pPr>
      <w:r>
        <w:rPr>
          <w:kern w:val="1"/>
        </w:rPr>
        <w:t>I Vänsterpartiets motion U22 begärs ett tillkännagivande om att mella</w:t>
      </w:r>
      <w:r>
        <w:rPr>
          <w:kern w:val="1"/>
        </w:rPr>
        <w:t>n</w:t>
      </w:r>
      <w:r>
        <w:rPr>
          <w:kern w:val="1"/>
        </w:rPr>
        <w:t>statliga avtal om miniminivåer för energi- och miljöskatter bör efterstr</w:t>
      </w:r>
      <w:r>
        <w:rPr>
          <w:kern w:val="1"/>
        </w:rPr>
        <w:t>ä</w:t>
      </w:r>
      <w:r>
        <w:rPr>
          <w:kern w:val="1"/>
        </w:rPr>
        <w:t xml:space="preserve">vas. </w:t>
      </w:r>
    </w:p>
    <w:p w:rsidR="006705F7" w:rsidRDefault="006705F7">
      <w:pPr>
        <w:pStyle w:val="Normaltindrag"/>
        <w:rPr>
          <w:kern w:val="1"/>
        </w:rPr>
      </w:pPr>
      <w:r>
        <w:rPr>
          <w:kern w:val="1"/>
        </w:rPr>
        <w:t>Miljöpartiet anför i sin partimotion U29 att regeringen bör verka för att en lägsta energi- och koldioxidskatt införs obligatoriskt.</w:t>
      </w:r>
    </w:p>
    <w:p w:rsidR="006705F7" w:rsidRDefault="006705F7">
      <w:pPr>
        <w:pStyle w:val="Normaltindrag"/>
      </w:pPr>
      <w:r>
        <w:t>Enligt artikel 99 i Romfördraget krävs enhällighet vid beslut om harmon</w:t>
      </w:r>
      <w:r>
        <w:t>i</w:t>
      </w:r>
      <w:r>
        <w:t xml:space="preserve">sering av omsättningsskatter, punktskatter och andra indirekta skatter och avgifter. </w:t>
      </w:r>
    </w:p>
    <w:p w:rsidR="006705F7" w:rsidRDefault="006705F7">
      <w:pPr>
        <w:pStyle w:val="Normaltindrag"/>
      </w:pPr>
      <w:r>
        <w:t>I artikel 130r anges att gemenskapens miljöpolitik skall bidra till att bev</w:t>
      </w:r>
      <w:r>
        <w:t>a</w:t>
      </w:r>
      <w:r>
        <w:t>ra, skydda och förbättra miljön, att skydda människors hälsa, att utnyttja naturresurserna varsamt och rationellt och att främja åtgärder på internati</w:t>
      </w:r>
      <w:r>
        <w:t>o</w:t>
      </w:r>
      <w:r>
        <w:t>nell nivå för att lösa regionala eller globala mi</w:t>
      </w:r>
      <w:r>
        <w:t>l</w:t>
      </w:r>
      <w:r>
        <w:t xml:space="preserve">jöproblem. </w:t>
      </w:r>
    </w:p>
    <w:p w:rsidR="006705F7" w:rsidRDefault="006705F7">
      <w:pPr>
        <w:pStyle w:val="Normaltindrag"/>
      </w:pPr>
      <w:r>
        <w:t>Beslut om vilka åtgärder som skall vidtas för att nå miljömålen skall enligt artikel 130s punkt 1 fattas med kvalificerad majoritet. Enligt punkt 2 i sa</w:t>
      </w:r>
      <w:r>
        <w:t>m</w:t>
      </w:r>
      <w:r>
        <w:t>ma artikel krävs dock enhällighet för beslut som rör bestämmelser av främst skattekaraktär, åtgärder som avser fysisk planering och åtgärder som väsen</w:t>
      </w:r>
      <w:r>
        <w:t>t</w:t>
      </w:r>
      <w:r>
        <w:t>ligt påverkar en medlemsstats val mellan olika energikällor och den allmänna strukturen hos dess energiförsörjning. Rådet får genom ett enhälligt beslut definiera de frågor i vilka beslut skall fattas med kvalificerad major</w:t>
      </w:r>
      <w:r>
        <w:t>i</w:t>
      </w:r>
      <w:r>
        <w:t>tet.</w:t>
      </w:r>
    </w:p>
    <w:p w:rsidR="006705F7" w:rsidRDefault="006705F7">
      <w:pPr>
        <w:pStyle w:val="Normaltindrag"/>
      </w:pPr>
      <w:r>
        <w:t>Enligt artikel 130t skall de skyddsåtgärder som antas för att nå miljömålen inte hindra någon medlemsstat från att behålla eller införa strängare skyddsåtgärder om de är förenliga med övriga bestämmelser i Romfördraget. Sådana skyddsåtgärder skall anmälas till ko</w:t>
      </w:r>
      <w:r>
        <w:t>m</w:t>
      </w:r>
      <w:r>
        <w:t>missionen.</w:t>
      </w:r>
    </w:p>
    <w:p w:rsidR="006705F7" w:rsidRDefault="006705F7">
      <w:pPr>
        <w:pStyle w:val="Normaltindrag"/>
      </w:pPr>
      <w:r>
        <w:t>Inom EU har under längre tid pågått ett arbete som syftar till att åsta</w:t>
      </w:r>
      <w:r>
        <w:t>d</w:t>
      </w:r>
      <w:r>
        <w:t>komma gemensamma bestämmelser om uttag av energi- och koldioxidskatt. I ett direktivförslag från 1992 (KOM 92/266) föreslog kommissionen en sep</w:t>
      </w:r>
      <w:r>
        <w:t>a</w:t>
      </w:r>
      <w:r>
        <w:t>rat energi- och koldioxidskatt som skulle omfatta såväl mineraloljor som kol, naturgas och elektrisk kraft. Det var en obligatorisk skatt men dess införande skulle bl.a. vara beroende av att andra OECD-länder introducerade liknande skatter. Enighet har emellertid inte kunnat uppnås om detta förslag och andra alternativ har därför diskuterats löpande under åren. I maj 1995 har kommi</w:t>
      </w:r>
      <w:r>
        <w:t>s</w:t>
      </w:r>
      <w:r>
        <w:t>sionen presenterat ett reviderat direktivförslag (KOM 95/172). Direktivet skall alltjämt omfatta samtliga fossila bränslen samt elektrisk kraft men skatten skall vara frivillig. Vissa möjligheter till skattelättnader för energii</w:t>
      </w:r>
      <w:r>
        <w:t>n</w:t>
      </w:r>
      <w:r>
        <w:t>tensiv industri ingår.  Det reviderade direktivförslaget har diskuterats vid Ekofinmötet i oktober 1995 utan att man har lyckats ena sig om riktlinjer för den rådsarbetsgrupp som arbetar med frågan.</w:t>
      </w:r>
    </w:p>
    <w:p w:rsidR="006705F7" w:rsidRDefault="006705F7">
      <w:pPr>
        <w:pStyle w:val="Normaltindrag"/>
      </w:pPr>
      <w:r>
        <w:t>Det italienska ordförandeskapet har i sina riktlinjer för vårens arbete a</w:t>
      </w:r>
      <w:r>
        <w:t>n</w:t>
      </w:r>
      <w:r>
        <w:t>givit att direktivet bör antas efter det att Europaparlamentet lämnat sitt yt</w:t>
      </w:r>
      <w:r>
        <w:t>t</w:t>
      </w:r>
      <w:r>
        <w:t>rande. Vid finansministrarnas debatt den 22 januari 1996 om ordförandesk</w:t>
      </w:r>
      <w:r>
        <w:t>a</w:t>
      </w:r>
      <w:r>
        <w:t>pets riktlinjer har finansminister Göran Persson förespråkat en obligatorisk koldioxid- och energibeskattning som integreras med nuvarande gemensa</w:t>
      </w:r>
      <w:r>
        <w:t>m</w:t>
      </w:r>
      <w:r>
        <w:t xml:space="preserve">ma regler för energibeskattning. </w:t>
      </w:r>
    </w:p>
    <w:p w:rsidR="006705F7" w:rsidRDefault="006705F7">
      <w:pPr>
        <w:pStyle w:val="Normaltindrag"/>
        <w:rPr>
          <w:kern w:val="1"/>
        </w:rPr>
      </w:pPr>
      <w:r>
        <w:rPr>
          <w:kern w:val="1"/>
        </w:rPr>
        <w:t>Utskottet delar motionärernas inställning när det gäller behovet av att få till stånd gemensamma regler om en minimibeskattning på energiskatteo</w:t>
      </w:r>
      <w:r>
        <w:rPr>
          <w:kern w:val="1"/>
        </w:rPr>
        <w:t>m</w:t>
      </w:r>
      <w:r>
        <w:rPr>
          <w:kern w:val="1"/>
        </w:rPr>
        <w:t>rådet för att på det sättet minska användningen av fossila bränslen och här</w:t>
      </w:r>
      <w:r>
        <w:rPr>
          <w:kern w:val="1"/>
        </w:rPr>
        <w:t>i</w:t>
      </w:r>
      <w:r>
        <w:rPr>
          <w:kern w:val="1"/>
        </w:rPr>
        <w:t>genom begränsa koldioxidutsläppen. Det direktivförslag som kommissionen lagt fram och som efter vissa ytterligare revideringar nu diskuteras innehåller inte några minimiskattesatser utan de medlemsländer som så önskar kan övergångsvis använda sig av en nollskattesats. Det finns inte heller några regler om att minimiskattesatser skall införas i framtiden. Det är med hänsyn härtill nödvändigt att söka få till stånd ändringar i direktivet innan ett beslut fattas. Någon anledning till tillkännagivanden till reg</w:t>
      </w:r>
      <w:r>
        <w:rPr>
          <w:kern w:val="1"/>
        </w:rPr>
        <w:t>eringen om behovet av överenskommelser om miniminivåer för energiskatterna föreligger enligt utskottets mening inte, och utskottet avstyrker därför motionerna U22 yrka</w:t>
      </w:r>
      <w:r>
        <w:rPr>
          <w:kern w:val="1"/>
        </w:rPr>
        <w:t>n</w:t>
      </w:r>
      <w:r>
        <w:rPr>
          <w:kern w:val="1"/>
        </w:rPr>
        <w:t>de 24 och U29 yrkande 35.</w:t>
      </w:r>
    </w:p>
    <w:p w:rsidR="006705F7" w:rsidRDefault="006705F7">
      <w:pPr>
        <w:pStyle w:val="Normaltindrag"/>
        <w:rPr>
          <w:kern w:val="1"/>
        </w:rPr>
      </w:pPr>
      <w:r>
        <w:rPr>
          <w:kern w:val="1"/>
        </w:rPr>
        <w:t>När det gäller frågan om en ändrad beslutsordning för skatter på miljöo</w:t>
      </w:r>
      <w:r>
        <w:rPr>
          <w:kern w:val="1"/>
        </w:rPr>
        <w:t>m</w:t>
      </w:r>
      <w:r>
        <w:rPr>
          <w:kern w:val="1"/>
        </w:rPr>
        <w:t>rådet är utskottet inte i nuvarande läge berett att tillstyrka en sådan förän</w:t>
      </w:r>
      <w:r>
        <w:rPr>
          <w:kern w:val="1"/>
        </w:rPr>
        <w:t>d</w:t>
      </w:r>
      <w:r>
        <w:rPr>
          <w:kern w:val="1"/>
        </w:rPr>
        <w:t>ring. Som framgått lägger medlemsländerna stor vikt vid utformningen av regler som har betydelse för den egna ekonomin och förbehåller sig rätten att själva göra avvägningen mellan miljöintresset och andra intressen som risken för ökad arbetslöshet, minskade statsinkomster etc. Utskottet anser inte att det finns skäl att frångå denna ordning och avstyrker därför motionerna U19 yrkande 2, U21 yrkande 46 och U25 yrkande 15. Det finns inte heller någon anledning till ett tillkännagivande om att nuvarande ordni</w:t>
      </w:r>
      <w:r>
        <w:rPr>
          <w:kern w:val="1"/>
        </w:rPr>
        <w:t>ng bör bibehållas. Utskottet avstyrker därför även motion U23 i denna del.</w:t>
      </w:r>
    </w:p>
    <w:p w:rsidR="006705F7" w:rsidRDefault="006705F7">
      <w:pPr>
        <w:pStyle w:val="Rubrik2"/>
      </w:pPr>
      <w:r>
        <w:rPr>
          <w:vanish/>
        </w:rPr>
        <w:t>&lt;2</w:t>
      </w:r>
      <w:r>
        <w:t>Skatteväxling</w:t>
      </w:r>
    </w:p>
    <w:p w:rsidR="006705F7" w:rsidRDefault="006705F7">
      <w:r>
        <w:t>I flera motioner framställs yrkanden om att Sverige bör vara pådrivande när det gäller en växling från skatter på arbete till miljöskatter. Sådana yrkanden framställs i motionerna U19 av Lars Leijonborg m.fl. (fp) yrkande 4,  U21 av Alf Svensson m.fl. (kds)  yrkande 47 i denna del och U29 av Marianne S</w:t>
      </w:r>
      <w:r>
        <w:t>a</w:t>
      </w:r>
      <w:r>
        <w:t xml:space="preserve">muelsson m.fl. (mp)  yrkande 34. </w:t>
      </w:r>
    </w:p>
    <w:p w:rsidR="006705F7" w:rsidRDefault="006705F7">
      <w:pPr>
        <w:pStyle w:val="Normaltindrag"/>
      </w:pPr>
      <w:r>
        <w:t>Skatteväxlingsutredningen har i uppdrag att undersöka förutsättningarna för en växling från skatter på arbete till miljöskatter. Bakgrunden är bl.a. den vitbok om tillväxt, konkurrenskraft och sysselsättning som utarbetats av kommissionen och som Europeiska rådet antagit i december 1993. Enligt utredningens direktiv skall ett betänkande avlämnas senast den 30 juni 1996.</w:t>
      </w:r>
    </w:p>
    <w:p w:rsidR="006705F7" w:rsidRDefault="006705F7">
      <w:pPr>
        <w:pStyle w:val="Normaltindrag"/>
      </w:pPr>
      <w:r>
        <w:t>Enligt skatteutskottets mening är det viktigt att möjligheterna att få till stånd en sänkning av skatten på arbete och en ökad miljörelatering inom skattesystemet tas till vara såväl i Sverige som internationellt. Det arbete som bedrivs inom Skatteväxlingsutredningen avser att klarlägga förutsättningarna för en sådan omställning och är även inriktat på att reda ut förutsättningarna för att genomföra en skatteväxling inom EU. Enligt utskottets mening bör Skatteväxlingsutredningens arbete med dessa frågor avv</w:t>
      </w:r>
      <w:r>
        <w:t>aktas. Någon anle</w:t>
      </w:r>
      <w:r>
        <w:t>d</w:t>
      </w:r>
      <w:r>
        <w:t>ning till tillkännagivanden till regeringen om behovet av att driva skattevä</w:t>
      </w:r>
      <w:r>
        <w:t>x</w:t>
      </w:r>
      <w:r>
        <w:t>lingsfrågan internationellt finns det enligt utskottets mening inte. Utskottet avstyrker därför motionsyrkandena.</w:t>
      </w:r>
    </w:p>
    <w:p w:rsidR="006705F7" w:rsidRDefault="006705F7">
      <w:pPr>
        <w:pStyle w:val="Rubrik2"/>
      </w:pPr>
      <w:r>
        <w:rPr>
          <w:vanish/>
        </w:rPr>
        <w:t>&lt;2</w:t>
      </w:r>
      <w:r>
        <w:t>Den inre gränskontrollen</w:t>
      </w:r>
    </w:p>
    <w:p w:rsidR="006705F7" w:rsidRDefault="006705F7">
      <w:pPr>
        <w:rPr>
          <w:kern w:val="1"/>
        </w:rPr>
      </w:pPr>
      <w:r>
        <w:t xml:space="preserve">I regeringens skrivelse anförs att  syftet </w:t>
      </w:r>
      <w:r>
        <w:rPr>
          <w:kern w:val="1"/>
        </w:rPr>
        <w:t>med samarbetet i rättsliga och inrikes frågor är att med bibehållen säkerhet och trygghet för medborgarna uppnå fri rörlighet för personer. Det innebär på sikt en avveckling av inre gränskontro</w:t>
      </w:r>
      <w:r>
        <w:rPr>
          <w:kern w:val="1"/>
        </w:rPr>
        <w:t>l</w:t>
      </w:r>
      <w:r>
        <w:rPr>
          <w:kern w:val="1"/>
        </w:rPr>
        <w:t>ler och andra åtgärder vilket kommer att underlätta för personer att fritt röra sig över gränserna. Enligt vad som anförs i skrivelsen ställer detta stora krav bl.a. på samarbetet kring brottsbekämpning, inte minst när det gäller den internationella narkotikatrafiken. Det är därför enligt regeringen nödvändigt att i samverkan med andra länder finna nya vägar för att bekämpa illegal narkotikahandel och annan kriminalitet med internationell anknytning.</w:t>
      </w:r>
    </w:p>
    <w:p w:rsidR="006705F7" w:rsidRDefault="006705F7">
      <w:pPr>
        <w:pStyle w:val="Normaltindrag"/>
        <w:rPr>
          <w:kern w:val="1"/>
        </w:rPr>
      </w:pPr>
      <w:r>
        <w:rPr>
          <w:kern w:val="1"/>
        </w:rPr>
        <w:t xml:space="preserve">I motion U22 av Gudrun Schyman m.fl. (v) yrkande 48 anför motionärerna att det behövs en fortsatt nationell gränskontroll mot narkotika, vapen och miljöskadliga eller ohälsosamma produkter. </w:t>
      </w:r>
    </w:p>
    <w:p w:rsidR="006705F7" w:rsidRDefault="006705F7">
      <w:pPr>
        <w:pStyle w:val="Normaltindrag"/>
        <w:rPr>
          <w:kern w:val="1"/>
        </w:rPr>
      </w:pPr>
      <w:r>
        <w:rPr>
          <w:kern w:val="1"/>
        </w:rPr>
        <w:t>I motion U29 av Marianne Samuelsson m.fl. (mp) yrkande 45 i denna del anför motionärerna att regeringen bör verka för att gränskontrollerna bib</w:t>
      </w:r>
      <w:r>
        <w:rPr>
          <w:kern w:val="1"/>
        </w:rPr>
        <w:t>e</w:t>
      </w:r>
      <w:r>
        <w:rPr>
          <w:kern w:val="1"/>
        </w:rPr>
        <w:t xml:space="preserve">hålls. </w:t>
      </w:r>
    </w:p>
    <w:p w:rsidR="006705F7" w:rsidRDefault="006705F7">
      <w:pPr>
        <w:pStyle w:val="Normaltindrag"/>
      </w:pPr>
      <w:r>
        <w:t>Frågan om kontrollverksamheten vid inre gräns har utretts av EU-gränskontrollsutredningen. I avvaktan på att beredningen av utredningens förslag slutförs har Tullverkets befogenheter reglerats i övergångsbestä</w:t>
      </w:r>
      <w:r>
        <w:t>m</w:t>
      </w:r>
      <w:r>
        <w:t>melserna till tullagen. Den kontroll av trafiken från annat EU-land som tullmyndigheterna har ålagts gäller förutom narkotika och vapen även vissa andra varor som omfattas av införselförbud, t.ex. injektionssprutor, kanyler, dopningsmedel, ammunition, springstiletter och andra s.k. gatustridsvapen, vissa kulturföremål, hundar och katter samt alkohol och tobak som inte får föras in skattefritt vid inresa till Sverige. För detta slags varor har en anmä</w:t>
      </w:r>
      <w:r>
        <w:t>l</w:t>
      </w:r>
      <w:r>
        <w:t xml:space="preserve">nings- och uppgiftsskyldighet behållits liksom tullens kontrollbefogenheter enligt vissa bestämmelser i 1987 års tullag. Tullens kontroll gäller även införsel av vissa djur från andra EU-länder. </w:t>
      </w:r>
    </w:p>
    <w:p w:rsidR="006705F7" w:rsidRDefault="006705F7">
      <w:pPr>
        <w:pStyle w:val="Normaltindrag"/>
      </w:pPr>
      <w:r>
        <w:t>Enligt skatteutskottets mening innebär de beslut som fattats om tullver</w:t>
      </w:r>
      <w:r>
        <w:t>k</w:t>
      </w:r>
      <w:r>
        <w:t>samheten inför Sveriges medlemskap i EU att tullens funktion i fråga om kontrollen av illegal införsel av bl.a. narkotika och andra varor som omfattas av införselförbud har behållits även vid den inre gränsen.</w:t>
      </w:r>
    </w:p>
    <w:p w:rsidR="006705F7" w:rsidRDefault="006705F7">
      <w:pPr>
        <w:pStyle w:val="Normaltindrag"/>
      </w:pPr>
      <w:r>
        <w:t>Regeringen har aviserat att en  proposition om tullens befogenheter ko</w:t>
      </w:r>
      <w:r>
        <w:t>m</w:t>
      </w:r>
      <w:r>
        <w:t>mer att läggas fram under våren 1996. Utskottet anser att detta förslag bör avva</w:t>
      </w:r>
      <w:r>
        <w:t>k</w:t>
      </w:r>
      <w:r>
        <w:t>tas och avstyrker motionsyrkandena.</w:t>
      </w:r>
    </w:p>
    <w:p w:rsidR="006705F7" w:rsidRDefault="006705F7">
      <w:pPr>
        <w:pStyle w:val="Rubrik2"/>
        <w:rPr>
          <w:kern w:val="1"/>
        </w:rPr>
      </w:pPr>
      <w:r>
        <w:rPr>
          <w:vanish/>
          <w:kern w:val="1"/>
        </w:rPr>
        <w:t>&lt;2</w:t>
      </w:r>
      <w:r>
        <w:rPr>
          <w:kern w:val="1"/>
        </w:rPr>
        <w:t xml:space="preserve">Konventionen om användning av informationsteknik för tulländamål </w:t>
      </w:r>
    </w:p>
    <w:p w:rsidR="006705F7" w:rsidRDefault="006705F7">
      <w:r>
        <w:t>I motion U22 av Gudrun Schyman m.fl. (v) anför motionärerna att riksdagen bör motsätta sig  de integritetskränkande inslagen i den nyligen underteckn</w:t>
      </w:r>
      <w:r>
        <w:t>a</w:t>
      </w:r>
      <w:r>
        <w:t>de konventionen om användning av informationsteknik för tulländamål.</w:t>
      </w:r>
    </w:p>
    <w:p w:rsidR="006705F7" w:rsidRDefault="006705F7">
      <w:pPr>
        <w:pStyle w:val="Normaltindrag"/>
      </w:pPr>
      <w:r>
        <w:t>I juli 1995 har EU:s medlemsländer undertecknat en konvention om a</w:t>
      </w:r>
      <w:r>
        <w:t>n</w:t>
      </w:r>
      <w:r>
        <w:t>vändning av informationsteknik för tulländamål. Konventionen syftar till att förstärka samarbetet mellan tullmyndigheterna genom att fastställa förfara</w:t>
      </w:r>
      <w:r>
        <w:t>n</w:t>
      </w:r>
      <w:r>
        <w:t>den som möjliggör för tullmyndigheterna att agera gemensamt och utbyta personuppgifter eller andra uppgifter som har samband med olaglig handel genom användning av ny teknik. Vilka uppgifter som får föras in i systemet regleras genom en uppräkning i konventionen. Införandet av uppgifter är underställt de lagar som gäller i den medlemsstat som tillhandahåller uppgi</w:t>
      </w:r>
      <w:r>
        <w:t>f</w:t>
      </w:r>
      <w:r>
        <w:t>ten, och särskilda restriktioner gäller för hur uppgifterna får användas. Ko</w:t>
      </w:r>
      <w:r>
        <w:t>n</w:t>
      </w:r>
      <w:r>
        <w:t>ventionen träder i kraft tre månader efter det att den har ratificerats av sam</w:t>
      </w:r>
      <w:r>
        <w:t>t</w:t>
      </w:r>
      <w:r>
        <w:t>liga undertecknare. Genom ett särskilt avtal har det dock öppnats en möjli</w:t>
      </w:r>
      <w:r>
        <w:t>g</w:t>
      </w:r>
      <w:r>
        <w:t>het att börja tillämpa konventionen redan efter det att åtta medlemsstater ratific</w:t>
      </w:r>
      <w:r>
        <w:t>e</w:t>
      </w:r>
      <w:r>
        <w:t>rat den.</w:t>
      </w:r>
    </w:p>
    <w:p w:rsidR="006705F7" w:rsidRDefault="006705F7">
      <w:pPr>
        <w:pStyle w:val="Normaltindrag"/>
      </w:pPr>
      <w:r>
        <w:t>Enligt utskottets mening bör ställningstaganden rörande konventionen lämpligen anstå till dess denna föreläggs riksdagen för godkännande. Utsko</w:t>
      </w:r>
      <w:r>
        <w:t>t</w:t>
      </w:r>
      <w:r>
        <w:t xml:space="preserve">tet avstyrker därför motion U22 yrkande 53 i denna del. </w:t>
      </w:r>
    </w:p>
    <w:p w:rsidR="006705F7" w:rsidRDefault="006705F7">
      <w:pPr>
        <w:pStyle w:val="Normaltindrag"/>
      </w:pPr>
    </w:p>
    <w:p w:rsidR="006705F7" w:rsidRDefault="006705F7">
      <w:r>
        <w:rPr>
          <w:vanish/>
        </w:rPr>
        <w:t>&lt;A</w:t>
      </w:r>
      <w:r>
        <w:t>Stockholm den 20 februari 1996</w:t>
      </w:r>
    </w:p>
    <w:p w:rsidR="006705F7" w:rsidRDefault="006705F7">
      <w:pPr>
        <w:pStyle w:val="Normaltindrag"/>
      </w:pPr>
    </w:p>
    <w:p w:rsidR="006705F7" w:rsidRDefault="006705F7">
      <w:r>
        <w:t>På skatteutskottets vägnar</w:t>
      </w:r>
    </w:p>
    <w:p w:rsidR="006705F7" w:rsidRDefault="006705F7">
      <w:pPr>
        <w:pStyle w:val="Ordfnamn"/>
      </w:pPr>
      <w:bookmarkStart w:id="1" w:name="Ordförande"/>
      <w:bookmarkEnd w:id="1"/>
      <w:r>
        <w:t>Lars Hedfors</w:t>
      </w:r>
    </w:p>
    <w:p w:rsidR="006705F7" w:rsidRDefault="006705F7">
      <w:pPr>
        <w:pStyle w:val="CitatIndrag"/>
      </w:pPr>
    </w:p>
    <w:p w:rsidR="006705F7" w:rsidRDefault="006705F7">
      <w:pPr>
        <w:pStyle w:val="CitatIndrag"/>
      </w:pPr>
    </w:p>
    <w:p w:rsidR="006705F7" w:rsidRDefault="006705F7">
      <w:pPr>
        <w:pStyle w:val="Citat"/>
      </w:pPr>
      <w:r>
        <w:t>I beslutet har deltagit: Lars Hedfors (s), Anita Johansson (s), Sverre Palm (s), Karl Hagström (s), Karl-Gösta Svenson (m), Lisbeth Staaf-Igelström (s), Björn Ericson (s), Carl Fredrik Graf (m), Isa Halvarsson (fp), Inger Lundberg (s), Ulla Rudin (s), Jan-Olof Franzén (m), Holger Gustafsson (kds), Carl Erik Hedlund (m), Eskil Erlandsson (c), Per Rosengren (v) och Birger Schlaug (mp).</w:t>
      </w:r>
    </w:p>
    <w:p w:rsidR="006705F7" w:rsidRDefault="006705F7">
      <w:pPr>
        <w:pStyle w:val="Rubrik1"/>
        <w:spacing w:before="123"/>
      </w:pPr>
      <w:r>
        <w:rPr>
          <w:vanish/>
        </w:rPr>
        <w:t>&lt;1</w:t>
      </w:r>
      <w:r>
        <w:t>Avvikande meningar</w:t>
      </w:r>
    </w:p>
    <w:p w:rsidR="006705F7" w:rsidRDefault="006705F7">
      <w:pPr>
        <w:pStyle w:val="Rubrik2"/>
        <w:spacing w:before="123"/>
      </w:pPr>
      <w:r>
        <w:rPr>
          <w:vanish/>
        </w:rPr>
        <w:t>&lt;2</w:t>
      </w:r>
      <w:r>
        <w:t>1. Skatter som styrmedel</w:t>
      </w:r>
    </w:p>
    <w:p w:rsidR="006705F7" w:rsidRDefault="006705F7">
      <w:r>
        <w:t>Isa Halvarsson (fp), Holger Gustafsson (kds), Eskil Erlandsson (c) och Bi</w:t>
      </w:r>
      <w:r>
        <w:t>r</w:t>
      </w:r>
      <w:r>
        <w:t>ger Schlaug (mp) anför:</w:t>
      </w:r>
    </w:p>
    <w:p w:rsidR="006705F7" w:rsidRDefault="006705F7">
      <w:r>
        <w:t>Vi anser att kravet på enhällighet vid beslut om miljöskatter begränsar mö</w:t>
      </w:r>
      <w:r>
        <w:t>j</w:t>
      </w:r>
      <w:r>
        <w:t>ligheten att vidta de åtgärder som behövs för att uppnå de gemensamma miljömålen. Svårigheterna att nå enighet om en miniminivå för koldioxidb</w:t>
      </w:r>
      <w:r>
        <w:t>e</w:t>
      </w:r>
      <w:r>
        <w:t>skattningen visar på problemen med dagens beslutsregler.</w:t>
      </w:r>
    </w:p>
    <w:p w:rsidR="006705F7" w:rsidRDefault="006705F7">
      <w:pPr>
        <w:pStyle w:val="Normaltindrag"/>
        <w:rPr>
          <w:kern w:val="1"/>
        </w:rPr>
      </w:pPr>
      <w:r>
        <w:rPr>
          <w:kern w:val="1"/>
        </w:rPr>
        <w:t>Sverige bör verka för en ändring av Romfördraget som gör det möjligt att införa miljöskatter för att motverka gränsöverskridande miljöproblem med kvalificerad majoritet. Av ändringen bör det framgå vilka föroreningar som kan beskattas, att intäkten tillfaller det enskilda medlemslandet och att det skall vara fråga om m</w:t>
      </w:r>
      <w:r>
        <w:rPr>
          <w:kern w:val="1"/>
        </w:rPr>
        <w:t>i</w:t>
      </w:r>
      <w:r>
        <w:rPr>
          <w:kern w:val="1"/>
        </w:rPr>
        <w:t>nimiskatter.</w:t>
      </w:r>
    </w:p>
    <w:p w:rsidR="006705F7" w:rsidRDefault="006705F7">
      <w:pPr>
        <w:pStyle w:val="Normaltindrag"/>
      </w:pPr>
      <w:r>
        <w:t>Med det anförda tillstyrker vi motionerna U19 yrkande 2, U21 yrkande 46 och U25 yrkande 15.</w:t>
      </w:r>
    </w:p>
    <w:p w:rsidR="006705F7" w:rsidRDefault="006705F7">
      <w:pPr>
        <w:pStyle w:val="Rubrik2"/>
      </w:pPr>
      <w:r>
        <w:rPr>
          <w:vanish/>
        </w:rPr>
        <w:t>&lt;2</w:t>
      </w:r>
      <w:r>
        <w:t>2. Skatteväxling</w:t>
      </w:r>
    </w:p>
    <w:p w:rsidR="006705F7" w:rsidRDefault="006705F7">
      <w:r>
        <w:t>Isa Halvarsson (fp) och Holger Gustafsson (kds) anför:</w:t>
      </w:r>
    </w:p>
    <w:p w:rsidR="006705F7" w:rsidRDefault="006705F7">
      <w:r>
        <w:t xml:space="preserve">Vi anser att det är en klok strategi för Europa att stimulera fler arbeten i den privata tjänstesektorn genom en lägre beskattning av arbete. </w:t>
      </w:r>
    </w:p>
    <w:p w:rsidR="006705F7" w:rsidRDefault="006705F7">
      <w:pPr>
        <w:pStyle w:val="Normaltindrag"/>
      </w:pPr>
      <w:r>
        <w:t xml:space="preserve">De idéer om en ökad beskattning av miljöfarliga utsläpp och en sänkning av skatten på arbete som läggs fram i vitboken om tillväxt, konkurrenskraft och sysselsättning bör genomföras skyndsamt. </w:t>
      </w:r>
    </w:p>
    <w:p w:rsidR="006705F7" w:rsidRDefault="006705F7">
      <w:pPr>
        <w:pStyle w:val="Normaltindrag"/>
      </w:pPr>
      <w:r>
        <w:t>Sverige bör enligt vår mening driva på det gemensamma arbetet med att genomföra vitbokens idéer om skatteväxling. Bl.a. bör mervärdesskatted</w:t>
      </w:r>
      <w:r>
        <w:t>i</w:t>
      </w:r>
      <w:r>
        <w:t>rektivet ändras så att det blir möjligt för de medlemsländer som så önskar att införa en lägre mervärdesskatt på tjän</w:t>
      </w:r>
      <w:r>
        <w:t>s</w:t>
      </w:r>
      <w:r>
        <w:t xml:space="preserve">ter. </w:t>
      </w:r>
    </w:p>
    <w:p w:rsidR="006705F7" w:rsidRDefault="006705F7">
      <w:pPr>
        <w:pStyle w:val="Normaltindrag"/>
      </w:pPr>
      <w:r>
        <w:t>Vi tillstyrker motionerna U19 yrkande 4 och U21 yrkande 47 i denna del.</w:t>
      </w:r>
    </w:p>
    <w:p w:rsidR="006705F7" w:rsidRDefault="006705F7">
      <w:pPr>
        <w:pStyle w:val="Rubrik2"/>
      </w:pPr>
      <w:r>
        <w:rPr>
          <w:vanish/>
        </w:rPr>
        <w:t>&lt;2</w:t>
      </w:r>
      <w:r>
        <w:t>3. Skatteväxling</w:t>
      </w:r>
    </w:p>
    <w:p w:rsidR="006705F7" w:rsidRDefault="006705F7">
      <w:r>
        <w:t>Birger Schlaug (mp) och Per Rosengren (v) anför:</w:t>
      </w:r>
    </w:p>
    <w:p w:rsidR="006705F7" w:rsidRDefault="006705F7">
      <w:r>
        <w:t>Vi anser att Sverige bör driva på utvecklingen när det gäller skatteväxling som en metod att såväl minska miljöbelastningen och stimulera tekniku</w:t>
      </w:r>
      <w:r>
        <w:t>t</w:t>
      </w:r>
      <w:r>
        <w:t>vecklingen som skapa fler arbetstillfällen.</w:t>
      </w:r>
    </w:p>
    <w:p w:rsidR="006705F7" w:rsidRDefault="006705F7">
      <w:pPr>
        <w:pStyle w:val="Normaltindrag"/>
      </w:pPr>
      <w:r>
        <w:t>De idéer om en ökad beskattning av miljöfarliga utsläpp och en sänkning av skatten på arbete som läggs fram i vitboken om tillväxt, konkurrenskraft och sysselsättning bör genomföras skyndsamt. Sverige bör enligt vår mening driva på det gemensamma arbetet med att genomföra vitbokens idéer om skatteväxling.</w:t>
      </w:r>
    </w:p>
    <w:p w:rsidR="006705F7" w:rsidRDefault="006705F7">
      <w:pPr>
        <w:pStyle w:val="Normaltindrag"/>
      </w:pPr>
      <w:r>
        <w:t>Vi tillstyrker motion U29 yrkande 34.</w:t>
      </w:r>
    </w:p>
    <w:p w:rsidR="006705F7" w:rsidRDefault="006705F7">
      <w:pPr>
        <w:pStyle w:val="Rubrik2"/>
      </w:pPr>
      <w:r>
        <w:rPr>
          <w:vanish/>
        </w:rPr>
        <w:t>&lt;2</w:t>
      </w:r>
      <w:r>
        <w:t>4. Skatteväxling</w:t>
      </w:r>
    </w:p>
    <w:p w:rsidR="006705F7" w:rsidRDefault="006705F7">
      <w:r>
        <w:t>Karl-Gösta Svenson, Carl Fredrik Graf, Jan-Olof Franzén och Carl Erik Hedlund (alla m) anför:</w:t>
      </w:r>
    </w:p>
    <w:p w:rsidR="006705F7" w:rsidRDefault="006705F7">
      <w:r>
        <w:t>Den höga beskattningen av arbete i Sverige och i andra EU-länder är en starkt bidragande orsak till den höga arbetslösheten. Skatten på arbete måste således sänkas. Detta bör inledningsvis ske med särskild inriktning på privata tjänster. I dag medför den sammanlagda effekten av inkomstskatt, socialfö</w:t>
      </w:r>
      <w:r>
        <w:t>r</w:t>
      </w:r>
      <w:r>
        <w:t xml:space="preserve">säkringsavgifter och mervärdesskatt att tjänster för hushållssektorn knappast kan efterfrågas. </w:t>
      </w:r>
    </w:p>
    <w:p w:rsidR="006705F7" w:rsidRDefault="006705F7">
      <w:pPr>
        <w:pStyle w:val="Normaltindrag"/>
      </w:pPr>
      <w:r>
        <w:t>Under våren 1994 togs från svensk sida initiativ som syftade till att EU:s mervärdesskattedirektiv skulle ändras så att det blev möjligt för medlemslä</w:t>
      </w:r>
      <w:r>
        <w:t>n</w:t>
      </w:r>
      <w:r>
        <w:t>der som så önskade att slopa eller införa lägre mervärdesskatt på tjänster. Sedan den socialdemokratiska regeringen tillträdde har frågan inte längre drivits. Enligt vår mening bör Sverige återuppta arbetet på att genomföra denna förändring av mervärdesskattedirektivet.</w:t>
      </w:r>
    </w:p>
    <w:p w:rsidR="006705F7" w:rsidRDefault="006705F7">
      <w:pPr>
        <w:pStyle w:val="Normaltindrag"/>
      </w:pPr>
      <w:r>
        <w:t>Det är också angeläget att så långt möjligt öka miljörelateringen i olika länders skattesystem. Sverige har i flera avseenden varit en föregångare. Det är viktigt att i det gemensamma arbetet inom EU skapa förutsättningar för en internationell utveckling där miljörelateringen kan öka och de intäkter som kan bli följden används för att sänka andra skadliga skatter, främst skatten på arbete.</w:t>
      </w:r>
    </w:p>
    <w:p w:rsidR="006705F7" w:rsidRDefault="006705F7">
      <w:pPr>
        <w:pStyle w:val="Normaltindrag"/>
      </w:pPr>
      <w:r>
        <w:t>Det ligger emellertid en fara i att helt koppla samman ambitionen om ökad miljörelatering av skattesystemet och den nödvändiga uppgiften att sänka skatten på arbete. Den stora skillnaden i skattebaser gör att även mycket omfattande skärpningar av miljöskatterna inte ger möjlighet till mer än ma</w:t>
      </w:r>
      <w:r>
        <w:t>r</w:t>
      </w:r>
      <w:r>
        <w:t>ginella sänkningar av skatten på arbete sett som andel av det totala utt</w:t>
      </w:r>
      <w:r>
        <w:t>a</w:t>
      </w:r>
      <w:r>
        <w:t>get.</w:t>
      </w:r>
    </w:p>
    <w:p w:rsidR="006705F7" w:rsidRDefault="006705F7">
      <w:pPr>
        <w:pStyle w:val="Normaltindrag"/>
      </w:pPr>
      <w:r>
        <w:t>Vad vi ovan anfört bör enligt vår mening ges regeringen till känna.</w:t>
      </w:r>
    </w:p>
    <w:p w:rsidR="006705F7" w:rsidRDefault="006705F7">
      <w:pPr>
        <w:pStyle w:val="Rubrik2"/>
      </w:pPr>
      <w:r>
        <w:rPr>
          <w:vanish/>
        </w:rPr>
        <w:t>&lt;2</w:t>
      </w:r>
      <w:r>
        <w:t>5. Den inre gränskontrollen</w:t>
      </w:r>
    </w:p>
    <w:p w:rsidR="006705F7" w:rsidRDefault="006705F7">
      <w:r>
        <w:t>Per Rosengren (v) och Birger Schlaug (mp) anför:</w:t>
      </w:r>
    </w:p>
    <w:p w:rsidR="006705F7" w:rsidRDefault="006705F7">
      <w:r>
        <w:t>I Norden har vi kombinerat fri rörlighet för personer med en bevarad grän</w:t>
      </w:r>
      <w:r>
        <w:t>s</w:t>
      </w:r>
      <w:r>
        <w:t>kontroll. Tullkontrollen har inte inneburit något allvarligt hinder för den fria rörligheten och har möjliggjort en effektiv kontroll av narkotikahandel, v</w:t>
      </w:r>
      <w:r>
        <w:t>a</w:t>
      </w:r>
      <w:r>
        <w:t>pensmuggling, m.m.</w:t>
      </w:r>
    </w:p>
    <w:p w:rsidR="006705F7" w:rsidRDefault="006705F7">
      <w:pPr>
        <w:pStyle w:val="Normaltindrag"/>
      </w:pPr>
      <w:r>
        <w:t>Inom EU anser man att tullkontrollen vid gräns mot tredje-land är en självklar metod för att bekämpa narkotikahandel och annan brottslighet. Kontrollen vid de inre gränserna vill man emellertid ersätta med ökat sama</w:t>
      </w:r>
      <w:r>
        <w:t>r</w:t>
      </w:r>
      <w:r>
        <w:t>bete. Detta kommer självklart att leda till ökande krav på olika kompens</w:t>
      </w:r>
      <w:r>
        <w:t>e</w:t>
      </w:r>
      <w:r>
        <w:t>rande åtgärder som inrikes kontrollinsatser av polis, införande av nya dat</w:t>
      </w:r>
      <w:r>
        <w:t>a</w:t>
      </w:r>
      <w:r>
        <w:t>register m.m. Härigenom förstärks samhällenas polisiära kara</w:t>
      </w:r>
      <w:r>
        <w:t>k</w:t>
      </w:r>
      <w:r>
        <w:t xml:space="preserve">tär. </w:t>
      </w:r>
    </w:p>
    <w:p w:rsidR="006705F7" w:rsidRDefault="006705F7">
      <w:pPr>
        <w:pStyle w:val="Tryckort"/>
      </w:pPr>
      <w:r>
        <w:t>Vi anser att regeringen vid regeringskonferensen bör verka för att medlemsländerna ges en fortsatt rätt till inre gränskontroller när det gäller  narkotika, vapen, m.m. och tillstyrker därför motionerna U22 yrkande 48 och U29 yrkande 45.</w:t>
      </w:r>
    </w:p>
    <w:p w:rsidR="006705F7" w:rsidRDefault="006705F7">
      <w:pPr>
        <w:pStyle w:val="Tryckort"/>
      </w:pPr>
      <w:r>
        <w:t>Gotab, Stockholm  1996</w:t>
      </w:r>
    </w:p>
    <w:sectPr w:rsidR="006705F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5F7" w:rsidRDefault="006705F7">
      <w:pPr>
        <w:spacing w:before="0" w:line="240" w:lineRule="auto"/>
      </w:pPr>
      <w:r>
        <w:separator/>
      </w:r>
    </w:p>
  </w:endnote>
  <w:endnote w:type="continuationSeparator" w:id="0">
    <w:p w:rsidR="006705F7" w:rsidRDefault="006705F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F7" w:rsidRDefault="006705F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F7" w:rsidRDefault="006705F7">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F7" w:rsidRDefault="006705F7">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5F7" w:rsidRDefault="006705F7">
      <w:pPr>
        <w:spacing w:before="0" w:line="240" w:lineRule="auto"/>
      </w:pPr>
      <w:r>
        <w:separator/>
      </w:r>
    </w:p>
  </w:footnote>
  <w:footnote w:type="continuationSeparator" w:id="0">
    <w:p w:rsidR="006705F7" w:rsidRDefault="006705F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F7" w:rsidRDefault="006705F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1995/96:SkU5y</w:t>
    </w:r>
    <w:r>
      <w:fldChar w:fldCharType="end"/>
    </w:r>
  </w:p>
  <w:p w:rsidR="006705F7" w:rsidRDefault="006705F7">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6705F7" w:rsidRDefault="006705F7">
    <w:pPr>
      <w:pStyle w:val="SidhuvudV"/>
      <w:framePr w:w="2302" w:h="1928" w:hRule="exact" w:wrap="notBeside"/>
    </w:pPr>
    <w:r>
      <w:fldChar w:fldCharType="end"/>
    </w:r>
  </w:p>
  <w:p w:rsidR="006705F7" w:rsidRDefault="006705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F7" w:rsidRDefault="006705F7">
    <w:pPr>
      <w:pStyle w:val="SidhuvudKant"/>
      <w:framePr w:wrap="notBeside"/>
    </w:pPr>
    <w:r>
      <w:rPr>
        <w:sz w:val="21"/>
      </w:rPr>
      <w:t>1995/96:SkU5y</w:t>
    </w:r>
  </w:p>
  <w:p w:rsidR="006705F7" w:rsidRDefault="006705F7">
    <w:pPr>
      <w:pStyle w:val="SidhuvudKant"/>
      <w:framePr w:wrap="notBeside"/>
      <w:rPr>
        <w:vanish/>
      </w:rPr>
    </w:pPr>
    <w:r>
      <w:rPr>
        <w:vanish/>
      </w:rPr>
      <w:t>&gt;B</w:t>
    </w:r>
  </w:p>
  <w:p w:rsidR="006705F7" w:rsidRDefault="006705F7">
    <w:pPr>
      <w:pStyle w:val="SidhuvudKant"/>
      <w:framePr w:wrap="notBeside"/>
      <w:rPr>
        <w:b/>
        <w:sz w:val="28"/>
      </w:rPr>
    </w:pPr>
    <w:r>
      <w:rPr>
        <w:vanish/>
      </w:rPr>
      <w:t>&gt;U</w:t>
    </w:r>
  </w:p>
  <w:p w:rsidR="006705F7" w:rsidRDefault="006705F7">
    <w:pPr>
      <w:pStyle w:val="SidhuvudKant"/>
      <w:framePr w:wrap="notBesid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F7" w:rsidRDefault="006705F7">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19" r:id="rId2"/>
      </w:object>
    </w:r>
  </w:p>
  <w:p w:rsidR="006705F7" w:rsidRDefault="006705F7">
    <w:pPr>
      <w:pStyle w:val="SidhuvudFVapen"/>
      <w:framePr w:wrap="notBeside" w:x="6969" w:y="3460"/>
      <w:spacing w:line="230" w:lineRule="auto"/>
    </w:pPr>
    <w:bookmarkStart w:id="2" w:name="BnrVapen"/>
    <w:r>
      <w:t>1995/96</w:t>
    </w:r>
  </w:p>
  <w:p w:rsidR="006705F7" w:rsidRDefault="006705F7">
    <w:pPr>
      <w:pStyle w:val="SidhuvudFVapen"/>
      <w:framePr w:wrap="notBeside" w:x="6969" w:y="3460"/>
      <w:spacing w:line="230" w:lineRule="auto"/>
    </w:pPr>
    <w:r>
      <w:t xml:space="preserve">SkU5y </w:t>
    </w:r>
    <w:bookmarkEnd w:id="2"/>
    <w:r w:rsidR="00F766FF">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9380636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32EC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6705F7" w:rsidRDefault="006705F7">
    <w:pPr>
      <w:pStyle w:val="SidhuvudFText"/>
      <w:framePr w:w="5727" w:h="2722" w:hRule="exact" w:wrap="notBeside" w:hAnchor="page" w:x="852" w:y="3834"/>
      <w:suppressAutoHyphens/>
      <w:spacing w:line="400" w:lineRule="exact"/>
      <w:ind w:right="629"/>
      <w:rPr>
        <w:sz w:val="36"/>
      </w:rPr>
    </w:pPr>
    <w:bookmarkStart w:id="3" w:name="DokumentTyp"/>
    <w:r>
      <w:rPr>
        <w:sz w:val="36"/>
      </w:rPr>
      <w:t xml:space="preserve">Skatteutskottets yttrande </w:t>
    </w:r>
    <w:bookmarkEnd w:id="3"/>
  </w:p>
  <w:p w:rsidR="006705F7" w:rsidRDefault="006705F7">
    <w:pPr>
      <w:pStyle w:val="SidhuvudFText"/>
      <w:framePr w:w="5727" w:h="2722" w:hRule="exact" w:wrap="notBeside" w:hAnchor="page" w:x="852" w:y="3834"/>
      <w:spacing w:line="400" w:lineRule="exact"/>
      <w:ind w:right="629"/>
      <w:rPr>
        <w:sz w:val="36"/>
      </w:rPr>
    </w:pPr>
    <w:bookmarkStart w:id="4" w:name="Betänkandenummer"/>
    <w:r>
      <w:rPr>
        <w:sz w:val="36"/>
      </w:rPr>
      <w:t>1995/96:SkU5y</w:t>
    </w:r>
    <w:bookmarkStart w:id="5" w:name="Utkast"/>
    <w:bookmarkEnd w:id="4"/>
  </w:p>
  <w:p w:rsidR="006705F7" w:rsidRDefault="006705F7">
    <w:pPr>
      <w:pStyle w:val="SidhuvudFText"/>
      <w:framePr w:w="5727" w:h="2722" w:hRule="exact" w:wrap="notBeside" w:hAnchor="page" w:x="852" w:y="3834"/>
      <w:spacing w:before="40" w:after="900" w:line="280" w:lineRule="exact"/>
      <w:ind w:right="629"/>
      <w:rPr>
        <w:sz w:val="26"/>
      </w:rPr>
    </w:pPr>
    <w:bookmarkStart w:id="6" w:name="Rubrik"/>
    <w:bookmarkEnd w:id="5"/>
    <w:r>
      <w:rPr>
        <w:sz w:val="26"/>
      </w:rPr>
      <w:t xml:space="preserve">EU:s regeringskonferens 1996 </w:t>
    </w:r>
    <w:bookmarkEnd w:id="6"/>
    <w:r>
      <w:rPr>
        <w:sz w:val="26"/>
      </w:rPr>
      <w:t xml:space="preserve"> </w:t>
    </w:r>
  </w:p>
  <w:p w:rsidR="006705F7" w:rsidRDefault="006705F7">
    <w:pPr>
      <w:pStyle w:val="SidhuvudFText"/>
      <w:framePr w:w="5727" w:h="2722" w:hRule="exact" w:wrap="notBeside" w:hAnchor="page" w:x="852" w:y="3834"/>
      <w:spacing w:line="460" w:lineRule="exact"/>
      <w:ind w:right="629"/>
      <w:rPr>
        <w:sz w:val="36"/>
      </w:rPr>
    </w:pPr>
  </w:p>
  <w:p w:rsidR="006705F7" w:rsidRDefault="006705F7">
    <w:pPr>
      <w:pStyle w:val="SidhuvudFText"/>
      <w:framePr w:w="5727" w:h="2722" w:hRule="exact" w:wrap="notBeside" w:hAnchor="page" w:x="852" w:y="3834"/>
      <w:spacing w:before="40" w:after="900" w:line="300" w:lineRule="exact"/>
      <w:ind w:right="629"/>
      <w:rPr>
        <w:sz w:val="26"/>
      </w:rPr>
    </w:pPr>
    <w:r>
      <w:rPr>
        <w:sz w:val="26"/>
      </w:rPr>
      <w:t xml:space="preserve"> </w:t>
    </w:r>
  </w:p>
  <w:p w:rsidR="006705F7" w:rsidRDefault="006705F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5y"/>
    <w:docVar w:name="Flyttförsök" w:val="JA"/>
    <w:docVar w:name="HelaNamnet" w:val="1995/96:SkU5y"/>
    <w:docVar w:name="NR" w:val="5y"/>
    <w:docVar w:name="RUBRIK" w:val="EU:s regeringskonferens 1996"/>
    <w:docVar w:name="SkapVERSION" w:val="V 5.41, 951212"/>
    <w:docVar w:name="USK" w:val="SkU"/>
    <w:docVar w:name="USKKORT" w:val="SkU"/>
    <w:docVar w:name="USKNAMN" w:val="Skatteutskottets"/>
    <w:docVar w:name="Visas" w:val="LinjalZOOM76%"/>
    <w:docVar w:name="ÅR" w:val="1995/96"/>
  </w:docVars>
  <w:rsids>
    <w:rsidRoot w:val="00156EEE"/>
    <w:rsid w:val="00156EEE"/>
    <w:rsid w:val="006705F7"/>
    <w:rsid w:val="00F766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A814A8-F34C-42AF-9601-AB49A2A5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Lptext">
    <w:name w:val="Löptext"/>
    <w:basedOn w:val="Normal"/>
    <w:pPr>
      <w:spacing w:before="0" w:line="292" w:lineRule="exact"/>
      <w:ind w:firstLine="284"/>
    </w:pPr>
    <w:rPr>
      <w:sz w:val="22"/>
    </w:rPr>
  </w:style>
  <w:style w:type="paragraph" w:customStyle="1" w:styleId="FRSLAG">
    <w:name w:val="FÖRSLAG"/>
    <w:basedOn w:val="Normal"/>
    <w:next w:val="Normal"/>
    <w:pPr>
      <w:spacing w:before="0" w:line="0" w:lineRule="atLeast"/>
      <w:ind w:hanging="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3127</Words>
  <Characters>19139</Characters>
  <Application>Microsoft Office Word</Application>
  <DocSecurity>4</DocSecurity>
  <Lines>341</Lines>
  <Paragraphs>88</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33y</dc:title>
  <dc:subject>Skatteutskottets betänkande nr 33y</dc:subject>
  <dc:creator>Riksdagen</dc:creator>
  <cp:keywords>Riksdagen</cp:keywords>
  <cp:lastModifiedBy>Lars Brink</cp:lastModifiedBy>
  <cp:revision>2</cp:revision>
  <cp:lastPrinted>1996-02-23T11:44:00Z</cp:lastPrinted>
  <dcterms:created xsi:type="dcterms:W3CDTF">2025-12-15T18:36:00Z</dcterms:created>
  <dcterms:modified xsi:type="dcterms:W3CDTF">2025-12-15T18:36:00Z</dcterms:modified>
</cp:coreProperties>
</file>