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312AAF">
              <w:rPr>
                <w:b/>
              </w:rPr>
              <w:t>20</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1B463E">
              <w:t>2</w:t>
            </w:r>
            <w:r w:rsidR="009D6560">
              <w:t>-</w:t>
            </w:r>
            <w:r w:rsidR="00B85FF6">
              <w:t>03-03</w:t>
            </w:r>
          </w:p>
        </w:tc>
      </w:tr>
      <w:tr w:rsidR="0096348C" w:rsidTr="00012D39">
        <w:tc>
          <w:tcPr>
            <w:tcW w:w="1985" w:type="dxa"/>
          </w:tcPr>
          <w:p w:rsidR="0096348C" w:rsidRDefault="0096348C" w:rsidP="0096348C">
            <w:r>
              <w:t>TID</w:t>
            </w:r>
          </w:p>
        </w:tc>
        <w:tc>
          <w:tcPr>
            <w:tcW w:w="6463" w:type="dxa"/>
          </w:tcPr>
          <w:p w:rsidR="00D12EAD" w:rsidRDefault="00B85FF6" w:rsidP="0096348C">
            <w:r>
              <w:t>10.00–</w:t>
            </w:r>
            <w:r w:rsidR="00664334">
              <w:t>10.50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rsidTr="00D12EAD">
        <w:tc>
          <w:tcPr>
            <w:tcW w:w="567" w:type="dxa"/>
          </w:tcPr>
          <w:p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rsidR="00E57DF8" w:rsidRDefault="00604E35" w:rsidP="00E57DF8">
            <w:pPr>
              <w:widowControl/>
              <w:autoSpaceDE w:val="0"/>
              <w:autoSpaceDN w:val="0"/>
              <w:adjustRightInd w:val="0"/>
              <w:textAlignment w:val="center"/>
              <w:rPr>
                <w:b/>
                <w:szCs w:val="24"/>
              </w:rPr>
            </w:pPr>
            <w:r>
              <w:rPr>
                <w:b/>
                <w:szCs w:val="24"/>
              </w:rPr>
              <w:t>Aktuella EU-frågor</w:t>
            </w:r>
          </w:p>
          <w:p w:rsidR="00E57DF8" w:rsidRDefault="00E57DF8" w:rsidP="00E57DF8">
            <w:pPr>
              <w:widowControl/>
              <w:autoSpaceDE w:val="0"/>
              <w:autoSpaceDN w:val="0"/>
              <w:adjustRightInd w:val="0"/>
              <w:textAlignment w:val="center"/>
              <w:rPr>
                <w:b/>
                <w:szCs w:val="26"/>
              </w:rPr>
            </w:pPr>
          </w:p>
          <w:p w:rsidR="00767ABE" w:rsidRDefault="00604E35" w:rsidP="00604E35">
            <w:pPr>
              <w:widowControl/>
              <w:autoSpaceDE w:val="0"/>
              <w:autoSpaceDN w:val="0"/>
              <w:adjustRightInd w:val="0"/>
              <w:spacing w:after="120"/>
              <w:rPr>
                <w:szCs w:val="24"/>
              </w:rPr>
            </w:pPr>
            <w:r>
              <w:rPr>
                <w:rFonts w:eastAsiaTheme="minorHAnsi"/>
                <w:color w:val="000000"/>
                <w:szCs w:val="24"/>
                <w:lang w:eastAsia="en-US"/>
              </w:rPr>
              <w:t xml:space="preserve">Statssekreterare Tora </w:t>
            </w:r>
            <w:proofErr w:type="spellStart"/>
            <w:r>
              <w:rPr>
                <w:rFonts w:eastAsiaTheme="minorHAnsi"/>
                <w:color w:val="000000"/>
                <w:szCs w:val="24"/>
                <w:lang w:eastAsia="en-US"/>
              </w:rPr>
              <w:t>Hansjons</w:t>
            </w:r>
            <w:proofErr w:type="spellEnd"/>
            <w:r>
              <w:rPr>
                <w:rFonts w:eastAsiaTheme="minorHAnsi"/>
                <w:color w:val="000000"/>
                <w:szCs w:val="24"/>
                <w:lang w:eastAsia="en-US"/>
              </w:rPr>
              <w:t xml:space="preserve"> med medarbetare, Finansdepartementet </w:t>
            </w:r>
            <w:r w:rsidR="00E57DF8">
              <w:rPr>
                <w:szCs w:val="24"/>
              </w:rPr>
              <w:t>lämnade information och svarade på utskottets frågor.</w:t>
            </w:r>
          </w:p>
          <w:p w:rsidR="00767ABE" w:rsidRPr="00767ABE" w:rsidRDefault="00767ABE" w:rsidP="00604E35">
            <w:pPr>
              <w:widowControl/>
              <w:autoSpaceDE w:val="0"/>
              <w:autoSpaceDN w:val="0"/>
              <w:adjustRightInd w:val="0"/>
              <w:spacing w:after="120"/>
              <w:rPr>
                <w:szCs w:val="24"/>
              </w:rPr>
            </w:pPr>
          </w:p>
        </w:tc>
      </w:tr>
      <w:tr w:rsidR="000D3043" w:rsidTr="00D12EAD">
        <w:tc>
          <w:tcPr>
            <w:tcW w:w="567" w:type="dxa"/>
          </w:tcPr>
          <w:p w:rsidR="000D3043" w:rsidRDefault="000A6EE9" w:rsidP="0096348C">
            <w:pPr>
              <w:tabs>
                <w:tab w:val="left" w:pos="1701"/>
              </w:tabs>
              <w:rPr>
                <w:b/>
                <w:snapToGrid w:val="0"/>
              </w:rPr>
            </w:pPr>
            <w:r>
              <w:rPr>
                <w:b/>
                <w:snapToGrid w:val="0"/>
              </w:rPr>
              <w:t>§ 2</w:t>
            </w:r>
          </w:p>
        </w:tc>
        <w:tc>
          <w:tcPr>
            <w:tcW w:w="6946" w:type="dxa"/>
            <w:gridSpan w:val="2"/>
          </w:tcPr>
          <w:p w:rsidR="00604E35" w:rsidRDefault="00604E35" w:rsidP="000D3043">
            <w:pPr>
              <w:autoSpaceDE w:val="0"/>
              <w:autoSpaceDN w:val="0"/>
              <w:adjustRightInd w:val="0"/>
              <w:textAlignment w:val="center"/>
              <w:rPr>
                <w:rFonts w:eastAsiaTheme="minorHAnsi"/>
                <w:b/>
                <w:bCs/>
                <w:color w:val="000000"/>
                <w:szCs w:val="24"/>
                <w:lang w:eastAsia="en-US"/>
              </w:rPr>
            </w:pPr>
            <w:r>
              <w:rPr>
                <w:rFonts w:eastAsiaTheme="minorHAnsi"/>
                <w:b/>
                <w:bCs/>
                <w:color w:val="000000"/>
                <w:szCs w:val="24"/>
                <w:lang w:eastAsia="en-US"/>
              </w:rPr>
              <w:t>Gränsjusteringsmekanism för koldioxid (CBAM)</w:t>
            </w:r>
          </w:p>
          <w:p w:rsidR="00604E35" w:rsidRDefault="00604E35"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Utskottet överlade </w:t>
            </w:r>
            <w:r w:rsidR="005C50D2">
              <w:rPr>
                <w:szCs w:val="26"/>
              </w:rPr>
              <w:t>med s</w:t>
            </w:r>
            <w:r w:rsidR="00604E35" w:rsidRPr="00604E35">
              <w:rPr>
                <w:szCs w:val="26"/>
              </w:rPr>
              <w:t xml:space="preserve">tatssekreterare Tora </w:t>
            </w:r>
            <w:proofErr w:type="spellStart"/>
            <w:r w:rsidR="00604E35" w:rsidRPr="00604E35">
              <w:rPr>
                <w:szCs w:val="26"/>
              </w:rPr>
              <w:t>Hansjons</w:t>
            </w:r>
            <w:proofErr w:type="spellEnd"/>
            <w:r w:rsidR="00604E35" w:rsidRPr="00604E35">
              <w:rPr>
                <w:szCs w:val="26"/>
              </w:rPr>
              <w:t>,</w:t>
            </w:r>
            <w:r w:rsidR="00604E35">
              <w:rPr>
                <w:szCs w:val="26"/>
              </w:rPr>
              <w:t xml:space="preserve"> F</w:t>
            </w:r>
            <w:r w:rsidRPr="00EC45AD">
              <w:rPr>
                <w:szCs w:val="26"/>
              </w:rPr>
              <w:t>inansdepartementet</w:t>
            </w:r>
            <w:r w:rsidR="001F67F5">
              <w:rPr>
                <w:szCs w:val="26"/>
              </w:rPr>
              <w:t>.</w:t>
            </w:r>
            <w:r>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604E35">
              <w:rPr>
                <w:szCs w:val="26"/>
              </w:rPr>
              <w:t>2022-03-01</w:t>
            </w:r>
            <w:r>
              <w:rPr>
                <w:szCs w:val="26"/>
              </w:rPr>
              <w:t xml:space="preserve"> </w:t>
            </w:r>
            <w:r w:rsidRPr="005B36F4">
              <w:rPr>
                <w:szCs w:val="26"/>
              </w:rPr>
              <w:t xml:space="preserve">med diarienummer </w:t>
            </w:r>
            <w:r w:rsidR="00604E35">
              <w:rPr>
                <w:szCs w:val="26"/>
              </w:rPr>
              <w:t>Fi2022/00543</w:t>
            </w:r>
            <w:r w:rsidRPr="005B36F4">
              <w:rPr>
                <w:szCs w:val="26"/>
              </w:rPr>
              <w:t xml:space="preserve"> Underlag inför överläggning i skatt</w:t>
            </w:r>
            <w:r>
              <w:rPr>
                <w:szCs w:val="26"/>
              </w:rPr>
              <w:t>eutskottet</w:t>
            </w:r>
            <w:r w:rsidRPr="005B36F4">
              <w:rPr>
                <w:szCs w:val="26"/>
              </w:rPr>
              <w:t xml:space="preserve"> </w:t>
            </w:r>
            <w:r w:rsidR="00604E35">
              <w:rPr>
                <w:szCs w:val="26"/>
              </w:rPr>
              <w:t>den 3 mars</w:t>
            </w:r>
            <w:r>
              <w:rPr>
                <w:szCs w:val="26"/>
              </w:rPr>
              <w:t xml:space="preserve"> 202</w:t>
            </w:r>
            <w:r w:rsidR="001B463E">
              <w:rPr>
                <w:szCs w:val="26"/>
              </w:rPr>
              <w:t>2</w:t>
            </w:r>
            <w:r>
              <w:rPr>
                <w:szCs w:val="26"/>
              </w:rPr>
              <w:t>.</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0D3043" w:rsidRDefault="00604E35" w:rsidP="00604E35">
            <w:pPr>
              <w:pStyle w:val="TableParagraph"/>
              <w:rPr>
                <w:snapToGrid w:val="0"/>
              </w:rPr>
            </w:pPr>
            <w:r w:rsidRPr="00604E35">
              <w:t xml:space="preserve">För att bedriva en effektiv </w:t>
            </w:r>
            <w:proofErr w:type="spellStart"/>
            <w:r w:rsidRPr="00604E35">
              <w:t>klimatpolitik</w:t>
            </w:r>
            <w:proofErr w:type="spellEnd"/>
            <w:r w:rsidRPr="00604E35">
              <w:t xml:space="preserve"> är det angeläget att motverka risken för koldioxidläckage. Enbart den fria tilldelningen inom EU ETS kommer på sikt inte att kunna motverka sådant läckage i takt med att det totala antalet utsläppsrätter minskar. Införandet av en gränsjusteringsmekanism för koldioxid är därför en förutsättning för att EU ETS ska kunna revideras på ett sätt som kan bidra till att Sveriges och EU:s klimatmål uppnås. Därutöver kan en gränsjusteringsmekanism ge aktörer utanför EU incitament att minska sina utsläpp och införa koldioxidprissättning. Regeringen är mot denna bakgrund övergripande positiv till förslaget.</w:t>
            </w:r>
            <w:r w:rsidR="000D3043" w:rsidRPr="00F218C8">
              <w:rPr>
                <w:snapToGrid w:val="0"/>
              </w:rPr>
              <w:t xml:space="preserve"> </w:t>
            </w:r>
          </w:p>
          <w:p w:rsidR="00604E35" w:rsidRDefault="00604E35" w:rsidP="000D3043">
            <w:pPr>
              <w:rPr>
                <w:snapToGrid w:val="0"/>
              </w:rPr>
            </w:pPr>
          </w:p>
          <w:p w:rsidR="00604E35" w:rsidRDefault="00604E35" w:rsidP="00604E35">
            <w:pPr>
              <w:pStyle w:val="TableParagraph"/>
              <w:rPr>
                <w:snapToGrid w:val="0"/>
              </w:rPr>
            </w:pPr>
            <w:r w:rsidRPr="00604E35">
              <w:rPr>
                <w:snapToGrid w:val="0"/>
              </w:rPr>
              <w:t>Den föreslagna mekanismen bedöms vara ett effektivt verktyg för att motverka läckage på EU-marknaden för de sektorer som omfattas. Som isolerad åtgärd ger mekanismen däremot inte ett effektivt skydd mot läckage på exportmarknaden. Ett förslag om exportjustering kan stödjas om ett</w:t>
            </w:r>
            <w:r>
              <w:rPr>
                <w:snapToGrid w:val="0"/>
              </w:rPr>
              <w:t xml:space="preserve"> </w:t>
            </w:r>
            <w:r w:rsidRPr="00604E35">
              <w:rPr>
                <w:snapToGrid w:val="0"/>
              </w:rPr>
              <w:t>sådant förslag kan bedömas som förenligt med WTO-reglerna och effektivt mot koldioxidläckage. I frånvaron av exportjustering bör en gränsjusterings-mekanism kombineras med andra WTO-förenliga åtgärder som värnar förutsättningarna för europeisk industri att bidra till global klimatnytta genom export.</w:t>
            </w:r>
          </w:p>
          <w:p w:rsidR="00604E35" w:rsidRDefault="00604E35" w:rsidP="00604E35">
            <w:pPr>
              <w:pStyle w:val="TableParagraph"/>
              <w:rPr>
                <w:snapToGrid w:val="0"/>
              </w:rPr>
            </w:pPr>
          </w:p>
          <w:p w:rsidR="00604E35" w:rsidRDefault="00604E35" w:rsidP="00604E35">
            <w:pPr>
              <w:pStyle w:val="TableParagraph"/>
              <w:rPr>
                <w:snapToGrid w:val="0"/>
              </w:rPr>
            </w:pPr>
            <w:r w:rsidRPr="00604E35">
              <w:rPr>
                <w:snapToGrid w:val="0"/>
              </w:rPr>
              <w:t>Både tullmyndigheter, nationella CBAM-myndigheter och kommissionen bör vara delaktiga i administrationen av mekanismen. Den närmare ansvarsfördelningen mellan dessa aktörer bör fastställas utifrån målen om kostnadseffektivitet och effektiv kontroll. Utgångspunkten ska dock vara att det huvudsakliga administrativa ansvaret åvilar nationella myndigheter. I synnerhet är det av vikt att CBAM-certifikat säljs av medlemsstaterna.</w:t>
            </w:r>
          </w:p>
          <w:p w:rsidR="00604E35" w:rsidRDefault="00604E35" w:rsidP="00604E35">
            <w:pPr>
              <w:pStyle w:val="TableParagraph"/>
              <w:rPr>
                <w:snapToGrid w:val="0"/>
              </w:rPr>
            </w:pPr>
          </w:p>
          <w:p w:rsidR="00BE56A5" w:rsidRPr="007A13A8" w:rsidRDefault="00604E35" w:rsidP="00604E35">
            <w:pPr>
              <w:pStyle w:val="TableParagraph"/>
              <w:rPr>
                <w:snapToGrid w:val="0"/>
                <w:sz w:val="24"/>
                <w:szCs w:val="24"/>
              </w:rPr>
            </w:pPr>
            <w:r w:rsidRPr="007A13A8">
              <w:rPr>
                <w:snapToGrid w:val="0"/>
                <w:sz w:val="24"/>
                <w:szCs w:val="24"/>
              </w:rPr>
              <w:t>Ordföranden konstaterade att det fanns stöd i utskottet för den av regeringen redovisade ståndpunkten.</w:t>
            </w:r>
          </w:p>
          <w:p w:rsidR="00604E35" w:rsidRPr="007A13A8" w:rsidRDefault="00604E35" w:rsidP="00604E35">
            <w:pPr>
              <w:pStyle w:val="TableParagraph"/>
              <w:rPr>
                <w:iCs/>
                <w:sz w:val="24"/>
                <w:szCs w:val="24"/>
              </w:rPr>
            </w:pPr>
          </w:p>
          <w:p w:rsidR="00BE56A5" w:rsidRPr="007A13A8" w:rsidRDefault="00B6182C" w:rsidP="005826D4">
            <w:r w:rsidRPr="007A13A8">
              <w:t>SD</w:t>
            </w:r>
            <w:r w:rsidR="00BE56A5" w:rsidRPr="007A13A8">
              <w:t>-l</w:t>
            </w:r>
            <w:r w:rsidR="000D3043" w:rsidRPr="007A13A8">
              <w:t>edam</w:t>
            </w:r>
            <w:r w:rsidRPr="007A13A8">
              <w:t>öterna</w:t>
            </w:r>
            <w:r w:rsidR="000D3043" w:rsidRPr="007A13A8">
              <w:t xml:space="preserve"> </w:t>
            </w:r>
            <w:r w:rsidR="00BE56A5" w:rsidRPr="007A13A8">
              <w:t xml:space="preserve">anmälde följande avvikande ståndpunkt: </w:t>
            </w:r>
          </w:p>
          <w:p w:rsidR="00604E35" w:rsidRPr="00574897" w:rsidRDefault="00604E35" w:rsidP="00574897">
            <w:pPr>
              <w:pStyle w:val="TableParagraph"/>
            </w:pPr>
          </w:p>
          <w:p w:rsidR="00B6182C" w:rsidRDefault="00B6182C" w:rsidP="00B6182C">
            <w:pPr>
              <w:pStyle w:val="TableParagraph"/>
            </w:pPr>
            <w:r>
              <w:t>Sverigedemokraterna motsätter sig inte i sak en global gränsjusteringsmekanism, men den måste införas på ett rätt, rättvist och konkurrensneutralt sätt. Därför anser vi att den svenska regeringens ståndpunkt skulle kompletterats med följande text: Mekanismen för koldioxidläckage CBAM skall vara förenlig med WTO:s regelverk. I frånvaro av en mekanism för exportjustering, bör man vara öppen för att inte helt fasa ut den fria tilldelningen av utsläppsrätter. Eventuell utfasning av fri tilldelning bör inte starta förrän systemet utvärderats och visat sig fungera. Så länge det inte finns någon annan hantering av exporten så bör den fria tilldelningen kvarstå som skydd mot koldioxidläckage för den del som exporteras. Mekanismen skall inte tillåtas bidra till en omfattande administration vare sig för företag eller nationella myndigheter. Sverige bör motsätta sig att CBAM används för att öka EU:s egna medel.</w:t>
            </w:r>
          </w:p>
          <w:p w:rsidR="00864B03" w:rsidRDefault="00864B03" w:rsidP="00B6182C">
            <w:pPr>
              <w:pStyle w:val="TableParagraph"/>
            </w:pPr>
          </w:p>
          <w:p w:rsidR="00864B03" w:rsidRPr="007A13A8" w:rsidRDefault="00864B03" w:rsidP="00864B03">
            <w:r w:rsidRPr="007A13A8">
              <w:t xml:space="preserve">V-ledamoten anmälde följande avvikande ståndpunkt: </w:t>
            </w:r>
          </w:p>
          <w:p w:rsidR="00864B03" w:rsidRDefault="00864B03" w:rsidP="00864B03">
            <w:pPr>
              <w:tabs>
                <w:tab w:val="left" w:pos="1701"/>
              </w:tabs>
              <w:rPr>
                <w:snapToGrid w:val="0"/>
              </w:rPr>
            </w:pPr>
          </w:p>
          <w:p w:rsidR="00864B03" w:rsidRPr="005826D4" w:rsidRDefault="00864B03" w:rsidP="00864B03">
            <w:pPr>
              <w:pStyle w:val="TableParagraph"/>
            </w:pPr>
            <w:r w:rsidRPr="005826D4">
              <w:t>Vänsterpartiet står bakom gränsjusteringsmekanismen, CBAM, och tycker att regeringens hållning i huvudsak är bra men vi har några tillägg och justeringar. Vi menar att CBAM redan nu ska omfatta fler sektorer. Länder som enligt FN:s definition utgör världens ”minst utvecklade länder” bör inte omfattas av CBAM. Intäkterna från mekanismen bör användas till klimatomställning i länder som har lång väg kvar att gå och inte föras rakt in i EU-budgeten.</w:t>
            </w:r>
            <w:r w:rsidR="009E20E4">
              <w:t xml:space="preserve"> Den fria tilldelningen av</w:t>
            </w:r>
            <w:r w:rsidRPr="005826D4">
              <w:t xml:space="preserve"> EU ETS bör fasas ut så snart som möjligt när CBAM införs och övergångsperioden för införandet bör kortas till ett minimum. Bästa möjliga teknik ur ett klimatperspektiv bör gynnas.</w:t>
            </w:r>
          </w:p>
          <w:p w:rsidR="00BE56A5" w:rsidRPr="007A13A8" w:rsidRDefault="00BE56A5" w:rsidP="00864B03">
            <w:pPr>
              <w:pStyle w:val="TableParagraph"/>
              <w:ind w:left="0"/>
              <w:rPr>
                <w:sz w:val="24"/>
                <w:szCs w:val="24"/>
              </w:rPr>
            </w:pPr>
          </w:p>
          <w:p w:rsidR="00B6182C" w:rsidRPr="007A13A8" w:rsidRDefault="00B6182C" w:rsidP="005826D4">
            <w:r w:rsidRPr="007A13A8">
              <w:t xml:space="preserve">L-ledamoten anmälde följande avvikande ståndpunkt: </w:t>
            </w:r>
          </w:p>
          <w:p w:rsidR="00B6182C" w:rsidRDefault="00B6182C" w:rsidP="00B6182C">
            <w:pPr>
              <w:pStyle w:val="TableParagraph"/>
            </w:pPr>
          </w:p>
          <w:p w:rsidR="00B6182C" w:rsidRDefault="00B6182C" w:rsidP="00B6182C">
            <w:pPr>
              <w:pStyle w:val="TableParagraph"/>
            </w:pPr>
            <w:r>
              <w:t xml:space="preserve">Liberalerna menar att en gränsjusteringsmekanism är nödvändigt för att EU ska kunna fortsätta bedriva en tillräckligt kraftfull </w:t>
            </w:r>
            <w:proofErr w:type="spellStart"/>
            <w:r>
              <w:t>klimatpolitik</w:t>
            </w:r>
            <w:proofErr w:type="spellEnd"/>
            <w:r>
              <w:t xml:space="preserve"> för att nå unionens klimatmål. Mekanismen är nödvändig för att motverka </w:t>
            </w:r>
            <w:proofErr w:type="spellStart"/>
            <w:r>
              <w:t>koldioixdläckage</w:t>
            </w:r>
            <w:proofErr w:type="spellEnd"/>
            <w:r>
              <w:t xml:space="preserve"> och för att EU-ETS ska kunna förbli ett effektivt styrmedel. Gränsjusteringsmekanismen får inte bli, eller av andra länder upplevas som, en tull. En mycket betydande del av intäkterna från systemet måste därför användas för klimatarbete utanför unionens gränser. Inledningsvis föreslås gränsjusteringsmekanismen begränsas till ett antal utsläppstunga branscher. Det är angeläget att just dessa omfattas och det är rimligt att börja med dem. Samtidigt behöver mekanismen snabbt byggas ut till att omfatta fler områden för att koldioxidläckaget effektivt ska begränsas. Liberalerna beklagar att regeringen inte tydliggjort detta i den svenska ståndpunkten</w:t>
            </w:r>
            <w:r w:rsidR="00FF374F">
              <w:t>.</w:t>
            </w:r>
          </w:p>
          <w:p w:rsidR="00864B03" w:rsidRDefault="00864B03" w:rsidP="00B6182C">
            <w:pPr>
              <w:pStyle w:val="TableParagraph"/>
            </w:pPr>
          </w:p>
          <w:p w:rsidR="00864B03" w:rsidRDefault="00864B03" w:rsidP="00864B03">
            <w:r>
              <w:t xml:space="preserve">MP-ledamoten anmälde följande </w:t>
            </w:r>
            <w:r w:rsidR="002060F4">
              <w:t xml:space="preserve">avvikande </w:t>
            </w:r>
            <w:r>
              <w:t>ståndpunkt</w:t>
            </w:r>
            <w:r w:rsidR="00FC1908">
              <w:t>:</w:t>
            </w:r>
          </w:p>
          <w:p w:rsidR="00864B03" w:rsidRDefault="00864B03" w:rsidP="00864B03"/>
          <w:p w:rsidR="00864B03" w:rsidRPr="00864B03" w:rsidRDefault="002060F4" w:rsidP="00864B03">
            <w:pPr>
              <w:pStyle w:val="TableParagraph"/>
            </w:pPr>
            <w:r>
              <w:t xml:space="preserve">Jag anser att följande tillägg ska göras till ståndpunkten: </w:t>
            </w:r>
            <w:r w:rsidR="00864B03" w:rsidRPr="00864B03">
              <w:t xml:space="preserve">En eventuell exportjustering bör utgå ifrån att enbart de aktörer som använder bästa tillgängliga teknik ska kunna motta exportstöd. </w:t>
            </w:r>
          </w:p>
          <w:p w:rsidR="00864B03" w:rsidRDefault="00864B03" w:rsidP="00B6182C">
            <w:pPr>
              <w:pStyle w:val="TableParagraph"/>
            </w:pPr>
          </w:p>
          <w:p w:rsidR="000D3043" w:rsidRPr="00627E2B" w:rsidRDefault="000D3043" w:rsidP="00BE56A5">
            <w:pPr>
              <w:pStyle w:val="TableParagraph"/>
              <w:rPr>
                <w:iCs/>
              </w:rPr>
            </w:pPr>
          </w:p>
          <w:p w:rsidR="000D3043" w:rsidRDefault="000D3043" w:rsidP="000D3043">
            <w:pPr>
              <w:tabs>
                <w:tab w:val="left" w:pos="1701"/>
              </w:tabs>
              <w:rPr>
                <w:snapToGrid w:val="0"/>
              </w:rPr>
            </w:pPr>
            <w:r w:rsidRPr="00F218C8">
              <w:rPr>
                <w:snapToGrid w:val="0"/>
              </w:rPr>
              <w:t>Denna paragraf förklarades omedelbart justerad.</w:t>
            </w:r>
          </w:p>
          <w:p w:rsidR="00C66B13" w:rsidRDefault="00C66B13" w:rsidP="000D3043">
            <w:pPr>
              <w:tabs>
                <w:tab w:val="left" w:pos="1701"/>
              </w:tabs>
              <w:rPr>
                <w:snapToGrid w:val="0"/>
              </w:rPr>
            </w:pPr>
          </w:p>
          <w:p w:rsidR="00C66B13" w:rsidRPr="005B36F4" w:rsidRDefault="00C66B13" w:rsidP="000D3043">
            <w:pPr>
              <w:tabs>
                <w:tab w:val="left" w:pos="1701"/>
              </w:tabs>
              <w:rPr>
                <w:snapToGrid w:val="0"/>
              </w:rPr>
            </w:pPr>
          </w:p>
          <w:p w:rsidR="000D3043" w:rsidRPr="009C2ED3" w:rsidRDefault="000D3043" w:rsidP="00E57DF8">
            <w:pPr>
              <w:widowControl/>
              <w:autoSpaceDE w:val="0"/>
              <w:autoSpaceDN w:val="0"/>
              <w:adjustRightInd w:val="0"/>
              <w:textAlignment w:val="center"/>
              <w:rPr>
                <w:b/>
                <w:szCs w:val="24"/>
              </w:rPr>
            </w:pPr>
          </w:p>
        </w:tc>
      </w:tr>
      <w:tr w:rsidR="00E57DF8" w:rsidTr="00D12EAD">
        <w:tc>
          <w:tcPr>
            <w:tcW w:w="567" w:type="dxa"/>
          </w:tcPr>
          <w:p w:rsidR="00E57DF8" w:rsidRDefault="00EA2807" w:rsidP="0096348C">
            <w:pPr>
              <w:tabs>
                <w:tab w:val="left" w:pos="1701"/>
              </w:tabs>
              <w:rPr>
                <w:b/>
                <w:snapToGrid w:val="0"/>
              </w:rPr>
            </w:pPr>
            <w:r>
              <w:rPr>
                <w:b/>
                <w:snapToGrid w:val="0"/>
              </w:rPr>
              <w:lastRenderedPageBreak/>
              <w:t>§</w:t>
            </w:r>
            <w:r w:rsidR="000A6EE9">
              <w:rPr>
                <w:b/>
                <w:snapToGrid w:val="0"/>
              </w:rPr>
              <w:t xml:space="preserve"> 3</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w:t>
            </w:r>
            <w:r w:rsidR="0096238C">
              <w:rPr>
                <w:snapToGrid w:val="0"/>
              </w:rPr>
              <w:t>1</w:t>
            </w:r>
            <w:r>
              <w:rPr>
                <w:snapToGrid w:val="0"/>
              </w:rPr>
              <w:t>/2</w:t>
            </w:r>
            <w:r w:rsidR="0096238C">
              <w:rPr>
                <w:snapToGrid w:val="0"/>
              </w:rPr>
              <w:t>2</w:t>
            </w:r>
            <w:r>
              <w:rPr>
                <w:snapToGrid w:val="0"/>
              </w:rPr>
              <w:t>:</w:t>
            </w:r>
            <w:r w:rsidR="00604E35">
              <w:rPr>
                <w:snapToGrid w:val="0"/>
              </w:rPr>
              <w:t>19</w:t>
            </w:r>
            <w:r w:rsidR="000D3043">
              <w:rPr>
                <w:snapToGrid w:val="0"/>
              </w:rPr>
              <w:t>.</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0A6EE9">
              <w:rPr>
                <w:b/>
                <w:snapToGrid w:val="0"/>
              </w:rPr>
              <w:t>4</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0A6EE9">
              <w:rPr>
                <w:b/>
                <w:snapToGrid w:val="0"/>
              </w:rPr>
              <w:t>5</w:t>
            </w:r>
          </w:p>
        </w:tc>
        <w:tc>
          <w:tcPr>
            <w:tcW w:w="6946" w:type="dxa"/>
            <w:gridSpan w:val="2"/>
          </w:tcPr>
          <w:p w:rsidR="007E4B5A" w:rsidRDefault="00604E35" w:rsidP="007E4B5A">
            <w:pPr>
              <w:tabs>
                <w:tab w:val="left" w:pos="1701"/>
              </w:tabs>
              <w:rPr>
                <w:snapToGrid w:val="0"/>
              </w:rPr>
            </w:pPr>
            <w:r>
              <w:rPr>
                <w:rFonts w:eastAsiaTheme="minorHAnsi"/>
                <w:b/>
                <w:bCs/>
                <w:color w:val="000000"/>
                <w:szCs w:val="24"/>
                <w:lang w:eastAsia="en-US"/>
              </w:rPr>
              <w:t>Inkomstskatt (SkU13)</w:t>
            </w:r>
            <w:r w:rsidR="007E4B5A">
              <w:rPr>
                <w:snapToGrid w:val="0"/>
              </w:rPr>
              <w:t xml:space="preserve"> </w:t>
            </w:r>
          </w:p>
          <w:p w:rsidR="00604E35" w:rsidRDefault="00604E35" w:rsidP="007E4B5A">
            <w:pPr>
              <w:tabs>
                <w:tab w:val="left" w:pos="1701"/>
              </w:tabs>
              <w:rPr>
                <w:snapToGrid w:val="0"/>
              </w:rPr>
            </w:pPr>
          </w:p>
          <w:p w:rsidR="007E4B5A" w:rsidRDefault="007E4B5A" w:rsidP="007E4B5A">
            <w:pPr>
              <w:tabs>
                <w:tab w:val="left" w:pos="1701"/>
              </w:tabs>
              <w:rPr>
                <w:rFonts w:eastAsiaTheme="minorHAnsi"/>
                <w:color w:val="000000"/>
                <w:szCs w:val="24"/>
                <w:lang w:eastAsia="en-US"/>
              </w:rPr>
            </w:pPr>
            <w:r>
              <w:rPr>
                <w:snapToGrid w:val="0"/>
              </w:rPr>
              <w:t>Utskottet fortsatte behandling</w:t>
            </w:r>
            <w:r w:rsidR="002348E1">
              <w:rPr>
                <w:snapToGrid w:val="0"/>
              </w:rPr>
              <w:t>en</w:t>
            </w:r>
            <w:r>
              <w:rPr>
                <w:snapToGrid w:val="0"/>
              </w:rPr>
              <w:t xml:space="preserve"> av </w:t>
            </w:r>
            <w:r>
              <w:rPr>
                <w:rFonts w:eastAsiaTheme="minorHAnsi"/>
                <w:color w:val="000000"/>
                <w:szCs w:val="24"/>
                <w:lang w:eastAsia="en-US"/>
              </w:rPr>
              <w:t>motioner.</w:t>
            </w:r>
          </w:p>
          <w:p w:rsidR="007E4B5A" w:rsidRDefault="007E4B5A" w:rsidP="007E4B5A">
            <w:pPr>
              <w:tabs>
                <w:tab w:val="left" w:pos="1701"/>
              </w:tabs>
              <w:rPr>
                <w:snapToGrid w:val="0"/>
              </w:rPr>
            </w:pPr>
          </w:p>
          <w:p w:rsidR="007E4B5A" w:rsidRDefault="007E4B5A" w:rsidP="007E4B5A">
            <w:pPr>
              <w:tabs>
                <w:tab w:val="left" w:pos="1701"/>
              </w:tabs>
              <w:rPr>
                <w:snapToGrid w:val="0"/>
              </w:rPr>
            </w:pPr>
            <w:r>
              <w:rPr>
                <w:snapToGrid w:val="0"/>
              </w:rPr>
              <w:t>Utskottet justerade betänkande 202</w:t>
            </w:r>
            <w:r w:rsidR="0096238C">
              <w:rPr>
                <w:snapToGrid w:val="0"/>
              </w:rPr>
              <w:t>1</w:t>
            </w:r>
            <w:r>
              <w:rPr>
                <w:snapToGrid w:val="0"/>
              </w:rPr>
              <w:t>/</w:t>
            </w:r>
            <w:proofErr w:type="gramStart"/>
            <w:r>
              <w:rPr>
                <w:snapToGrid w:val="0"/>
              </w:rPr>
              <w:t>2</w:t>
            </w:r>
            <w:r w:rsidR="0096238C">
              <w:rPr>
                <w:snapToGrid w:val="0"/>
              </w:rPr>
              <w:t>2</w:t>
            </w:r>
            <w:r>
              <w:rPr>
                <w:snapToGrid w:val="0"/>
              </w:rPr>
              <w:t>:Sk</w:t>
            </w:r>
            <w:r w:rsidR="00604E35">
              <w:rPr>
                <w:snapToGrid w:val="0"/>
              </w:rPr>
              <w:t>U</w:t>
            </w:r>
            <w:proofErr w:type="gramEnd"/>
            <w:r w:rsidR="00604E35">
              <w:rPr>
                <w:snapToGrid w:val="0"/>
              </w:rPr>
              <w:t>13</w:t>
            </w:r>
            <w:r>
              <w:rPr>
                <w:snapToGrid w:val="0"/>
              </w:rPr>
              <w:t>.</w:t>
            </w:r>
          </w:p>
          <w:p w:rsidR="007E4B5A" w:rsidRDefault="007E4B5A" w:rsidP="007E4B5A">
            <w:pPr>
              <w:tabs>
                <w:tab w:val="left" w:pos="1701"/>
              </w:tabs>
              <w:rPr>
                <w:snapToGrid w:val="0"/>
              </w:rPr>
            </w:pPr>
          </w:p>
          <w:p w:rsidR="00F93B25" w:rsidRDefault="00604E35" w:rsidP="0096348C">
            <w:pPr>
              <w:tabs>
                <w:tab w:val="left" w:pos="1701"/>
              </w:tabs>
              <w:rPr>
                <w:snapToGrid w:val="0"/>
              </w:rPr>
            </w:pPr>
            <w:r>
              <w:rPr>
                <w:snapToGrid w:val="0"/>
              </w:rPr>
              <w:t>M-, SD-, C-, V-, KD-, L- och MP</w:t>
            </w:r>
            <w:r w:rsidR="007E4B5A">
              <w:rPr>
                <w:snapToGrid w:val="0"/>
              </w:rPr>
              <w:t xml:space="preserve">-ledamöterna anmälde reservationer. </w:t>
            </w:r>
          </w:p>
          <w:p w:rsidR="00F93B25" w:rsidRPr="00F93B25" w:rsidRDefault="00F93B25" w:rsidP="0096348C">
            <w:pPr>
              <w:tabs>
                <w:tab w:val="left" w:pos="1701"/>
              </w:tabs>
              <w:rPr>
                <w:snapToGrid w:val="0"/>
              </w:rPr>
            </w:pPr>
          </w:p>
        </w:tc>
      </w:tr>
      <w:tr w:rsidR="00C3694B" w:rsidTr="00D12EAD">
        <w:tc>
          <w:tcPr>
            <w:tcW w:w="567" w:type="dxa"/>
          </w:tcPr>
          <w:p w:rsidR="00C3694B" w:rsidRDefault="000A6EE9" w:rsidP="0096348C">
            <w:pPr>
              <w:tabs>
                <w:tab w:val="left" w:pos="1701"/>
              </w:tabs>
              <w:rPr>
                <w:b/>
                <w:snapToGrid w:val="0"/>
              </w:rPr>
            </w:pPr>
            <w:r>
              <w:rPr>
                <w:b/>
                <w:snapToGrid w:val="0"/>
              </w:rPr>
              <w:t>§ 6</w:t>
            </w:r>
          </w:p>
        </w:tc>
        <w:tc>
          <w:tcPr>
            <w:tcW w:w="6946" w:type="dxa"/>
            <w:gridSpan w:val="2"/>
          </w:tcPr>
          <w:p w:rsidR="00C3694B" w:rsidRDefault="00B85FF6" w:rsidP="00C3694B">
            <w:pPr>
              <w:tabs>
                <w:tab w:val="left" w:pos="1701"/>
              </w:tabs>
              <w:rPr>
                <w:rFonts w:eastAsiaTheme="minorHAnsi"/>
                <w:color w:val="000000"/>
                <w:szCs w:val="24"/>
                <w:lang w:eastAsia="en-US"/>
              </w:rPr>
            </w:pPr>
            <w:r>
              <w:rPr>
                <w:rFonts w:eastAsiaTheme="minorHAnsi"/>
                <w:b/>
                <w:bCs/>
                <w:color w:val="000000"/>
                <w:szCs w:val="24"/>
                <w:lang w:eastAsia="en-US"/>
              </w:rPr>
              <w:t>Skärpt miljöstyrning i bonus–</w:t>
            </w:r>
            <w:proofErr w:type="spellStart"/>
            <w:r>
              <w:rPr>
                <w:rFonts w:eastAsiaTheme="minorHAnsi"/>
                <w:b/>
                <w:bCs/>
                <w:color w:val="000000"/>
                <w:szCs w:val="24"/>
                <w:lang w:eastAsia="en-US"/>
              </w:rPr>
              <w:t>malus</w:t>
            </w:r>
            <w:proofErr w:type="spellEnd"/>
            <w:r>
              <w:rPr>
                <w:rFonts w:eastAsiaTheme="minorHAnsi"/>
                <w:b/>
                <w:bCs/>
                <w:color w:val="000000"/>
                <w:szCs w:val="24"/>
                <w:lang w:eastAsia="en-US"/>
              </w:rPr>
              <w:t>-systemet (SkU20)</w:t>
            </w:r>
            <w:r w:rsidR="00C3694B">
              <w:rPr>
                <w:rFonts w:eastAsiaTheme="minorHAnsi"/>
                <w:b/>
                <w:bCs/>
                <w:color w:val="000000"/>
                <w:szCs w:val="24"/>
                <w:lang w:eastAsia="en-US"/>
              </w:rPr>
              <w:br/>
            </w:r>
          </w:p>
          <w:p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Utskottet behandlade proposition 202</w:t>
            </w:r>
            <w:r w:rsidR="00AD4893">
              <w:rPr>
                <w:rFonts w:eastAsiaTheme="minorHAnsi"/>
                <w:color w:val="000000"/>
                <w:szCs w:val="24"/>
                <w:lang w:eastAsia="en-US"/>
              </w:rPr>
              <w:t>1</w:t>
            </w:r>
            <w:r>
              <w:rPr>
                <w:rFonts w:eastAsiaTheme="minorHAnsi"/>
                <w:color w:val="000000"/>
                <w:szCs w:val="24"/>
                <w:lang w:eastAsia="en-US"/>
              </w:rPr>
              <w:t>/2</w:t>
            </w:r>
            <w:r w:rsidR="00AD4893">
              <w:rPr>
                <w:rFonts w:eastAsiaTheme="minorHAnsi"/>
                <w:color w:val="000000"/>
                <w:szCs w:val="24"/>
                <w:lang w:eastAsia="en-US"/>
              </w:rPr>
              <w:t>2</w:t>
            </w:r>
            <w:r>
              <w:rPr>
                <w:rFonts w:eastAsiaTheme="minorHAnsi"/>
                <w:color w:val="000000"/>
                <w:szCs w:val="24"/>
                <w:lang w:eastAsia="en-US"/>
              </w:rPr>
              <w:t>:</w:t>
            </w:r>
            <w:r w:rsidR="00B85FF6">
              <w:rPr>
                <w:rFonts w:eastAsiaTheme="minorHAnsi"/>
                <w:color w:val="000000"/>
                <w:szCs w:val="24"/>
                <w:lang w:eastAsia="en-US"/>
              </w:rPr>
              <w:t>91</w:t>
            </w:r>
            <w:r>
              <w:rPr>
                <w:rFonts w:eastAsiaTheme="minorHAnsi"/>
                <w:color w:val="000000"/>
                <w:szCs w:val="24"/>
                <w:lang w:eastAsia="en-US"/>
              </w:rPr>
              <w:t xml:space="preserve"> och motioner. </w:t>
            </w:r>
          </w:p>
          <w:p w:rsidR="00C3694B" w:rsidRDefault="00C3694B" w:rsidP="00C3694B">
            <w:pPr>
              <w:tabs>
                <w:tab w:val="left" w:pos="1701"/>
              </w:tabs>
              <w:rPr>
                <w:rFonts w:eastAsiaTheme="minorHAnsi"/>
                <w:color w:val="000000"/>
                <w:szCs w:val="24"/>
                <w:lang w:eastAsia="en-US"/>
              </w:rPr>
            </w:pPr>
          </w:p>
          <w:p w:rsidR="00C3694B" w:rsidRDefault="00C3694B" w:rsidP="00C3694B">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820AC7" w:rsidTr="00D12EAD">
        <w:tc>
          <w:tcPr>
            <w:tcW w:w="567" w:type="dxa"/>
          </w:tcPr>
          <w:p w:rsidR="00820AC7" w:rsidRDefault="000A6EE9" w:rsidP="0096348C">
            <w:pPr>
              <w:tabs>
                <w:tab w:val="left" w:pos="1701"/>
              </w:tabs>
              <w:rPr>
                <w:b/>
                <w:snapToGrid w:val="0"/>
              </w:rPr>
            </w:pPr>
            <w:r>
              <w:rPr>
                <w:b/>
                <w:snapToGrid w:val="0"/>
              </w:rPr>
              <w:t>§ 7</w:t>
            </w:r>
          </w:p>
        </w:tc>
        <w:tc>
          <w:tcPr>
            <w:tcW w:w="6946" w:type="dxa"/>
            <w:gridSpan w:val="2"/>
          </w:tcPr>
          <w:p w:rsidR="00820AC7" w:rsidRDefault="00B85FF6" w:rsidP="00C3694B">
            <w:pPr>
              <w:tabs>
                <w:tab w:val="left" w:pos="1701"/>
              </w:tabs>
              <w:rPr>
                <w:rFonts w:eastAsiaTheme="minorHAnsi"/>
                <w:b/>
                <w:bCs/>
                <w:color w:val="000000"/>
                <w:szCs w:val="24"/>
                <w:lang w:eastAsia="en-US"/>
              </w:rPr>
            </w:pPr>
            <w:r>
              <w:rPr>
                <w:rFonts w:eastAsiaTheme="minorHAnsi"/>
                <w:b/>
                <w:bCs/>
                <w:color w:val="000000"/>
                <w:szCs w:val="24"/>
                <w:lang w:eastAsia="en-US"/>
              </w:rPr>
              <w:t>Mervärdesskatt (SkU16)</w:t>
            </w:r>
          </w:p>
          <w:p w:rsidR="00B85FF6" w:rsidRDefault="00B85FF6" w:rsidP="00C3694B">
            <w:pPr>
              <w:tabs>
                <w:tab w:val="left" w:pos="1701"/>
              </w:tabs>
              <w:rPr>
                <w:rFonts w:eastAsiaTheme="minorHAnsi"/>
                <w:b/>
                <w:bCs/>
                <w:color w:val="000000"/>
                <w:szCs w:val="24"/>
                <w:lang w:eastAsia="en-US"/>
              </w:rPr>
            </w:pPr>
          </w:p>
          <w:p w:rsidR="00B85FF6" w:rsidRPr="00B85FF6" w:rsidRDefault="00B85FF6" w:rsidP="00C3694B">
            <w:pPr>
              <w:tabs>
                <w:tab w:val="left" w:pos="1701"/>
              </w:tabs>
              <w:rPr>
                <w:rFonts w:eastAsiaTheme="minorHAnsi"/>
                <w:bCs/>
                <w:color w:val="000000"/>
                <w:szCs w:val="24"/>
                <w:lang w:eastAsia="en-US"/>
              </w:rPr>
            </w:pPr>
            <w:r w:rsidRPr="00B85FF6">
              <w:rPr>
                <w:rFonts w:eastAsiaTheme="minorHAnsi"/>
                <w:bCs/>
                <w:color w:val="000000"/>
                <w:szCs w:val="24"/>
                <w:lang w:eastAsia="en-US"/>
              </w:rPr>
              <w:t>Utskottet fortsatte behandlingen av motioner.</w:t>
            </w:r>
          </w:p>
          <w:p w:rsidR="00B85FF6" w:rsidRPr="00B85FF6" w:rsidRDefault="00B85FF6" w:rsidP="00C3694B">
            <w:pPr>
              <w:tabs>
                <w:tab w:val="left" w:pos="1701"/>
              </w:tabs>
              <w:rPr>
                <w:rFonts w:eastAsiaTheme="minorHAnsi"/>
                <w:bCs/>
                <w:color w:val="000000"/>
                <w:szCs w:val="24"/>
                <w:lang w:eastAsia="en-US"/>
              </w:rPr>
            </w:pPr>
          </w:p>
          <w:p w:rsidR="00B85FF6" w:rsidRDefault="00B85FF6" w:rsidP="00C3694B">
            <w:pPr>
              <w:tabs>
                <w:tab w:val="left" w:pos="1701"/>
              </w:tabs>
              <w:rPr>
                <w:rFonts w:eastAsiaTheme="minorHAnsi"/>
                <w:b/>
                <w:bCs/>
                <w:color w:val="000000"/>
                <w:szCs w:val="24"/>
                <w:lang w:eastAsia="en-US"/>
              </w:rPr>
            </w:pPr>
            <w:r w:rsidRPr="00B85FF6">
              <w:rPr>
                <w:rFonts w:eastAsiaTheme="minorHAnsi"/>
                <w:bCs/>
                <w:color w:val="000000"/>
                <w:szCs w:val="24"/>
                <w:lang w:eastAsia="en-US"/>
              </w:rPr>
              <w:t>Ärendet bordlades</w:t>
            </w:r>
            <w:r>
              <w:rPr>
                <w:rFonts w:eastAsiaTheme="minorHAnsi"/>
                <w:b/>
                <w:bCs/>
                <w:color w:val="000000"/>
                <w:szCs w:val="24"/>
                <w:lang w:eastAsia="en-US"/>
              </w:rPr>
              <w:t>.</w:t>
            </w:r>
          </w:p>
          <w:p w:rsidR="00767ABE" w:rsidRDefault="00767ABE" w:rsidP="00C3694B">
            <w:pPr>
              <w:tabs>
                <w:tab w:val="left" w:pos="1701"/>
              </w:tabs>
              <w:rPr>
                <w:rFonts w:eastAsiaTheme="minorHAnsi"/>
                <w:b/>
                <w:bCs/>
                <w:color w:val="000000"/>
                <w:szCs w:val="24"/>
                <w:lang w:eastAsia="en-US"/>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094192">
              <w:rPr>
                <w:b/>
                <w:snapToGrid w:val="0"/>
              </w:rPr>
              <w:t>8</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B85FF6">
              <w:rPr>
                <w:snapToGrid w:val="0"/>
              </w:rPr>
              <w:t>torsdagen</w:t>
            </w:r>
            <w:r w:rsidR="00EF70DA">
              <w:rPr>
                <w:snapToGrid w:val="0"/>
              </w:rPr>
              <w:t xml:space="preserve"> den </w:t>
            </w:r>
            <w:r w:rsidR="00B85FF6">
              <w:rPr>
                <w:snapToGrid w:val="0"/>
              </w:rPr>
              <w:t>17 mars</w:t>
            </w:r>
            <w:r w:rsidR="00EF70DA">
              <w:rPr>
                <w:snapToGrid w:val="0"/>
              </w:rPr>
              <w:t xml:space="preserve"> 20</w:t>
            </w:r>
            <w:r w:rsidR="00C3591B">
              <w:rPr>
                <w:snapToGrid w:val="0"/>
              </w:rPr>
              <w:t>2</w:t>
            </w:r>
            <w:r w:rsidR="001B463E">
              <w:rPr>
                <w:snapToGrid w:val="0"/>
              </w:rPr>
              <w:t>2</w:t>
            </w:r>
            <w:r>
              <w:rPr>
                <w:snapToGrid w:val="0"/>
              </w:rPr>
              <w:t xml:space="preserve"> kl. </w:t>
            </w:r>
            <w:r w:rsidR="00B85FF6">
              <w:rPr>
                <w:snapToGrid w:val="0"/>
              </w:rPr>
              <w:t>10.00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B85FF6">
              <w:t>17 mars</w:t>
            </w:r>
            <w:r w:rsidR="00723D66">
              <w:t xml:space="preserve"> </w:t>
            </w:r>
            <w:r w:rsidR="003F642F">
              <w:t>20</w:t>
            </w:r>
            <w:r w:rsidR="00C3591B">
              <w:t>2</w:t>
            </w:r>
            <w:r w:rsidR="001B463E">
              <w:t>2</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3B0182">
              <w:t>1</w:t>
            </w:r>
            <w:r>
              <w:t>/</w:t>
            </w:r>
            <w:r w:rsidR="00F236AC">
              <w:t>2</w:t>
            </w:r>
            <w:r w:rsidR="003B0182">
              <w:t>2</w:t>
            </w:r>
            <w:r w:rsidR="0096348C">
              <w:t>:</w:t>
            </w:r>
            <w:r w:rsidR="00312AAF">
              <w:t>20</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312AAF">
              <w:rPr>
                <w:sz w:val="22"/>
              </w:rPr>
              <w:t>–</w:t>
            </w:r>
            <w:r w:rsidR="00C66B13">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61484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Ulla Andersson </w:t>
            </w:r>
            <w:r w:rsidR="00E70A95">
              <w:rPr>
                <w:sz w:val="22"/>
              </w:rPr>
              <w:t>(V)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340F4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Magnus Stuart</w:t>
            </w:r>
            <w:r w:rsidR="00E70A95">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Hanna</w:t>
            </w:r>
            <w:r w:rsidR="006C34A5">
              <w:rPr>
                <w:sz w:val="22"/>
                <w:szCs w:val="22"/>
                <w:lang w:val="en-US"/>
              </w:rPr>
              <w:t>h</w:t>
            </w:r>
            <w:r>
              <w:rPr>
                <w:sz w:val="22"/>
                <w:szCs w:val="22"/>
                <w:lang w:val="en-US"/>
              </w:rPr>
              <w:t xml:space="preserve"> Bergstedt</w:t>
            </w:r>
            <w:r w:rsidR="00D8697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19207A"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87359E" w:rsidP="003F642F">
            <w:pPr>
              <w:rPr>
                <w:sz w:val="22"/>
                <w:szCs w:val="22"/>
                <w:lang w:val="en-US"/>
              </w:rPr>
            </w:pPr>
            <w:r>
              <w:rPr>
                <w:sz w:val="22"/>
                <w:szCs w:val="22"/>
                <w:lang w:val="en-US"/>
              </w:rPr>
              <w:t>Jon Thorbjörnsson</w:t>
            </w:r>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6F03D9" w:rsidP="003F642F">
            <w:pPr>
              <w:rPr>
                <w:sz w:val="22"/>
                <w:szCs w:val="22"/>
                <w:lang w:val="en-US"/>
              </w:rPr>
            </w:pPr>
            <w:proofErr w:type="spellStart"/>
            <w:r>
              <w:rPr>
                <w:sz w:val="22"/>
                <w:szCs w:val="22"/>
                <w:lang w:val="en-US"/>
              </w:rPr>
              <w:t>Aphram</w:t>
            </w:r>
            <w:proofErr w:type="spellEnd"/>
            <w:r>
              <w:rPr>
                <w:sz w:val="22"/>
                <w:szCs w:val="22"/>
                <w:lang w:val="en-US"/>
              </w:rPr>
              <w:t xml:space="preserve"> Melki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673F9"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A673F9" w:rsidRPr="0010718A" w:rsidRDefault="00A673F9" w:rsidP="003F642F">
            <w:pPr>
              <w:rPr>
                <w:sz w:val="22"/>
                <w:szCs w:val="22"/>
                <w:lang w:val="en-US"/>
              </w:rPr>
            </w:pPr>
            <w:r w:rsidRPr="0010718A">
              <w:rPr>
                <w:sz w:val="22"/>
                <w:szCs w:val="22"/>
                <w:lang w:val="en-US"/>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F362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673F9" w:rsidRPr="00140387" w:rsidRDefault="00A673F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10718A" w:rsidRDefault="00F946D4" w:rsidP="00F946D4">
            <w:pPr>
              <w:rPr>
                <w:sz w:val="22"/>
                <w:szCs w:val="22"/>
                <w:lang w:val="en-US"/>
              </w:rPr>
            </w:pPr>
            <w:r w:rsidRPr="0010718A">
              <w:rPr>
                <w:sz w:val="22"/>
                <w:szCs w:val="22"/>
                <w:lang w:val="en-US"/>
              </w:rPr>
              <w:t>Lorentz Tovatt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3625D"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sidRPr="00BF4C14">
              <w:rPr>
                <w:b/>
                <w:sz w:val="22"/>
                <w:szCs w:val="22"/>
                <w:lang w:val="en-US"/>
              </w:rPr>
              <w:t xml:space="preserve">Extra </w:t>
            </w:r>
            <w:proofErr w:type="spellStart"/>
            <w:r w:rsidRPr="00BF4C14">
              <w:rPr>
                <w:b/>
                <w:sz w:val="22"/>
                <w:szCs w:val="22"/>
                <w:lang w:val="en-US"/>
              </w:rPr>
              <w:t>suppleanter</w:t>
            </w:r>
            <w:proofErr w:type="spellEnd"/>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Pr>
                <w:sz w:val="22"/>
                <w:szCs w:val="22"/>
                <w:lang w:val="en-US"/>
              </w:rPr>
              <w:t xml:space="preserve">Marie </w:t>
            </w:r>
            <w:proofErr w:type="spellStart"/>
            <w:r>
              <w:rPr>
                <w:sz w:val="22"/>
                <w:szCs w:val="22"/>
                <w:lang w:val="en-US"/>
              </w:rPr>
              <w:t>Granlund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212FDD">
      <w:pPr>
        <w:widowControl/>
      </w:pPr>
      <w:bookmarkStart w:id="0" w:name="_GoBack"/>
      <w:bookmarkEnd w:id="0"/>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FBF7CD5"/>
    <w:multiLevelType w:val="multilevel"/>
    <w:tmpl w:val="EC562206"/>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94192"/>
    <w:rsid w:val="000A10F5"/>
    <w:rsid w:val="000A6EE9"/>
    <w:rsid w:val="000B2293"/>
    <w:rsid w:val="000B7C05"/>
    <w:rsid w:val="000C0F16"/>
    <w:rsid w:val="000D0939"/>
    <w:rsid w:val="000D3043"/>
    <w:rsid w:val="000D4D83"/>
    <w:rsid w:val="000F2258"/>
    <w:rsid w:val="000F47DE"/>
    <w:rsid w:val="000F4B22"/>
    <w:rsid w:val="000F6C0E"/>
    <w:rsid w:val="000F7279"/>
    <w:rsid w:val="00102BE9"/>
    <w:rsid w:val="00104694"/>
    <w:rsid w:val="0010718A"/>
    <w:rsid w:val="00133B7E"/>
    <w:rsid w:val="00140387"/>
    <w:rsid w:val="00144FCB"/>
    <w:rsid w:val="001507C0"/>
    <w:rsid w:val="001522CE"/>
    <w:rsid w:val="00161AA6"/>
    <w:rsid w:val="001631CE"/>
    <w:rsid w:val="00186BCD"/>
    <w:rsid w:val="0019207A"/>
    <w:rsid w:val="0019469E"/>
    <w:rsid w:val="001A1578"/>
    <w:rsid w:val="001B463E"/>
    <w:rsid w:val="001C74B4"/>
    <w:rsid w:val="001E1FAC"/>
    <w:rsid w:val="001F67F5"/>
    <w:rsid w:val="002060F4"/>
    <w:rsid w:val="00212FDD"/>
    <w:rsid w:val="002174A8"/>
    <w:rsid w:val="002348E1"/>
    <w:rsid w:val="002373C0"/>
    <w:rsid w:val="00245992"/>
    <w:rsid w:val="00246D79"/>
    <w:rsid w:val="00246FAC"/>
    <w:rsid w:val="00247073"/>
    <w:rsid w:val="002544E0"/>
    <w:rsid w:val="002624FF"/>
    <w:rsid w:val="00274266"/>
    <w:rsid w:val="00275CD2"/>
    <w:rsid w:val="00277F93"/>
    <w:rsid w:val="00296D10"/>
    <w:rsid w:val="002B1854"/>
    <w:rsid w:val="002B51DB"/>
    <w:rsid w:val="002D2AB5"/>
    <w:rsid w:val="002E1614"/>
    <w:rsid w:val="002F284C"/>
    <w:rsid w:val="003102EF"/>
    <w:rsid w:val="00312AAF"/>
    <w:rsid w:val="00314F14"/>
    <w:rsid w:val="003378A2"/>
    <w:rsid w:val="00340F42"/>
    <w:rsid w:val="00360479"/>
    <w:rsid w:val="00362805"/>
    <w:rsid w:val="00363647"/>
    <w:rsid w:val="003745F4"/>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5589"/>
    <w:rsid w:val="00446353"/>
    <w:rsid w:val="00446C86"/>
    <w:rsid w:val="004642C2"/>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3D68"/>
    <w:rsid w:val="00540AE9"/>
    <w:rsid w:val="00555EB7"/>
    <w:rsid w:val="00565087"/>
    <w:rsid w:val="00574036"/>
    <w:rsid w:val="00574897"/>
    <w:rsid w:val="00581568"/>
    <w:rsid w:val="005826D4"/>
    <w:rsid w:val="00585B29"/>
    <w:rsid w:val="00592BE9"/>
    <w:rsid w:val="005B0262"/>
    <w:rsid w:val="005C1541"/>
    <w:rsid w:val="005C2F5F"/>
    <w:rsid w:val="005C3A33"/>
    <w:rsid w:val="005C50D2"/>
    <w:rsid w:val="005E28B9"/>
    <w:rsid w:val="005E439C"/>
    <w:rsid w:val="005F493C"/>
    <w:rsid w:val="005F57D4"/>
    <w:rsid w:val="00604E35"/>
    <w:rsid w:val="00614540"/>
    <w:rsid w:val="00614844"/>
    <w:rsid w:val="006150AA"/>
    <w:rsid w:val="00664334"/>
    <w:rsid w:val="00697EB5"/>
    <w:rsid w:val="006A511D"/>
    <w:rsid w:val="006B7B0C"/>
    <w:rsid w:val="006C21FA"/>
    <w:rsid w:val="006C34A5"/>
    <w:rsid w:val="006D3126"/>
    <w:rsid w:val="006F03D9"/>
    <w:rsid w:val="00723D66"/>
    <w:rsid w:val="0072602E"/>
    <w:rsid w:val="00726EE5"/>
    <w:rsid w:val="00731EE4"/>
    <w:rsid w:val="00750FF0"/>
    <w:rsid w:val="007515BB"/>
    <w:rsid w:val="007557B6"/>
    <w:rsid w:val="00755B50"/>
    <w:rsid w:val="00767ABE"/>
    <w:rsid w:val="00767BDA"/>
    <w:rsid w:val="00771B76"/>
    <w:rsid w:val="00780720"/>
    <w:rsid w:val="007A13A8"/>
    <w:rsid w:val="007E4B5A"/>
    <w:rsid w:val="007F6B0D"/>
    <w:rsid w:val="00815B5B"/>
    <w:rsid w:val="00820AC7"/>
    <w:rsid w:val="00834B38"/>
    <w:rsid w:val="008378F7"/>
    <w:rsid w:val="00842A58"/>
    <w:rsid w:val="008557FA"/>
    <w:rsid w:val="0086262B"/>
    <w:rsid w:val="00864B03"/>
    <w:rsid w:val="0087359E"/>
    <w:rsid w:val="008808A5"/>
    <w:rsid w:val="008C2DE4"/>
    <w:rsid w:val="008C68ED"/>
    <w:rsid w:val="008D12B1"/>
    <w:rsid w:val="008F1A6E"/>
    <w:rsid w:val="008F4D68"/>
    <w:rsid w:val="008F656A"/>
    <w:rsid w:val="00906C2D"/>
    <w:rsid w:val="00915674"/>
    <w:rsid w:val="009216D5"/>
    <w:rsid w:val="00921E58"/>
    <w:rsid w:val="009249A0"/>
    <w:rsid w:val="00936130"/>
    <w:rsid w:val="00937BF3"/>
    <w:rsid w:val="00946978"/>
    <w:rsid w:val="00947E4C"/>
    <w:rsid w:val="00953D59"/>
    <w:rsid w:val="00954010"/>
    <w:rsid w:val="0096238C"/>
    <w:rsid w:val="0096348C"/>
    <w:rsid w:val="00973D8B"/>
    <w:rsid w:val="009815DB"/>
    <w:rsid w:val="00984F1C"/>
    <w:rsid w:val="009A68FE"/>
    <w:rsid w:val="009B0A01"/>
    <w:rsid w:val="009B0E9B"/>
    <w:rsid w:val="009C2850"/>
    <w:rsid w:val="009C3BE7"/>
    <w:rsid w:val="009D1BB5"/>
    <w:rsid w:val="009D6560"/>
    <w:rsid w:val="009E20E4"/>
    <w:rsid w:val="009F6E99"/>
    <w:rsid w:val="00A01787"/>
    <w:rsid w:val="00A258F2"/>
    <w:rsid w:val="00A304E0"/>
    <w:rsid w:val="00A31820"/>
    <w:rsid w:val="00A401A5"/>
    <w:rsid w:val="00A46C20"/>
    <w:rsid w:val="00A55748"/>
    <w:rsid w:val="00A63738"/>
    <w:rsid w:val="00A673F9"/>
    <w:rsid w:val="00A70B78"/>
    <w:rsid w:val="00A744C3"/>
    <w:rsid w:val="00A81721"/>
    <w:rsid w:val="00A84DE6"/>
    <w:rsid w:val="00A90C14"/>
    <w:rsid w:val="00A9262A"/>
    <w:rsid w:val="00AB15F1"/>
    <w:rsid w:val="00AB3136"/>
    <w:rsid w:val="00AD4893"/>
    <w:rsid w:val="00AF4E88"/>
    <w:rsid w:val="00AF7C8D"/>
    <w:rsid w:val="00B15788"/>
    <w:rsid w:val="00B17955"/>
    <w:rsid w:val="00B30F51"/>
    <w:rsid w:val="00B3204F"/>
    <w:rsid w:val="00B54D41"/>
    <w:rsid w:val="00B60B32"/>
    <w:rsid w:val="00B6182C"/>
    <w:rsid w:val="00B64A91"/>
    <w:rsid w:val="00B722B3"/>
    <w:rsid w:val="00B85160"/>
    <w:rsid w:val="00B85FF6"/>
    <w:rsid w:val="00B9203B"/>
    <w:rsid w:val="00BE56A5"/>
    <w:rsid w:val="00BE7A1F"/>
    <w:rsid w:val="00BF4C14"/>
    <w:rsid w:val="00C00C2D"/>
    <w:rsid w:val="00C03BBC"/>
    <w:rsid w:val="00C147BC"/>
    <w:rsid w:val="00C16B87"/>
    <w:rsid w:val="00C25306"/>
    <w:rsid w:val="00C3591B"/>
    <w:rsid w:val="00C3694B"/>
    <w:rsid w:val="00C4713F"/>
    <w:rsid w:val="00C60220"/>
    <w:rsid w:val="00C66B13"/>
    <w:rsid w:val="00C702CD"/>
    <w:rsid w:val="00C81684"/>
    <w:rsid w:val="00C901AA"/>
    <w:rsid w:val="00C919F3"/>
    <w:rsid w:val="00C92589"/>
    <w:rsid w:val="00C93236"/>
    <w:rsid w:val="00CA0868"/>
    <w:rsid w:val="00CA262C"/>
    <w:rsid w:val="00CA39FE"/>
    <w:rsid w:val="00CA4F10"/>
    <w:rsid w:val="00CB4BD3"/>
    <w:rsid w:val="00CB6177"/>
    <w:rsid w:val="00CF4289"/>
    <w:rsid w:val="00D12EAD"/>
    <w:rsid w:val="00D226B6"/>
    <w:rsid w:val="00D2672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35AE"/>
    <w:rsid w:val="00DA7DB7"/>
    <w:rsid w:val="00DC58D9"/>
    <w:rsid w:val="00DD0388"/>
    <w:rsid w:val="00DD2E3A"/>
    <w:rsid w:val="00DD3FBA"/>
    <w:rsid w:val="00DD7DC3"/>
    <w:rsid w:val="00E066D8"/>
    <w:rsid w:val="00E31AA3"/>
    <w:rsid w:val="00E33857"/>
    <w:rsid w:val="00E45D77"/>
    <w:rsid w:val="00E57DF8"/>
    <w:rsid w:val="00E67EBA"/>
    <w:rsid w:val="00E70A95"/>
    <w:rsid w:val="00E821AE"/>
    <w:rsid w:val="00E916EA"/>
    <w:rsid w:val="00E91F39"/>
    <w:rsid w:val="00E92A77"/>
    <w:rsid w:val="00E9326E"/>
    <w:rsid w:val="00E948E9"/>
    <w:rsid w:val="00E96868"/>
    <w:rsid w:val="00EA2807"/>
    <w:rsid w:val="00EA7B07"/>
    <w:rsid w:val="00EA7B53"/>
    <w:rsid w:val="00ED4EF3"/>
    <w:rsid w:val="00EE30AF"/>
    <w:rsid w:val="00EE7FFE"/>
    <w:rsid w:val="00EF70DA"/>
    <w:rsid w:val="00F0569E"/>
    <w:rsid w:val="00F064EF"/>
    <w:rsid w:val="00F236AC"/>
    <w:rsid w:val="00F3625D"/>
    <w:rsid w:val="00F37A94"/>
    <w:rsid w:val="00F46F5A"/>
    <w:rsid w:val="00F70370"/>
    <w:rsid w:val="00F93B25"/>
    <w:rsid w:val="00F946D4"/>
    <w:rsid w:val="00F968D3"/>
    <w:rsid w:val="00FA384F"/>
    <w:rsid w:val="00FB3BD6"/>
    <w:rsid w:val="00FB538C"/>
    <w:rsid w:val="00FC1908"/>
    <w:rsid w:val="00FC7B39"/>
    <w:rsid w:val="00FD13A3"/>
    <w:rsid w:val="00FE35DD"/>
    <w:rsid w:val="00FF2806"/>
    <w:rsid w:val="00FF374F"/>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Oformateradtext">
    <w:name w:val="Plain Text"/>
    <w:basedOn w:val="Normal"/>
    <w:link w:val="OformateradtextChar"/>
    <w:uiPriority w:val="99"/>
    <w:unhideWhenUsed/>
    <w:rsid w:val="00B6182C"/>
    <w:pPr>
      <w:widowControl/>
    </w:pPr>
    <w:rPr>
      <w:rFonts w:ascii="Calibri" w:eastAsiaTheme="minorHAnsi" w:hAnsi="Calibri" w:cs="Calibri"/>
      <w:sz w:val="22"/>
      <w:szCs w:val="22"/>
      <w:lang w:eastAsia="en-US"/>
    </w:rPr>
  </w:style>
  <w:style w:type="character" w:customStyle="1" w:styleId="OformateradtextChar">
    <w:name w:val="Oformaterad text Char"/>
    <w:basedOn w:val="Standardstycketeckensnitt"/>
    <w:link w:val="Oformateradtext"/>
    <w:uiPriority w:val="99"/>
    <w:rsid w:val="00B6182C"/>
    <w:rPr>
      <w:rFonts w:ascii="Calibri" w:eastAsiaTheme="minorHAnsi" w:hAnsi="Calibri" w:cs="Calibri"/>
      <w:sz w:val="22"/>
      <w:szCs w:val="22"/>
      <w:lang w:eastAsia="en-US"/>
    </w:rPr>
  </w:style>
  <w:style w:type="paragraph" w:styleId="Citat">
    <w:name w:val="Quote"/>
    <w:basedOn w:val="Normal"/>
    <w:next w:val="Normal"/>
    <w:link w:val="CitatChar"/>
    <w:uiPriority w:val="29"/>
    <w:qFormat/>
    <w:rsid w:val="005826D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826D4"/>
    <w:rPr>
      <w:i/>
      <w:iCs/>
      <w:color w:val="404040" w:themeColor="text1" w:themeTint="BF"/>
      <w:sz w:val="24"/>
    </w:rPr>
  </w:style>
  <w:style w:type="paragraph" w:styleId="Starktcitat">
    <w:name w:val="Intense Quote"/>
    <w:basedOn w:val="Normal"/>
    <w:next w:val="Normal"/>
    <w:link w:val="StarktcitatChar"/>
    <w:uiPriority w:val="30"/>
    <w:qFormat/>
    <w:rsid w:val="005826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5826D4"/>
    <w:rPr>
      <w:i/>
      <w:iCs/>
      <w:color w:val="5B9BD5" w:themeColor="accent1"/>
      <w:sz w:val="24"/>
    </w:rPr>
  </w:style>
  <w:style w:type="character" w:styleId="Starkbetoning">
    <w:name w:val="Intense Emphasis"/>
    <w:basedOn w:val="Standardstycketeckensnitt"/>
    <w:uiPriority w:val="21"/>
    <w:qFormat/>
    <w:rsid w:val="005826D4"/>
    <w:rPr>
      <w:i/>
      <w:iCs/>
      <w:color w:val="5B9BD5" w:themeColor="accent1"/>
    </w:rPr>
  </w:style>
  <w:style w:type="character" w:styleId="Diskretbetoning">
    <w:name w:val="Subtle Emphasis"/>
    <w:basedOn w:val="Standardstycketeckensnitt"/>
    <w:uiPriority w:val="19"/>
    <w:qFormat/>
    <w:rsid w:val="005826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212159603">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1529488558">
      <w:bodyDiv w:val="1"/>
      <w:marLeft w:val="0"/>
      <w:marRight w:val="0"/>
      <w:marTop w:val="0"/>
      <w:marBottom w:val="0"/>
      <w:divBdr>
        <w:top w:val="none" w:sz="0" w:space="0" w:color="auto"/>
        <w:left w:val="none" w:sz="0" w:space="0" w:color="auto"/>
        <w:bottom w:val="none" w:sz="0" w:space="0" w:color="auto"/>
        <w:right w:val="none" w:sz="0" w:space="0" w:color="auto"/>
      </w:divBdr>
    </w:div>
    <w:div w:id="17974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BE80-073F-441A-8D6B-00DEC691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0</TotalTime>
  <Pages>6</Pages>
  <Words>1038</Words>
  <Characters>7151</Characters>
  <Application>Microsoft Office Word</Application>
  <DocSecurity>0</DocSecurity>
  <Lines>1191</Lines>
  <Paragraphs>190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2022-03-03T08:43:00Z</cp:lastPrinted>
  <dcterms:created xsi:type="dcterms:W3CDTF">2022-03-22T12:26:00Z</dcterms:created>
  <dcterms:modified xsi:type="dcterms:W3CDTF">2022-03-22T12:27:00Z</dcterms:modified>
</cp:coreProperties>
</file>