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E87" w:rsidRPr="005E3E4B" w:rsidRDefault="00F01E87">
      <w:pPr>
        <w:pStyle w:val="Hemstlrubrik"/>
        <w:shd w:val="clear" w:color="000000" w:fill="auto"/>
      </w:pPr>
      <w:r w:rsidRPr="005E3E4B">
        <w:t>Förslag till riksdagsbeslut</w:t>
      </w:r>
    </w:p>
    <w:p w:rsidR="00F01E87" w:rsidRPr="005E3E4B" w:rsidRDefault="00F01E87">
      <w:pPr>
        <w:pStyle w:val="Hemstlatt"/>
        <w:numPr>
          <w:ilvl w:val="0"/>
          <w:numId w:val="1"/>
        </w:numPr>
        <w:shd w:val="clear" w:color="000000" w:fill="auto"/>
      </w:pPr>
      <w:r w:rsidRPr="005E3E4B">
        <w:t xml:space="preserve">Riksdagen tillkännager för regeringen som sin mening vad som anförs i motionen om </w:t>
      </w:r>
      <w:r w:rsidRPr="005E3E4B">
        <w:rPr>
          <w:color w:val="000000"/>
        </w:rPr>
        <w:t>förslag till investeringsplan för Försvarsmakten för 2009–2011.</w:t>
      </w:r>
    </w:p>
    <w:p w:rsidR="00F01E87" w:rsidRPr="005E3E4B" w:rsidRDefault="00F01E87">
      <w:pPr>
        <w:pStyle w:val="Hemstlatt"/>
        <w:numPr>
          <w:ilvl w:val="0"/>
          <w:numId w:val="1"/>
        </w:numPr>
        <w:shd w:val="clear" w:color="000000" w:fill="auto"/>
      </w:pPr>
      <w:r w:rsidRPr="005E3E4B">
        <w:t>Riksdagen avslår regeringens förslag till bemyndigande på ramanslag 1:3.</w:t>
      </w:r>
    </w:p>
    <w:p w:rsidR="00F01E87" w:rsidRPr="005E3E4B" w:rsidRDefault="00F01E87">
      <w:pPr>
        <w:pStyle w:val="Hemstlatt"/>
        <w:numPr>
          <w:ilvl w:val="0"/>
          <w:numId w:val="1"/>
        </w:numPr>
        <w:shd w:val="clear" w:color="000000" w:fill="auto"/>
      </w:pPr>
      <w:r w:rsidRPr="005E3E4B">
        <w:t>Riksdagen bemyndigar regeringen att under 2009 för rama</w:t>
      </w:r>
      <w:r w:rsidRPr="005E3E4B">
        <w:t>n</w:t>
      </w:r>
      <w:r w:rsidRPr="005E3E4B">
        <w:t>slaget 1:3 Anskaffning av materiel och anläggningar besluta om bestäl</w:t>
      </w:r>
      <w:r w:rsidRPr="005E3E4B">
        <w:t>l</w:t>
      </w:r>
      <w:r w:rsidRPr="005E3E4B">
        <w:t>ningar av materiel och anläggningar som inklusive tidigare gjorda b</w:t>
      </w:r>
      <w:r w:rsidRPr="005E3E4B">
        <w:t>e</w:t>
      </w:r>
      <w:r w:rsidRPr="005E3E4B">
        <w:t>ställningar medför behov av framtida anslag på högst 28 miljarder kronor efter 2009.</w:t>
      </w:r>
    </w:p>
    <w:p w:rsidR="00F01E87" w:rsidRPr="005E3E4B" w:rsidRDefault="00F01E87">
      <w:pPr>
        <w:pStyle w:val="Hemstlatt"/>
        <w:numPr>
          <w:ilvl w:val="0"/>
          <w:numId w:val="1"/>
        </w:numPr>
        <w:shd w:val="clear" w:color="000000" w:fill="auto"/>
      </w:pPr>
      <w:r w:rsidRPr="005E3E4B">
        <w:t>Riksdagen anvisar med följande ändringar i förhållande till regeringens förslag anslagen under utgiftsområde 6. Försvar och samhä</w:t>
      </w:r>
      <w:r w:rsidRPr="005E3E4B">
        <w:t>l</w:t>
      </w:r>
      <w:r w:rsidRPr="005E3E4B">
        <w:t>lets krisberedskap enligt uppställning:</w:t>
      </w:r>
    </w:p>
    <w:tbl>
      <w:tblPr>
        <w:tblW w:w="6135" w:type="dxa"/>
        <w:tblInd w:w="55" w:type="dxa"/>
        <w:tblCellMar>
          <w:left w:w="70" w:type="dxa"/>
          <w:right w:w="70" w:type="dxa"/>
        </w:tblCellMar>
        <w:tblLook w:val="0000" w:firstRow="0" w:lastRow="0" w:firstColumn="0" w:lastColumn="0" w:noHBand="0" w:noVBand="0"/>
      </w:tblPr>
      <w:tblGrid>
        <w:gridCol w:w="615"/>
        <w:gridCol w:w="3360"/>
        <w:gridCol w:w="720"/>
        <w:gridCol w:w="720"/>
        <w:gridCol w:w="720"/>
      </w:tblGrid>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jc w:val="right"/>
              <w:rPr>
                <w:b/>
                <w:bCs/>
                <w:sz w:val="16"/>
                <w:szCs w:val="16"/>
              </w:rPr>
            </w:pPr>
          </w:p>
        </w:tc>
        <w:tc>
          <w:tcPr>
            <w:tcW w:w="2160" w:type="dxa"/>
            <w:gridSpan w:val="3"/>
            <w:tcBorders>
              <w:top w:val="nil"/>
              <w:left w:val="nil"/>
              <w:bottom w:val="nil"/>
              <w:right w:val="nil"/>
            </w:tcBorders>
            <w:noWrap/>
            <w:vAlign w:val="bottom"/>
          </w:tcPr>
          <w:p w:rsidR="00F01E87" w:rsidRPr="005E3E4B" w:rsidRDefault="00F01E87">
            <w:pPr>
              <w:shd w:val="clear" w:color="000000" w:fill="auto"/>
              <w:spacing w:before="60" w:line="200" w:lineRule="exact"/>
              <w:ind w:left="-57" w:firstLine="57"/>
              <w:jc w:val="center"/>
              <w:rPr>
                <w:b/>
                <w:bCs/>
                <w:sz w:val="16"/>
                <w:szCs w:val="16"/>
              </w:rPr>
            </w:pPr>
            <w:r w:rsidRPr="005E3E4B">
              <w:rPr>
                <w:b/>
                <w:bCs/>
                <w:sz w:val="16"/>
                <w:szCs w:val="16"/>
              </w:rPr>
              <w:t xml:space="preserve">Anslagsförändring </w:t>
            </w:r>
            <w:r w:rsidRPr="005E3E4B">
              <w:rPr>
                <w:b/>
                <w:bCs/>
                <w:sz w:val="16"/>
                <w:szCs w:val="16"/>
              </w:rPr>
              <w:br/>
              <w:t>(miljoner kronor)</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jc w:val="right"/>
              <w:rPr>
                <w:b/>
                <w:bCs/>
                <w:sz w:val="16"/>
                <w:szCs w:val="16"/>
              </w:rPr>
            </w:pP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sz w:val="16"/>
                <w:szCs w:val="16"/>
              </w:rPr>
            </w:pPr>
            <w:r w:rsidRPr="005E3E4B">
              <w:rPr>
                <w:b/>
                <w:sz w:val="16"/>
                <w:szCs w:val="16"/>
              </w:rPr>
              <w:t>2009</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sz w:val="16"/>
                <w:szCs w:val="16"/>
              </w:rPr>
            </w:pPr>
            <w:r w:rsidRPr="005E3E4B">
              <w:rPr>
                <w:b/>
                <w:sz w:val="16"/>
                <w:szCs w:val="16"/>
              </w:rPr>
              <w:t>2010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sz w:val="16"/>
                <w:szCs w:val="16"/>
              </w:rPr>
            </w:pPr>
            <w:r w:rsidRPr="005E3E4B">
              <w:rPr>
                <w:b/>
                <w:sz w:val="16"/>
                <w:szCs w:val="16"/>
              </w:rPr>
              <w:t>2011</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jc w:val="right"/>
              <w:rPr>
                <w:b/>
                <w:bCs/>
                <w:sz w:val="16"/>
                <w:szCs w:val="16"/>
              </w:rPr>
            </w:pPr>
            <w:r w:rsidRPr="005E3E4B">
              <w:rPr>
                <w:b/>
                <w:bCs/>
                <w:sz w:val="16"/>
                <w:szCs w:val="16"/>
              </w:rPr>
              <w:t>Summa utgiftsområdet:</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bCs/>
                <w:sz w:val="16"/>
                <w:szCs w:val="16"/>
              </w:rPr>
            </w:pPr>
            <w:r w:rsidRPr="005E3E4B">
              <w:rPr>
                <w:b/>
                <w:bCs/>
                <w:sz w:val="16"/>
                <w:szCs w:val="16"/>
              </w:rPr>
              <w:t>–840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bCs/>
                <w:sz w:val="16"/>
                <w:szCs w:val="16"/>
              </w:rPr>
            </w:pPr>
            <w:r w:rsidRPr="005E3E4B">
              <w:rPr>
                <w:b/>
                <w:bCs/>
                <w:sz w:val="16"/>
                <w:szCs w:val="16"/>
              </w:rPr>
              <w:t>–2 860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b/>
                <w:bCs/>
                <w:sz w:val="16"/>
                <w:szCs w:val="16"/>
              </w:rPr>
            </w:pPr>
            <w:r w:rsidRPr="005E3E4B">
              <w:rPr>
                <w:b/>
                <w:bCs/>
                <w:sz w:val="16"/>
                <w:szCs w:val="16"/>
              </w:rPr>
              <w:t>–3 900</w:t>
            </w:r>
          </w:p>
        </w:tc>
      </w:tr>
      <w:tr w:rsidR="00000000" w:rsidRPr="005E3E4B">
        <w:tc>
          <w:tcPr>
            <w:tcW w:w="615" w:type="dxa"/>
            <w:tcBorders>
              <w:top w:val="nil"/>
              <w:left w:val="nil"/>
              <w:bottom w:val="single" w:sz="8" w:space="0" w:color="auto"/>
              <w:right w:val="nil"/>
            </w:tcBorders>
            <w:vAlign w:val="bottom"/>
          </w:tcPr>
          <w:p w:rsidR="00F01E87" w:rsidRPr="005E3E4B" w:rsidRDefault="00F01E87">
            <w:pPr>
              <w:shd w:val="clear" w:color="000000" w:fill="auto"/>
              <w:spacing w:before="60" w:line="200" w:lineRule="exact"/>
              <w:rPr>
                <w:b/>
                <w:bCs/>
                <w:sz w:val="16"/>
                <w:szCs w:val="16"/>
              </w:rPr>
            </w:pPr>
          </w:p>
        </w:tc>
        <w:tc>
          <w:tcPr>
            <w:tcW w:w="3360" w:type="dxa"/>
            <w:tcBorders>
              <w:top w:val="nil"/>
              <w:left w:val="nil"/>
              <w:bottom w:val="single" w:sz="8" w:space="0" w:color="auto"/>
              <w:right w:val="nil"/>
            </w:tcBorders>
            <w:vAlign w:val="bottom"/>
          </w:tcPr>
          <w:p w:rsidR="00F01E87" w:rsidRPr="005E3E4B" w:rsidRDefault="00F01E87">
            <w:pPr>
              <w:shd w:val="clear" w:color="000000" w:fill="auto"/>
              <w:spacing w:before="60" w:line="200" w:lineRule="exact"/>
              <w:rPr>
                <w:b/>
                <w:bCs/>
                <w:sz w:val="16"/>
                <w:szCs w:val="16"/>
              </w:rPr>
            </w:pPr>
            <w:r w:rsidRPr="005E3E4B">
              <w:rPr>
                <w:b/>
                <w:bCs/>
                <w:sz w:val="16"/>
                <w:szCs w:val="16"/>
              </w:rPr>
              <w:t>Anslag</w:t>
            </w:r>
          </w:p>
        </w:tc>
        <w:tc>
          <w:tcPr>
            <w:tcW w:w="720" w:type="dxa"/>
            <w:tcBorders>
              <w:top w:val="nil"/>
              <w:left w:val="nil"/>
              <w:bottom w:val="single" w:sz="8" w:space="0" w:color="auto"/>
              <w:right w:val="nil"/>
            </w:tcBorders>
            <w:noWrap/>
            <w:vAlign w:val="bottom"/>
          </w:tcPr>
          <w:p w:rsidR="00F01E87" w:rsidRPr="005E3E4B" w:rsidRDefault="00F01E87">
            <w:pPr>
              <w:shd w:val="clear" w:color="000000" w:fill="auto"/>
              <w:spacing w:before="60" w:line="200" w:lineRule="exact"/>
              <w:ind w:left="-310" w:firstLine="310"/>
              <w:rPr>
                <w:sz w:val="16"/>
                <w:szCs w:val="16"/>
              </w:rPr>
            </w:pPr>
            <w:r w:rsidRPr="005E3E4B">
              <w:rPr>
                <w:sz w:val="16"/>
                <w:szCs w:val="16"/>
              </w:rPr>
              <w:t> </w:t>
            </w:r>
          </w:p>
        </w:tc>
        <w:tc>
          <w:tcPr>
            <w:tcW w:w="720" w:type="dxa"/>
            <w:tcBorders>
              <w:top w:val="nil"/>
              <w:left w:val="nil"/>
              <w:bottom w:val="single" w:sz="8" w:space="0" w:color="auto"/>
              <w:right w:val="nil"/>
            </w:tcBorders>
            <w:noWrap/>
            <w:vAlign w:val="bottom"/>
          </w:tcPr>
          <w:p w:rsidR="00F01E87" w:rsidRPr="005E3E4B" w:rsidRDefault="00F01E87">
            <w:pPr>
              <w:shd w:val="clear" w:color="000000" w:fill="auto"/>
              <w:spacing w:before="60" w:line="200" w:lineRule="exact"/>
              <w:ind w:left="-310" w:firstLine="310"/>
              <w:rPr>
                <w:sz w:val="16"/>
                <w:szCs w:val="16"/>
              </w:rPr>
            </w:pPr>
            <w:r w:rsidRPr="005E3E4B">
              <w:rPr>
                <w:sz w:val="16"/>
                <w:szCs w:val="16"/>
              </w:rPr>
              <w:t> </w:t>
            </w:r>
          </w:p>
        </w:tc>
        <w:tc>
          <w:tcPr>
            <w:tcW w:w="720" w:type="dxa"/>
            <w:tcBorders>
              <w:top w:val="nil"/>
              <w:left w:val="nil"/>
              <w:bottom w:val="single" w:sz="8" w:space="0" w:color="auto"/>
              <w:right w:val="nil"/>
            </w:tcBorders>
            <w:noWrap/>
            <w:vAlign w:val="bottom"/>
          </w:tcPr>
          <w:p w:rsidR="00F01E87" w:rsidRPr="005E3E4B" w:rsidRDefault="00F01E87">
            <w:pPr>
              <w:shd w:val="clear" w:color="000000" w:fill="auto"/>
              <w:spacing w:before="60" w:line="200" w:lineRule="exact"/>
              <w:ind w:left="-310" w:firstLine="310"/>
              <w:rPr>
                <w:sz w:val="16"/>
                <w:szCs w:val="16"/>
              </w:rPr>
            </w:pPr>
            <w:r w:rsidRPr="005E3E4B">
              <w:rPr>
                <w:sz w:val="16"/>
                <w:szCs w:val="16"/>
              </w:rPr>
              <w:t> </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1:1</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Förbandsverksamhet och beredskap</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–600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–1 100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–2 120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1:2</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Fredsfrämjande förbandsinsatser</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70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1:3</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Anskaffning av materiel och anläggningar</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–200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–1 800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–1 800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1:5</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Forskning och teknikutveckling</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–50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–80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1:8</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Försvarets radioanstalt</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1:9</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Totalförsvarets forskningsinstitut</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–60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–60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–60</w:t>
            </w:r>
          </w:p>
        </w:tc>
      </w:tr>
      <w:tr w:rsidR="00000000" w:rsidRPr="005E3E4B">
        <w:trPr>
          <w:trHeight w:val="255"/>
        </w:trPr>
        <w:tc>
          <w:tcPr>
            <w:tcW w:w="615"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2:7</w:t>
            </w:r>
          </w:p>
        </w:tc>
        <w:tc>
          <w:tcPr>
            <w:tcW w:w="3360" w:type="dxa"/>
            <w:tcBorders>
              <w:top w:val="nil"/>
              <w:left w:val="nil"/>
              <w:bottom w:val="nil"/>
              <w:right w:val="nil"/>
            </w:tcBorders>
            <w:noWrap/>
            <w:vAlign w:val="bottom"/>
          </w:tcPr>
          <w:p w:rsidR="00F01E87" w:rsidRPr="005E3E4B" w:rsidRDefault="00F01E87">
            <w:pPr>
              <w:shd w:val="clear" w:color="000000" w:fill="auto"/>
              <w:spacing w:before="60" w:line="200" w:lineRule="exact"/>
              <w:rPr>
                <w:sz w:val="16"/>
                <w:szCs w:val="16"/>
              </w:rPr>
            </w:pPr>
            <w:r w:rsidRPr="005E3E4B">
              <w:rPr>
                <w:sz w:val="16"/>
                <w:szCs w:val="16"/>
              </w:rPr>
              <w:t xml:space="preserve">Myndigheten för samhällsskydd och beredskap </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120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200</w:t>
            </w:r>
          </w:p>
        </w:tc>
        <w:tc>
          <w:tcPr>
            <w:tcW w:w="720" w:type="dxa"/>
            <w:tcBorders>
              <w:top w:val="nil"/>
              <w:left w:val="nil"/>
              <w:bottom w:val="nil"/>
              <w:right w:val="nil"/>
            </w:tcBorders>
            <w:noWrap/>
            <w:vAlign w:val="bottom"/>
          </w:tcPr>
          <w:p w:rsidR="00F01E87" w:rsidRPr="005E3E4B" w:rsidRDefault="00F01E87">
            <w:pPr>
              <w:shd w:val="clear" w:color="000000" w:fill="auto"/>
              <w:spacing w:before="60" w:line="200" w:lineRule="exact"/>
              <w:ind w:left="-310" w:firstLine="310"/>
              <w:jc w:val="right"/>
              <w:rPr>
                <w:sz w:val="16"/>
                <w:szCs w:val="16"/>
              </w:rPr>
            </w:pPr>
            <w:r w:rsidRPr="005E3E4B">
              <w:rPr>
                <w:sz w:val="16"/>
                <w:szCs w:val="16"/>
              </w:rPr>
              <w:t>200</w:t>
            </w:r>
          </w:p>
        </w:tc>
      </w:tr>
    </w:tbl>
    <w:p w:rsidR="00F01E87" w:rsidRPr="005E3E4B" w:rsidRDefault="00F01E87">
      <w:pPr>
        <w:shd w:val="clear" w:color="000000" w:fill="auto"/>
      </w:pPr>
    </w:p>
    <w:p w:rsidR="00F01E87" w:rsidRPr="005E3E4B" w:rsidRDefault="00F01E87">
      <w:pPr>
        <w:pStyle w:val="Rubrik1"/>
        <w:shd w:val="clear" w:color="000000" w:fill="auto"/>
      </w:pPr>
      <w:r w:rsidRPr="005E3E4B">
        <w:lastRenderedPageBreak/>
        <w:t>Motivering</w:t>
      </w:r>
    </w:p>
    <w:p w:rsidR="00F01E87" w:rsidRPr="005E3E4B" w:rsidRDefault="00F01E87">
      <w:pPr>
        <w:shd w:val="clear" w:color="000000" w:fill="auto"/>
        <w:autoSpaceDE w:val="0"/>
        <w:autoSpaceDN w:val="0"/>
        <w:adjustRightInd w:val="0"/>
        <w:rPr>
          <w:color w:val="000000"/>
        </w:rPr>
      </w:pPr>
      <w:r w:rsidRPr="005E3E4B">
        <w:rPr>
          <w:color w:val="000000"/>
        </w:rPr>
        <w:t>Det svenska försvaret ska omvandlas från ett invasionsförsvar till ett fred</w:t>
      </w:r>
      <w:r w:rsidRPr="005E3E4B">
        <w:rPr>
          <w:color w:val="000000"/>
        </w:rPr>
        <w:t>s</w:t>
      </w:r>
      <w:r w:rsidRPr="005E3E4B">
        <w:rPr>
          <w:color w:val="000000"/>
        </w:rPr>
        <w:t>främjande insatsförsvar, i enlighet med vad riksdagen tidigare har beslutat. Det är utgångspunkten för Miljöpartiet de grönas försvarspolitik. Försvaret ska ha ett tydligt och renodlat uppdrag och det ska uppfyllas på ett kostnad</w:t>
      </w:r>
      <w:r w:rsidRPr="005E3E4B">
        <w:rPr>
          <w:color w:val="000000"/>
        </w:rPr>
        <w:t>s</w:t>
      </w:r>
      <w:r w:rsidRPr="005E3E4B">
        <w:rPr>
          <w:color w:val="000000"/>
        </w:rPr>
        <w:t>effektivt sätt. För detta ändamål krävs fortsatta omfattande omstrukturering</w:t>
      </w:r>
      <w:r w:rsidRPr="005E3E4B">
        <w:rPr>
          <w:color w:val="000000"/>
        </w:rPr>
        <w:t>s</w:t>
      </w:r>
      <w:r w:rsidRPr="005E3E4B">
        <w:rPr>
          <w:color w:val="000000"/>
        </w:rPr>
        <w:t>insatser både inom förbandsverksamheten och inom materielförsörjningen.</w:t>
      </w:r>
    </w:p>
    <w:p w:rsidR="00F01E87" w:rsidRPr="005E3E4B" w:rsidRDefault="00F01E87">
      <w:pPr>
        <w:pStyle w:val="Normaltindrag"/>
        <w:shd w:val="clear" w:color="000000" w:fill="auto"/>
      </w:pPr>
      <w:r w:rsidRPr="005E3E4B">
        <w:t>Miljöpartiet stöder regeringens uttalade ambition att effektivisera försv</w:t>
      </w:r>
      <w:r w:rsidRPr="005E3E4B">
        <w:t>a</w:t>
      </w:r>
      <w:r w:rsidRPr="005E3E4B">
        <w:t>rets materiel</w:t>
      </w:r>
      <w:r w:rsidRPr="005E3E4B">
        <w:softHyphen/>
        <w:t>försörjning med stopp redan nu för vissa materielprojekt och tillsättande av en genom</w:t>
      </w:r>
      <w:r w:rsidRPr="005E3E4B">
        <w:softHyphen/>
        <w:t>förandegrupp för ytterligare effektivisering, som bland annat omfattar anpassning till insatsorganisationens behov och en minskad egenutveckling av materiel. Miljöpartiet anser dock att utgifterna för materielförsörjningen kan reduceras mer än vad regeringen aviserat. Detta kan åstadkommas bland annat genom att även stoppa beslutet om utveckling och köp av nästa generations JAS 39 Gripen. Vidare föreslår Mil</w:t>
      </w:r>
      <w:r w:rsidRPr="005E3E4B">
        <w:t>jöpartiet stopp för utveckling av en ny ubåt.</w:t>
      </w:r>
    </w:p>
    <w:p w:rsidR="00F01E87" w:rsidRPr="005E3E4B" w:rsidRDefault="00F01E87">
      <w:pPr>
        <w:pStyle w:val="Normaltindrag"/>
        <w:shd w:val="clear" w:color="000000" w:fill="auto"/>
      </w:pPr>
      <w:r w:rsidRPr="005E3E4B">
        <w:t>Miljöpartiet föreslår i vår budgetmotion för utgiftsområde 6 att investe</w:t>
      </w:r>
      <w:r w:rsidRPr="005E3E4B">
        <w:t>r</w:t>
      </w:r>
      <w:r w:rsidRPr="005E3E4B">
        <w:t xml:space="preserve">ingsplanen för Försvarsmakten 2009–2011 sänks med 200 miljoner kronor 2009, 1 800 miljoner kronor för 2010 och 1 800 miljoner kronor för år 2011, i förhållande till regerings förslag.  </w:t>
      </w:r>
    </w:p>
    <w:p w:rsidR="00F01E87" w:rsidRPr="005E3E4B" w:rsidRDefault="00F01E87">
      <w:pPr>
        <w:pStyle w:val="Normaltindrag"/>
        <w:shd w:val="clear" w:color="000000" w:fill="auto"/>
      </w:pPr>
      <w:r w:rsidRPr="005E3E4B">
        <w:t xml:space="preserve">Vi avslår också regeringens förslag till bemyndigande på ramanslaget </w:t>
      </w:r>
      <w:r w:rsidRPr="005E3E4B">
        <w:rPr>
          <w:i/>
        </w:rPr>
        <w:t>1:3 Anskaffning av materiel och anläggningar</w:t>
      </w:r>
      <w:r w:rsidRPr="005E3E4B">
        <w:t xml:space="preserve">. Vi föreslår istället ett lägre bemyndigande på totalt 28 miljarder kronor. Detta gör vi för att regeringen vill ta kostnaden för utveckling och uppgradering av JAS 39 Gripen från denna post. </w:t>
      </w:r>
    </w:p>
    <w:p w:rsidR="00F01E87" w:rsidRPr="005E3E4B" w:rsidRDefault="00F01E87">
      <w:pPr>
        <w:pStyle w:val="Normaltindrag"/>
        <w:shd w:val="clear" w:color="000000" w:fill="auto"/>
      </w:pPr>
      <w:r w:rsidRPr="005E3E4B">
        <w:t>När nu regeringen gjort halt istället för att gå vidare med omvandlingen av försvaret anser Miljöpartiet istället att processen måste fortlöpa. Enligt vår bedömning ska anslaget 1:1 Förbandsverksamhet och beredskap minskas med 600 miljoner kronor 2009, vilket motsvarar rege</w:t>
      </w:r>
      <w:r w:rsidRPr="005E3E4B">
        <w:t>ringens ökning på samma anslag, samt med 1 100 miljoner kronor 2010 och 2 120 miljoner kronor 2011. Däremot tillför Miljöpartiet ytterligare 70 miljoner kronor 2009, 100 miljoner kronor 2010 och 120 miljoner kronor 2011 till anslaget 1:2 Fredsfrämjande förbandsinsatser. Detta för att de internationella insatse</w:t>
      </w:r>
      <w:r w:rsidRPr="005E3E4B">
        <w:t>r</w:t>
      </w:r>
      <w:r w:rsidRPr="005E3E4B">
        <w:t>na är en prioriterad uppgift. Utöver regeringens besparingar på 1:3 Anskaf</w:t>
      </w:r>
      <w:r w:rsidRPr="005E3E4B">
        <w:t>f</w:t>
      </w:r>
      <w:r w:rsidRPr="005E3E4B">
        <w:t>ning av materiel och anläggningar vill Miljöpartiet spara ytterligare 200 mi</w:t>
      </w:r>
      <w:r w:rsidRPr="005E3E4B">
        <w:t>l</w:t>
      </w:r>
      <w:r w:rsidRPr="005E3E4B">
        <w:t>joner kronor 2009 och 1 800 miljoner kronor 2010</w:t>
      </w:r>
      <w:r w:rsidRPr="005E3E4B">
        <w:t xml:space="preserve"> och 2011. Vi minskar på anslag 1:5 Forskning och teknik</w:t>
      </w:r>
      <w:r w:rsidRPr="005E3E4B">
        <w:softHyphen/>
        <w:t>utveckling med 50 miljoner kronor för år 2009, 80 miljoner kronor för 2010 och 120 miljoner kronor för 2011. På a</w:t>
      </w:r>
      <w:r w:rsidRPr="005E3E4B">
        <w:t>n</w:t>
      </w:r>
      <w:r w:rsidRPr="005E3E4B">
        <w:t>slag 1:8 Försvarets radioanstalt sparar vi in regeringens ökning på 20 miljoner kronor och drar in ytterligare 100 miljoner kronor från verksamheten. Vi föreslår vidare att 1:9 Totalförsvarets forskningsinstitut inte får några pengar utöver avgiftsintäkter. Vi minskar anslaget med motsvarande belopp, 60 mi</w:t>
      </w:r>
      <w:r w:rsidRPr="005E3E4B">
        <w:t>l</w:t>
      </w:r>
      <w:r w:rsidRPr="005E3E4B">
        <w:t>joner kronor. Miljöpartiet satsar</w:t>
      </w:r>
      <w:r w:rsidRPr="005E3E4B">
        <w:t xml:space="preserve"> på klimatfrämjande åtgärder genom att öve</w:t>
      </w:r>
      <w:r w:rsidRPr="005E3E4B">
        <w:t>r</w:t>
      </w:r>
      <w:r w:rsidRPr="005E3E4B">
        <w:t xml:space="preserve">föra ett större anslag på Myndigheten för samhällsskydd och beredskap, 2:7. Totalt föreslår Miljöpartiet ett anslag på 520 miljoner kronor för 2009–2011 för investeringar för skydd mot naturolyckor med syfte att minska sårbarheten för extrema väderhändelser och långsiktiga klimatförändringar. </w:t>
      </w:r>
    </w:p>
    <w:p w:rsidR="00F01E87" w:rsidRPr="005E3E4B" w:rsidRDefault="00F01E87">
      <w:pPr>
        <w:pStyle w:val="Normaltindrag"/>
        <w:shd w:val="clear" w:color="000000" w:fill="auto"/>
      </w:pPr>
      <w:r w:rsidRPr="005E3E4B">
        <w:t>Anslaget är fördelat med 120 miljoner kronor under 2009 och 200 miljoner kronor under 2010 respektive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E4B">
        <w:trPr>
          <w:cantSplit/>
        </w:trPr>
        <w:tc>
          <w:tcPr>
            <w:tcW w:w="3046" w:type="dxa"/>
          </w:tcPr>
          <w:p w:rsidR="00F01E87" w:rsidRPr="005E3E4B" w:rsidRDefault="00F01E87">
            <w:pPr>
              <w:pStyle w:val="UnderskriftDatum"/>
              <w:shd w:val="clear" w:color="000000" w:fill="auto"/>
              <w:spacing w:before="240"/>
            </w:pPr>
            <w:r w:rsidRPr="005E3E4B">
              <w:t>Stockholm den 6 oktober 2008</w:t>
            </w:r>
          </w:p>
        </w:tc>
        <w:tc>
          <w:tcPr>
            <w:tcW w:w="3047" w:type="dxa"/>
          </w:tcPr>
          <w:p w:rsidR="00F01E87" w:rsidRPr="005E3E4B" w:rsidRDefault="00F01E87">
            <w:pPr>
              <w:pStyle w:val="Underskrifter"/>
              <w:shd w:val="clear" w:color="000000" w:fill="auto"/>
              <w:spacing w:before="240"/>
            </w:pPr>
          </w:p>
        </w:tc>
      </w:tr>
      <w:tr w:rsidR="00000000" w:rsidRPr="005E3E4B">
        <w:trPr>
          <w:cantSplit/>
        </w:trPr>
        <w:tc>
          <w:tcPr>
            <w:tcW w:w="3046" w:type="dxa"/>
          </w:tcPr>
          <w:p w:rsidR="00F01E87" w:rsidRPr="005E3E4B" w:rsidRDefault="00F01E87">
            <w:pPr>
              <w:pStyle w:val="Underskrifter"/>
              <w:shd w:val="clear" w:color="000000" w:fill="auto"/>
            </w:pPr>
            <w:r w:rsidRPr="005E3E4B">
              <w:t>Peter Rådberg (mp)</w:t>
            </w:r>
          </w:p>
        </w:tc>
        <w:tc>
          <w:tcPr>
            <w:tcW w:w="3046" w:type="dxa"/>
          </w:tcPr>
          <w:p w:rsidR="00F01E87" w:rsidRPr="005E3E4B" w:rsidRDefault="00F01E87">
            <w:pPr>
              <w:pStyle w:val="Underskrifter"/>
              <w:shd w:val="clear" w:color="000000" w:fill="auto"/>
            </w:pPr>
          </w:p>
        </w:tc>
      </w:tr>
      <w:tr w:rsidR="00000000" w:rsidRPr="005E3E4B">
        <w:trPr>
          <w:cantSplit/>
        </w:trPr>
        <w:tc>
          <w:tcPr>
            <w:tcW w:w="3046" w:type="dxa"/>
          </w:tcPr>
          <w:p w:rsidR="00F01E87" w:rsidRPr="005E3E4B" w:rsidRDefault="00F01E87">
            <w:pPr>
              <w:pStyle w:val="Underskrifter"/>
              <w:shd w:val="clear" w:color="000000" w:fill="auto"/>
            </w:pPr>
            <w:r w:rsidRPr="005E3E4B">
              <w:t>Maria Wetterstrand (mp)</w:t>
            </w:r>
          </w:p>
        </w:tc>
        <w:tc>
          <w:tcPr>
            <w:tcW w:w="3046" w:type="dxa"/>
          </w:tcPr>
          <w:p w:rsidR="00F01E87" w:rsidRPr="005E3E4B" w:rsidRDefault="00F01E87">
            <w:pPr>
              <w:pStyle w:val="Underskrifter"/>
              <w:shd w:val="clear" w:color="000000" w:fill="auto"/>
            </w:pPr>
            <w:r w:rsidRPr="005E3E4B">
              <w:t>Lage Rahm (mp)</w:t>
            </w:r>
          </w:p>
        </w:tc>
      </w:tr>
      <w:tr w:rsidR="00000000" w:rsidRPr="005E3E4B">
        <w:trPr>
          <w:cantSplit/>
        </w:trPr>
        <w:tc>
          <w:tcPr>
            <w:tcW w:w="3046" w:type="dxa"/>
          </w:tcPr>
          <w:p w:rsidR="00F01E87" w:rsidRPr="005E3E4B" w:rsidRDefault="00F01E87">
            <w:pPr>
              <w:pStyle w:val="Underskrifter"/>
              <w:shd w:val="clear" w:color="000000" w:fill="auto"/>
            </w:pPr>
            <w:r w:rsidRPr="005E3E4B">
              <w:t>Max Andersson (mp)</w:t>
            </w:r>
          </w:p>
        </w:tc>
        <w:tc>
          <w:tcPr>
            <w:tcW w:w="3046" w:type="dxa"/>
          </w:tcPr>
          <w:p w:rsidR="00F01E87" w:rsidRPr="005E3E4B" w:rsidRDefault="00F01E87">
            <w:pPr>
              <w:pStyle w:val="Underskrifter"/>
              <w:shd w:val="clear" w:color="000000" w:fill="auto"/>
            </w:pPr>
            <w:r w:rsidRPr="005E3E4B">
              <w:t>Bodil Ceballos (mp)</w:t>
            </w:r>
          </w:p>
        </w:tc>
      </w:tr>
      <w:tr w:rsidR="00000000" w:rsidRPr="005E3E4B">
        <w:trPr>
          <w:cantSplit/>
        </w:trPr>
        <w:tc>
          <w:tcPr>
            <w:tcW w:w="3046" w:type="dxa"/>
          </w:tcPr>
          <w:p w:rsidR="00F01E87" w:rsidRPr="005E3E4B" w:rsidRDefault="00F01E87">
            <w:pPr>
              <w:pStyle w:val="Underskrifter"/>
              <w:shd w:val="clear" w:color="000000" w:fill="auto"/>
            </w:pPr>
            <w:r w:rsidRPr="005E3E4B">
              <w:t>Ulf Holm (mp)</w:t>
            </w:r>
          </w:p>
        </w:tc>
        <w:tc>
          <w:tcPr>
            <w:tcW w:w="3046" w:type="dxa"/>
          </w:tcPr>
          <w:p w:rsidR="00F01E87" w:rsidRPr="005E3E4B" w:rsidRDefault="00F01E87">
            <w:pPr>
              <w:pStyle w:val="Underskrifter"/>
              <w:shd w:val="clear" w:color="000000" w:fill="auto"/>
            </w:pPr>
          </w:p>
        </w:tc>
      </w:tr>
    </w:tbl>
    <w:p w:rsidR="00F01E87" w:rsidRPr="005E3E4B" w:rsidRDefault="00F01E87">
      <w:pPr>
        <w:pStyle w:val="Normaltindrag"/>
        <w:shd w:val="clear" w:color="000000" w:fill="auto"/>
      </w:pPr>
    </w:p>
    <w:sectPr w:rsidR="00F01E87" w:rsidRPr="005E3E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E87" w:rsidRPr="005E3E4B" w:rsidRDefault="00F01E87">
      <w:r w:rsidRPr="005E3E4B">
        <w:separator/>
      </w:r>
    </w:p>
  </w:endnote>
  <w:endnote w:type="continuationSeparator" w:id="0">
    <w:p w:rsidR="00F01E87" w:rsidRPr="005E3E4B" w:rsidRDefault="00F01E87">
      <w:r w:rsidRPr="005E3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5E3E4B">
    <w:pPr>
      <w:pStyle w:val="Sidfot"/>
    </w:pPr>
    <w:r w:rsidRPr="005E3E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834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87" w:rsidRDefault="00F01E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E87" w:rsidRDefault="00F01E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5E3E4B">
    <w:pPr>
      <w:pStyle w:val="Sidfot"/>
    </w:pPr>
    <w:r w:rsidRPr="005E3E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10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87" w:rsidRDefault="00F01E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E87" w:rsidRDefault="00F01E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5E3E4B">
    <w:pPr>
      <w:pStyle w:val="Sidfot"/>
    </w:pPr>
    <w:r w:rsidRPr="005E3E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718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87" w:rsidRDefault="00F01E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E87" w:rsidRDefault="00F01E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E87" w:rsidRPr="005E3E4B" w:rsidRDefault="00F01E87">
      <w:r w:rsidRPr="005E3E4B">
        <w:separator/>
      </w:r>
    </w:p>
  </w:footnote>
  <w:footnote w:type="continuationSeparator" w:id="0">
    <w:p w:rsidR="00F01E87" w:rsidRPr="005E3E4B" w:rsidRDefault="00F01E87">
      <w:r w:rsidRPr="005E3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5E3E4B">
    <w:pPr>
      <w:pStyle w:val="Sidhuvud"/>
    </w:pPr>
    <w:r w:rsidRPr="005E3E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884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87" w:rsidRDefault="00F01E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E87" w:rsidRDefault="00F01E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5E3E4B">
    <w:pPr>
      <w:pStyle w:val="Sidhuvud"/>
    </w:pPr>
    <w:r w:rsidRPr="005E3E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509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E87" w:rsidRDefault="00F01E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E87" w:rsidRDefault="00F01E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E87" w:rsidRPr="005E3E4B" w:rsidRDefault="00F01E87">
    <w:pPr>
      <w:pStyle w:val="FSHNormal"/>
      <w:tabs>
        <w:tab w:val="right" w:pos="5840"/>
      </w:tabs>
    </w:pPr>
    <w:r w:rsidRPr="005E3E4B">
      <w:br/>
    </w:r>
    <w:r w:rsidRPr="005E3E4B">
      <w:fldChar w:fldCharType="begin" w:fldLock="1"/>
    </w:r>
    <w:r w:rsidRPr="005E3E4B">
      <w:instrText xml:space="preserve"> DOCPROPERTY</w:instrText>
    </w:r>
    <w:r w:rsidRPr="005E3E4B">
      <w:rPr>
        <w:sz w:val="18"/>
      </w:rPr>
      <w:instrText xml:space="preserve"> "YearUser" *\charformat </w:instrText>
    </w:r>
    <w:r w:rsidRPr="005E3E4B">
      <w:fldChar w:fldCharType="separate"/>
    </w:r>
    <w:r w:rsidRPr="005E3E4B">
      <w:t>2008/09</w:t>
    </w:r>
    <w:r w:rsidRPr="005E3E4B">
      <w:fldChar w:fldCharType="end"/>
    </w:r>
    <w:r w:rsidRPr="005E3E4B">
      <w:t xml:space="preserve"> </w:t>
    </w:r>
    <w:r w:rsidRPr="005E3E4B">
      <w:tab/>
      <w:t xml:space="preserve">mnr: </w:t>
    </w:r>
    <w:r w:rsidRPr="005E3E4B">
      <w:fldChar w:fldCharType="begin" w:fldLock="1"/>
    </w:r>
    <w:r w:rsidRPr="005E3E4B">
      <w:instrText xml:space="preserve"> DOCPROPERTY</w:instrText>
    </w:r>
    <w:r w:rsidRPr="005E3E4B">
      <w:rPr>
        <w:sz w:val="18"/>
      </w:rPr>
      <w:instrText xml:space="preserve"> "Motionsnummer" *\charformat </w:instrText>
    </w:r>
    <w:r w:rsidRPr="005E3E4B">
      <w:fldChar w:fldCharType="separate"/>
    </w:r>
    <w:r w:rsidRPr="005E3E4B">
      <w:t>Fö270</w:t>
    </w:r>
    <w:r w:rsidRPr="005E3E4B">
      <w:fldChar w:fldCharType="end"/>
    </w:r>
    <w:r w:rsidRPr="005E3E4B">
      <w:br/>
    </w:r>
    <w:r w:rsidRPr="005E3E4B">
      <w:fldChar w:fldCharType="begin" w:fldLock="1"/>
    </w:r>
    <w:r w:rsidRPr="005E3E4B">
      <w:instrText xml:space="preserve"> DOCPROPERTY</w:instrText>
    </w:r>
    <w:r w:rsidRPr="005E3E4B">
      <w:rPr>
        <w:sz w:val="18"/>
      </w:rPr>
      <w:instrText xml:space="preserve"> "Samling" *\charformat </w:instrText>
    </w:r>
    <w:r w:rsidRPr="005E3E4B">
      <w:fldChar w:fldCharType="end"/>
    </w:r>
    <w:r w:rsidRPr="005E3E4B">
      <w:tab/>
      <w:t xml:space="preserve">pnr: </w:t>
    </w:r>
    <w:r w:rsidRPr="005E3E4B">
      <w:fldChar w:fldCharType="begin" w:fldLock="1"/>
    </w:r>
    <w:r w:rsidRPr="005E3E4B">
      <w:instrText xml:space="preserve"> DOCPROPERTY</w:instrText>
    </w:r>
    <w:r w:rsidRPr="005E3E4B">
      <w:rPr>
        <w:sz w:val="18"/>
      </w:rPr>
      <w:instrText xml:space="preserve"> "Partinummer" *\charformat </w:instrText>
    </w:r>
    <w:r w:rsidRPr="005E3E4B">
      <w:fldChar w:fldCharType="separate"/>
    </w:r>
    <w:r w:rsidRPr="005E3E4B">
      <w:t>mp451</w:t>
    </w:r>
    <w:r w:rsidRPr="005E3E4B">
      <w:fldChar w:fldCharType="end"/>
    </w:r>
  </w:p>
  <w:p w:rsidR="00F01E87" w:rsidRPr="005E3E4B" w:rsidRDefault="00F01E87">
    <w:pPr>
      <w:pStyle w:val="FSHRub1"/>
    </w:pPr>
    <w:r w:rsidRPr="005E3E4B">
      <w:t>Motion till riksdagen</w:t>
    </w:r>
    <w:r w:rsidRPr="005E3E4B">
      <w:br/>
    </w:r>
    <w:r w:rsidRPr="005E3E4B">
      <w:fldChar w:fldCharType="begin" w:fldLock="1"/>
    </w:r>
    <w:r w:rsidRPr="005E3E4B">
      <w:instrText xml:space="preserve"> DOCPROPERTY "YearUser" *\charformat </w:instrText>
    </w:r>
    <w:r w:rsidRPr="005E3E4B">
      <w:fldChar w:fldCharType="separate"/>
    </w:r>
    <w:r w:rsidRPr="005E3E4B">
      <w:t>2008/09</w:t>
    </w:r>
    <w:r w:rsidRPr="005E3E4B">
      <w:fldChar w:fldCharType="end"/>
    </w:r>
    <w:r w:rsidRPr="005E3E4B">
      <w:t>:</w:t>
    </w:r>
    <w:r w:rsidRPr="005E3E4B">
      <w:fldChar w:fldCharType="begin" w:fldLock="1"/>
    </w:r>
    <w:r w:rsidRPr="005E3E4B">
      <w:instrText xml:space="preserve"> DOCPROPERTY "Motionsnummer" *\charformat </w:instrText>
    </w:r>
    <w:r w:rsidRPr="005E3E4B">
      <w:fldChar w:fldCharType="separate"/>
    </w:r>
    <w:r w:rsidRPr="005E3E4B">
      <w:t>Fö270</w:t>
    </w:r>
    <w:r w:rsidRPr="005E3E4B">
      <w:fldChar w:fldCharType="end"/>
    </w:r>
  </w:p>
  <w:p w:rsidR="00F01E87" w:rsidRPr="005E3E4B" w:rsidRDefault="00F01E87">
    <w:pPr>
      <w:pStyle w:val="FSHNormalS5"/>
    </w:pPr>
    <w:r w:rsidRPr="005E3E4B">
      <w:fldChar w:fldCharType="begin" w:fldLock="1"/>
    </w:r>
    <w:r w:rsidRPr="005E3E4B">
      <w:instrText xml:space="preserve"> DOCPROPERTY "MotionarText" *\charformat </w:instrText>
    </w:r>
    <w:r w:rsidRPr="005E3E4B">
      <w:fldChar w:fldCharType="separate"/>
    </w:r>
    <w:r w:rsidRPr="005E3E4B">
      <w:t>av Peter Rådberg m.fl. (mp)</w:t>
    </w:r>
    <w:r w:rsidRPr="005E3E4B">
      <w:fldChar w:fldCharType="end"/>
    </w:r>
    <w:r w:rsidRPr="005E3E4B">
      <w:br/>
    </w:r>
    <w:r w:rsidRPr="005E3E4B">
      <w:fldChar w:fldCharType="begin" w:fldLock="1"/>
    </w:r>
    <w:r w:rsidRPr="005E3E4B">
      <w:instrText xml:space="preserve"> DOCPROPERTY "SvarFrasKort" *\charformat </w:instrText>
    </w:r>
    <w:r w:rsidRPr="005E3E4B">
      <w:fldChar w:fldCharType="end"/>
    </w:r>
  </w:p>
  <w:p w:rsidR="00F01E87" w:rsidRPr="005E3E4B" w:rsidRDefault="00F01E87">
    <w:pPr>
      <w:pStyle w:val="FSHTitel"/>
    </w:pPr>
    <w:r w:rsidRPr="005E3E4B">
      <w:fldChar w:fldCharType="begin" w:fldLock="1"/>
    </w:r>
    <w:r w:rsidRPr="005E3E4B">
      <w:instrText xml:space="preserve"> DOCPROPERTY</w:instrText>
    </w:r>
    <w:r w:rsidRPr="005E3E4B">
      <w:rPr>
        <w:sz w:val="18"/>
      </w:rPr>
      <w:instrText xml:space="preserve"> "RubrikSvar" *\charformat </w:instrText>
    </w:r>
    <w:r w:rsidRPr="005E3E4B">
      <w:fldChar w:fldCharType="separate"/>
    </w:r>
    <w:r w:rsidRPr="005E3E4B">
      <w:t>Utgiftsområde 6 Försvar och samhällets krisberedskap</w:t>
    </w:r>
    <w:r w:rsidRPr="005E3E4B">
      <w:fldChar w:fldCharType="end"/>
    </w:r>
  </w:p>
  <w:p w:rsidR="00F01E87" w:rsidRPr="005E3E4B" w:rsidRDefault="00F01E87">
    <w:pPr>
      <w:pStyle w:val="Normal00"/>
    </w:pPr>
  </w:p>
  <w:p w:rsidR="00F01E87" w:rsidRPr="005E3E4B" w:rsidRDefault="00F01E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02599D"/>
    <w:multiLevelType w:val="hybridMultilevel"/>
    <w:tmpl w:val="4676743A"/>
    <w:lvl w:ilvl="0" w:tplc="2640B3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281320"/>
    <w:multiLevelType w:val="hybridMultilevel"/>
    <w:tmpl w:val="16EE27C0"/>
    <w:lvl w:ilvl="0" w:tplc="FB50D8B4">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num w:numId="1" w16cid:durableId="90396319">
    <w:abstractNumId w:val="8"/>
  </w:num>
  <w:num w:numId="2" w16cid:durableId="1420326174">
    <w:abstractNumId w:val="9"/>
  </w:num>
  <w:num w:numId="3" w16cid:durableId="1491017594">
    <w:abstractNumId w:val="8"/>
  </w:num>
  <w:num w:numId="4" w16cid:durableId="889612827">
    <w:abstractNumId w:val="9"/>
  </w:num>
  <w:num w:numId="5" w16cid:durableId="1641377078">
    <w:abstractNumId w:val="14"/>
  </w:num>
  <w:num w:numId="6" w16cid:durableId="226569947">
    <w:abstractNumId w:val="10"/>
  </w:num>
  <w:num w:numId="7" w16cid:durableId="1092513929">
    <w:abstractNumId w:val="11"/>
  </w:num>
  <w:num w:numId="8" w16cid:durableId="2112505590">
    <w:abstractNumId w:val="13"/>
  </w:num>
  <w:num w:numId="9" w16cid:durableId="254478066">
    <w:abstractNumId w:val="8"/>
  </w:num>
  <w:num w:numId="10" w16cid:durableId="347831149">
    <w:abstractNumId w:val="3"/>
  </w:num>
  <w:num w:numId="11" w16cid:durableId="1544170052">
    <w:abstractNumId w:val="2"/>
  </w:num>
  <w:num w:numId="12" w16cid:durableId="954484565">
    <w:abstractNumId w:val="1"/>
  </w:num>
  <w:num w:numId="13" w16cid:durableId="1040671380">
    <w:abstractNumId w:val="0"/>
  </w:num>
  <w:num w:numId="14" w16cid:durableId="73167730">
    <w:abstractNumId w:val="9"/>
  </w:num>
  <w:num w:numId="15" w16cid:durableId="437604777">
    <w:abstractNumId w:val="7"/>
  </w:num>
  <w:num w:numId="16" w16cid:durableId="2064063621">
    <w:abstractNumId w:val="6"/>
  </w:num>
  <w:num w:numId="17" w16cid:durableId="1487164917">
    <w:abstractNumId w:val="5"/>
  </w:num>
  <w:num w:numId="18" w16cid:durableId="1819106430">
    <w:abstractNumId w:val="4"/>
  </w:num>
  <w:num w:numId="19" w16cid:durableId="426580780">
    <w:abstractNumId w:val="12"/>
  </w:num>
  <w:num w:numId="20" w16cid:durableId="555894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81B8A0A-08CE-44CC-9E69-32C06335E529},{8022D127-CE9D-46CB-B553-D28767AFBAA9},{B40CF4CF-E74B-4017-8D58-93B738EC5F6D},{891F8238-7272-4195-A81B-8E357071C4D2},{44E1179A-EAF6-4300-B094-8294DC01CCC9},{DA08321F-F0BC-4060-A586-E39C9BA97177}"/>
  </w:docVars>
  <w:rsids>
    <w:rsidRoot w:val="00A45AF8"/>
    <w:rsid w:val="005E3E4B"/>
    <w:rsid w:val="00A45AF8"/>
    <w:rsid w:val="00F01E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AC465-A8B8-400F-AAA3-EF9870B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4083</Characters>
  <Application>Microsoft Office Word</Application>
  <DocSecurity>4</DocSecurity>
  <Lines>131</Lines>
  <Paragraphs>73</Paragraphs>
  <ScaleCrop>false</ScaleCrop>
  <HeadingPairs>
    <vt:vector size="2" baseType="variant">
      <vt:variant>
        <vt:lpstr>Rubrik</vt:lpstr>
      </vt:variant>
      <vt:variant>
        <vt:i4>1</vt:i4>
      </vt:variant>
    </vt:vector>
  </HeadingPairs>
  <TitlesOfParts>
    <vt:vector size="1" baseType="lpstr">
      <vt:lpstr>mp451</vt:lpstr>
    </vt:vector>
  </TitlesOfParts>
  <Company>Riksdagen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mp451</dc:title>
  <dc:subject>mp451</dc:subject>
  <dc:creator>Riksdagen</dc:creator>
  <cp:keywords>Riksdagen</cp:keywords>
  <dc:description>TKG-ktrl, MSMQ4mb, PersReg-Distribution mm b-&gt;ny fplogga c-&gt;nygamla s-rosen</dc:description>
  <cp:lastModifiedBy>Lars Brink</cp:lastModifiedBy>
  <cp:revision>2</cp:revision>
  <cp:lastPrinted>2009-02-18T17:07:00Z</cp:lastPrinted>
  <dcterms:created xsi:type="dcterms:W3CDTF">2025-12-17T15:29:00Z</dcterms:created>
  <dcterms:modified xsi:type="dcterms:W3CDTF">2025-12-17T15:29:00Z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(mp)\Wetterstrand, Maria (mp)\Rahm, Lage (mp)\Andersson, Max (mp)\Ceballos,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Maria Wetterstrand (mp), Lage Rahm (mp), Max Andersson (mp), 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20082009000001090112000004510075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20082009000001090112000004510075</vt:lpwstr>
  </property>
  <property fmtid="{D5CDD505-2E9C-101B-9397-08002B2CF9AE}" pid="50" name="nummer">
    <vt:lpwstr>270</vt:lpwstr>
  </property>
  <property fmtid="{D5CDD505-2E9C-101B-9397-08002B2CF9AE}" pid="51" name="utskottsbeteckning">
    <vt:lpwstr>Fö</vt:lpwstr>
  </property>
  <property fmtid="{D5CDD505-2E9C-101B-9397-08002B2CF9AE}" pid="52" name="GlobalUID">
    <vt:lpwstr>{EDC2CAA8-F37F-4C69-B4AF-BA4508BBA08B}</vt:lpwstr>
  </property>
  <property fmtid="{D5CDD505-2E9C-101B-9397-08002B2CF9AE}" pid="53" name="Överföringar">
    <vt:i4>0</vt:i4>
  </property>
  <property fmtid="{D5CDD505-2E9C-101B-9397-08002B2CF9AE}" pid="54" name="Checksum">
    <vt:lpwstr>*0000017993241*</vt:lpwstr>
  </property>
  <property fmtid="{D5CDD505-2E9C-101B-9397-08002B2CF9AE}" pid="55" name="skuggnummer">
    <vt:lpwstr>2851</vt:lpwstr>
  </property>
  <property fmtid="{D5CDD505-2E9C-101B-9397-08002B2CF9AE}" pid="56" name="urixVersion">
    <vt:lpwstr>3.2.0.8</vt:lpwstr>
  </property>
  <property fmtid="{D5CDD505-2E9C-101B-9397-08002B2CF9AE}" pid="57" name="urixOrigin">
    <vt:lpwstr>090402 17:30:15.829</vt:lpwstr>
  </property>
  <property fmtid="{D5CDD505-2E9C-101B-9397-08002B2CF9AE}" pid="58" name="urixGuid">
    <vt:lpwstr>{09A428F5-F17E-4448-B465-37F0D3DCB995}</vt:lpwstr>
  </property>
</Properties>
</file>