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3200F" w14:textId="77777777" w:rsidR="00FB32B9" w:rsidRDefault="00116D2E" w:rsidP="00FB32B9">
      <w:pPr>
        <w:pStyle w:val="UDrubrik"/>
        <w:tabs>
          <w:tab w:val="left" w:pos="1701"/>
          <w:tab w:val="left" w:pos="1985"/>
        </w:tabs>
        <w:rPr>
          <w:rFonts w:cs="Arial"/>
          <w:sz w:val="28"/>
        </w:rPr>
      </w:pPr>
    </w:p>
    <w:p w14:paraId="19632010" w14:textId="77777777" w:rsidR="00FB32B9" w:rsidRDefault="00116D2E" w:rsidP="00FB32B9">
      <w:pPr>
        <w:pStyle w:val="UDrubrik"/>
        <w:tabs>
          <w:tab w:val="left" w:pos="1701"/>
          <w:tab w:val="left" w:pos="1985"/>
        </w:tabs>
        <w:rPr>
          <w:rFonts w:cs="Arial"/>
          <w:sz w:val="28"/>
        </w:rPr>
      </w:pPr>
    </w:p>
    <w:p w14:paraId="19632011" w14:textId="77777777" w:rsidR="00FB32B9" w:rsidRDefault="00116D2E" w:rsidP="00FB32B9">
      <w:pPr>
        <w:pStyle w:val="UDrubrik"/>
        <w:tabs>
          <w:tab w:val="left" w:pos="1701"/>
          <w:tab w:val="left" w:pos="1985"/>
        </w:tabs>
        <w:rPr>
          <w:rFonts w:cs="Arial"/>
          <w:sz w:val="28"/>
        </w:rPr>
      </w:pPr>
    </w:p>
    <w:p w14:paraId="19632012" w14:textId="77777777" w:rsidR="00FB32B9" w:rsidRDefault="00116D2E" w:rsidP="00FB32B9">
      <w:pPr>
        <w:pStyle w:val="UDrubrik"/>
        <w:tabs>
          <w:tab w:val="left" w:pos="1701"/>
          <w:tab w:val="left" w:pos="1985"/>
        </w:tabs>
        <w:rPr>
          <w:rFonts w:cs="Arial"/>
          <w:sz w:val="28"/>
        </w:rPr>
      </w:pPr>
    </w:p>
    <w:p w14:paraId="19632013" w14:textId="1DDC511B" w:rsidR="00FB32B9" w:rsidRDefault="00903B82"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II </w:t>
      </w:r>
      <w:r w:rsidR="00586DAD">
        <w:rPr>
          <w:rFonts w:cs="Arial"/>
          <w:sz w:val="28"/>
        </w:rPr>
        <w:t>2014-05-15 vecka 20</w:t>
      </w:r>
      <w:r>
        <w:rPr>
          <w:rFonts w:cs="Arial"/>
          <w:sz w:val="28"/>
        </w:rPr>
        <w:t>.</w:t>
      </w:r>
    </w:p>
    <w:p w14:paraId="19632014" w14:textId="77777777" w:rsidR="00FB32B9" w:rsidRDefault="00116D2E" w:rsidP="00FB32B9">
      <w:pPr>
        <w:pStyle w:val="Brdtext"/>
      </w:pPr>
    </w:p>
    <w:p w14:paraId="19632015" w14:textId="509B583A" w:rsidR="00FB32B9" w:rsidRDefault="00903B82" w:rsidP="00FB32B9">
      <w:pPr>
        <w:pStyle w:val="Brdtext"/>
      </w:pPr>
      <w:r>
        <w:t xml:space="preserve">Överlämnas för skriftligt samråd till </w:t>
      </w:r>
      <w:r w:rsidR="00586DAD">
        <w:t xml:space="preserve">fredagen den 16 maj 2014, </w:t>
      </w:r>
      <w:proofErr w:type="spellStart"/>
      <w:r w:rsidR="00586DAD">
        <w:t>kl</w:t>
      </w:r>
      <w:proofErr w:type="spellEnd"/>
      <w:r w:rsidR="00586DAD">
        <w:t xml:space="preserve"> 14.00.</w:t>
      </w:r>
    </w:p>
    <w:p w14:paraId="19632016" w14:textId="77777777" w:rsidR="00FB32B9" w:rsidRDefault="00903B82">
      <w:pPr>
        <w:ind w:left="0"/>
      </w:pPr>
      <w:r>
        <w:rPr>
          <w:b/>
          <w:bCs/>
        </w:rPr>
        <w:br w:type="page"/>
      </w:r>
      <w:bookmarkStart w:id="0" w:name="_GoBack"/>
    </w:p>
    <w:bookmarkEnd w:id="0" w:displacedByCustomXml="next"/>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9632017" w14:textId="77777777" w:rsidR="00D957FB" w:rsidRPr="00FB32B9" w:rsidRDefault="00903B82">
          <w:pPr>
            <w:pStyle w:val="Innehllsfrteckningsrubrik"/>
            <w:rPr>
              <w:color w:val="auto"/>
            </w:rPr>
          </w:pPr>
          <w:proofErr w:type="spellStart"/>
          <w:r w:rsidRPr="00FB32B9">
            <w:rPr>
              <w:color w:val="auto"/>
            </w:rPr>
            <w:t>Innehållsförteckning</w:t>
          </w:r>
          <w:proofErr w:type="spellEnd"/>
        </w:p>
        <w:p w14:paraId="19632018" w14:textId="77777777" w:rsidR="00DA7250" w:rsidRPr="00DA7250" w:rsidRDefault="00116D2E" w:rsidP="00DA7250">
          <w:pPr>
            <w:rPr>
              <w:lang w:val="en-US" w:eastAsia="ja-JP"/>
            </w:rPr>
          </w:pPr>
        </w:p>
        <w:p w14:paraId="4F3FF982" w14:textId="77777777" w:rsidR="00D71372" w:rsidRDefault="00903B82">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387906994" w:history="1">
            <w:r w:rsidR="00D71372" w:rsidRPr="0000588D">
              <w:rPr>
                <w:rStyle w:val="Hyperlnk"/>
                <w:noProof/>
              </w:rPr>
              <w:t>1.</w:t>
            </w:r>
            <w:r w:rsidR="00D71372">
              <w:rPr>
                <w:rFonts w:asciiTheme="minorHAnsi" w:eastAsiaTheme="minorEastAsia" w:hAnsiTheme="minorHAnsi" w:cstheme="minorBidi"/>
                <w:noProof/>
                <w:lang w:eastAsia="sv-SE"/>
              </w:rPr>
              <w:tab/>
            </w:r>
            <w:r w:rsidR="00D71372" w:rsidRPr="0000588D">
              <w:rPr>
                <w:rStyle w:val="Hyperlnk"/>
                <w:noProof/>
              </w:rPr>
              <w:t>Case before the General Court:</w:t>
            </w:r>
            <w:r w:rsidR="00D71372">
              <w:rPr>
                <w:noProof/>
                <w:webHidden/>
              </w:rPr>
              <w:tab/>
            </w:r>
            <w:r w:rsidR="00D71372">
              <w:rPr>
                <w:noProof/>
                <w:webHidden/>
              </w:rPr>
              <w:fldChar w:fldCharType="begin"/>
            </w:r>
            <w:r w:rsidR="00D71372">
              <w:rPr>
                <w:noProof/>
                <w:webHidden/>
              </w:rPr>
              <w:instrText xml:space="preserve"> PAGEREF _Toc387906994 \h </w:instrText>
            </w:r>
            <w:r w:rsidR="00D71372">
              <w:rPr>
                <w:noProof/>
                <w:webHidden/>
              </w:rPr>
            </w:r>
            <w:r w:rsidR="00D71372">
              <w:rPr>
                <w:noProof/>
                <w:webHidden/>
              </w:rPr>
              <w:fldChar w:fldCharType="separate"/>
            </w:r>
            <w:r w:rsidR="00D71372">
              <w:rPr>
                <w:noProof/>
                <w:webHidden/>
              </w:rPr>
              <w:t>3</w:t>
            </w:r>
            <w:r w:rsidR="00D71372">
              <w:rPr>
                <w:noProof/>
                <w:webHidden/>
              </w:rPr>
              <w:fldChar w:fldCharType="end"/>
            </w:r>
          </w:hyperlink>
        </w:p>
        <w:p w14:paraId="6453D7DA" w14:textId="77777777" w:rsidR="00D71372" w:rsidRDefault="00D71372">
          <w:pPr>
            <w:pStyle w:val="Innehll1"/>
            <w:tabs>
              <w:tab w:val="left" w:pos="440"/>
              <w:tab w:val="right" w:leader="dot" w:pos="9062"/>
            </w:tabs>
            <w:rPr>
              <w:rFonts w:asciiTheme="minorHAnsi" w:eastAsiaTheme="minorEastAsia" w:hAnsiTheme="minorHAnsi" w:cstheme="minorBidi"/>
              <w:noProof/>
              <w:lang w:eastAsia="sv-SE"/>
            </w:rPr>
          </w:pPr>
          <w:hyperlink w:anchor="_Toc387906995" w:history="1">
            <w:r w:rsidRPr="0000588D">
              <w:rPr>
                <w:rStyle w:val="Hyperlnk"/>
                <w:noProof/>
              </w:rPr>
              <w:t>2.</w:t>
            </w:r>
            <w:r>
              <w:rPr>
                <w:rFonts w:asciiTheme="minorHAnsi" w:eastAsiaTheme="minorEastAsia" w:hAnsiTheme="minorHAnsi" w:cstheme="minorBidi"/>
                <w:noProof/>
                <w:lang w:eastAsia="sv-SE"/>
              </w:rPr>
              <w:tab/>
            </w:r>
            <w:r w:rsidRPr="0000588D">
              <w:rPr>
                <w:rStyle w:val="Hyperlnk"/>
                <w:noProof/>
              </w:rPr>
              <w:t>Case before the General Court</w:t>
            </w:r>
            <w:r>
              <w:rPr>
                <w:noProof/>
                <w:webHidden/>
              </w:rPr>
              <w:tab/>
            </w:r>
            <w:r>
              <w:rPr>
                <w:noProof/>
                <w:webHidden/>
              </w:rPr>
              <w:fldChar w:fldCharType="begin"/>
            </w:r>
            <w:r>
              <w:rPr>
                <w:noProof/>
                <w:webHidden/>
              </w:rPr>
              <w:instrText xml:space="preserve"> PAGEREF _Toc387906995 \h </w:instrText>
            </w:r>
            <w:r>
              <w:rPr>
                <w:noProof/>
                <w:webHidden/>
              </w:rPr>
            </w:r>
            <w:r>
              <w:rPr>
                <w:noProof/>
                <w:webHidden/>
              </w:rPr>
              <w:fldChar w:fldCharType="separate"/>
            </w:r>
            <w:r>
              <w:rPr>
                <w:noProof/>
                <w:webHidden/>
              </w:rPr>
              <w:t>3</w:t>
            </w:r>
            <w:r>
              <w:rPr>
                <w:noProof/>
                <w:webHidden/>
              </w:rPr>
              <w:fldChar w:fldCharType="end"/>
            </w:r>
          </w:hyperlink>
        </w:p>
        <w:p w14:paraId="7F8CA80C" w14:textId="77777777" w:rsidR="00D71372" w:rsidRDefault="00D71372">
          <w:pPr>
            <w:pStyle w:val="Innehll1"/>
            <w:tabs>
              <w:tab w:val="left" w:pos="440"/>
              <w:tab w:val="right" w:leader="dot" w:pos="9062"/>
            </w:tabs>
            <w:rPr>
              <w:rFonts w:asciiTheme="minorHAnsi" w:eastAsiaTheme="minorEastAsia" w:hAnsiTheme="minorHAnsi" w:cstheme="minorBidi"/>
              <w:noProof/>
              <w:lang w:eastAsia="sv-SE"/>
            </w:rPr>
          </w:pPr>
          <w:hyperlink w:anchor="_Toc387906996" w:history="1">
            <w:r w:rsidRPr="0000588D">
              <w:rPr>
                <w:rStyle w:val="Hyperlnk"/>
                <w:noProof/>
              </w:rPr>
              <w:t>3.</w:t>
            </w:r>
            <w:r>
              <w:rPr>
                <w:rFonts w:asciiTheme="minorHAnsi" w:eastAsiaTheme="minorEastAsia" w:hAnsiTheme="minorHAnsi" w:cstheme="minorBidi"/>
                <w:noProof/>
                <w:lang w:eastAsia="sv-SE"/>
              </w:rPr>
              <w:tab/>
            </w:r>
            <w:r w:rsidRPr="0000588D">
              <w:rPr>
                <w:rStyle w:val="Hyperlnk"/>
                <w:noProof/>
              </w:rPr>
              <w:t>Case before the General Court:</w:t>
            </w:r>
            <w:r>
              <w:rPr>
                <w:noProof/>
                <w:webHidden/>
              </w:rPr>
              <w:tab/>
            </w:r>
            <w:r>
              <w:rPr>
                <w:noProof/>
                <w:webHidden/>
              </w:rPr>
              <w:fldChar w:fldCharType="begin"/>
            </w:r>
            <w:r>
              <w:rPr>
                <w:noProof/>
                <w:webHidden/>
              </w:rPr>
              <w:instrText xml:space="preserve"> PAGEREF _Toc387906996 \h </w:instrText>
            </w:r>
            <w:r>
              <w:rPr>
                <w:noProof/>
                <w:webHidden/>
              </w:rPr>
            </w:r>
            <w:r>
              <w:rPr>
                <w:noProof/>
                <w:webHidden/>
              </w:rPr>
              <w:fldChar w:fldCharType="separate"/>
            </w:r>
            <w:r>
              <w:rPr>
                <w:noProof/>
                <w:webHidden/>
              </w:rPr>
              <w:t>3</w:t>
            </w:r>
            <w:r>
              <w:rPr>
                <w:noProof/>
                <w:webHidden/>
              </w:rPr>
              <w:fldChar w:fldCharType="end"/>
            </w:r>
          </w:hyperlink>
        </w:p>
        <w:p w14:paraId="5217DD1A" w14:textId="77777777" w:rsidR="00D71372" w:rsidRDefault="00D71372">
          <w:pPr>
            <w:pStyle w:val="Innehll1"/>
            <w:tabs>
              <w:tab w:val="left" w:pos="440"/>
              <w:tab w:val="right" w:leader="dot" w:pos="9062"/>
            </w:tabs>
            <w:rPr>
              <w:rFonts w:asciiTheme="minorHAnsi" w:eastAsiaTheme="minorEastAsia" w:hAnsiTheme="minorHAnsi" w:cstheme="minorBidi"/>
              <w:noProof/>
              <w:lang w:eastAsia="sv-SE"/>
            </w:rPr>
          </w:pPr>
          <w:hyperlink w:anchor="_Toc387906997" w:history="1">
            <w:r w:rsidRPr="0000588D">
              <w:rPr>
                <w:rStyle w:val="Hyperlnk"/>
                <w:noProof/>
              </w:rPr>
              <w:t>4.</w:t>
            </w:r>
            <w:r>
              <w:rPr>
                <w:rFonts w:asciiTheme="minorHAnsi" w:eastAsiaTheme="minorEastAsia" w:hAnsiTheme="minorHAnsi" w:cstheme="minorBidi"/>
                <w:noProof/>
                <w:lang w:eastAsia="sv-SE"/>
              </w:rPr>
              <w:tab/>
            </w:r>
            <w:r w:rsidRPr="0000588D">
              <w:rPr>
                <w:rStyle w:val="Hyperlnk"/>
                <w:noProof/>
              </w:rPr>
              <w:t>Case before the General Court:</w:t>
            </w:r>
            <w:r>
              <w:rPr>
                <w:noProof/>
                <w:webHidden/>
              </w:rPr>
              <w:tab/>
            </w:r>
            <w:r>
              <w:rPr>
                <w:noProof/>
                <w:webHidden/>
              </w:rPr>
              <w:fldChar w:fldCharType="begin"/>
            </w:r>
            <w:r>
              <w:rPr>
                <w:noProof/>
                <w:webHidden/>
              </w:rPr>
              <w:instrText xml:space="preserve"> PAGEREF _Toc387906997 \h </w:instrText>
            </w:r>
            <w:r>
              <w:rPr>
                <w:noProof/>
                <w:webHidden/>
              </w:rPr>
            </w:r>
            <w:r>
              <w:rPr>
                <w:noProof/>
                <w:webHidden/>
              </w:rPr>
              <w:fldChar w:fldCharType="separate"/>
            </w:r>
            <w:r>
              <w:rPr>
                <w:noProof/>
                <w:webHidden/>
              </w:rPr>
              <w:t>3</w:t>
            </w:r>
            <w:r>
              <w:rPr>
                <w:noProof/>
                <w:webHidden/>
              </w:rPr>
              <w:fldChar w:fldCharType="end"/>
            </w:r>
          </w:hyperlink>
        </w:p>
        <w:p w14:paraId="788A1B50" w14:textId="77777777" w:rsidR="00D71372" w:rsidRDefault="00D71372">
          <w:pPr>
            <w:pStyle w:val="Innehll1"/>
            <w:tabs>
              <w:tab w:val="left" w:pos="440"/>
              <w:tab w:val="right" w:leader="dot" w:pos="9062"/>
            </w:tabs>
            <w:rPr>
              <w:rFonts w:asciiTheme="minorHAnsi" w:eastAsiaTheme="minorEastAsia" w:hAnsiTheme="minorHAnsi" w:cstheme="minorBidi"/>
              <w:noProof/>
              <w:lang w:eastAsia="sv-SE"/>
            </w:rPr>
          </w:pPr>
          <w:hyperlink w:anchor="_Toc387906998" w:history="1">
            <w:r w:rsidRPr="0000588D">
              <w:rPr>
                <w:rStyle w:val="Hyperlnk"/>
                <w:noProof/>
              </w:rPr>
              <w:t>5.</w:t>
            </w:r>
            <w:r>
              <w:rPr>
                <w:rFonts w:asciiTheme="minorHAnsi" w:eastAsiaTheme="minorEastAsia" w:hAnsiTheme="minorHAnsi" w:cstheme="minorBidi"/>
                <w:noProof/>
                <w:lang w:eastAsia="sv-SE"/>
              </w:rPr>
              <w:tab/>
            </w:r>
            <w:r w:rsidRPr="0000588D">
              <w:rPr>
                <w:rStyle w:val="Hyperlnk"/>
                <w:noProof/>
              </w:rPr>
              <w:t>Transparency - Public access to documents</w:t>
            </w:r>
            <w:r>
              <w:rPr>
                <w:noProof/>
                <w:webHidden/>
              </w:rPr>
              <w:tab/>
            </w:r>
            <w:r>
              <w:rPr>
                <w:noProof/>
                <w:webHidden/>
              </w:rPr>
              <w:fldChar w:fldCharType="begin"/>
            </w:r>
            <w:r>
              <w:rPr>
                <w:noProof/>
                <w:webHidden/>
              </w:rPr>
              <w:instrText xml:space="preserve"> PAGEREF _Toc387906998 \h </w:instrText>
            </w:r>
            <w:r>
              <w:rPr>
                <w:noProof/>
                <w:webHidden/>
              </w:rPr>
            </w:r>
            <w:r>
              <w:rPr>
                <w:noProof/>
                <w:webHidden/>
              </w:rPr>
              <w:fldChar w:fldCharType="separate"/>
            </w:r>
            <w:r>
              <w:rPr>
                <w:noProof/>
                <w:webHidden/>
              </w:rPr>
              <w:t>3</w:t>
            </w:r>
            <w:r>
              <w:rPr>
                <w:noProof/>
                <w:webHidden/>
              </w:rPr>
              <w:fldChar w:fldCharType="end"/>
            </w:r>
          </w:hyperlink>
        </w:p>
        <w:p w14:paraId="6546C957" w14:textId="77777777" w:rsidR="00D71372" w:rsidRDefault="00D71372">
          <w:pPr>
            <w:pStyle w:val="Innehll1"/>
            <w:tabs>
              <w:tab w:val="left" w:pos="440"/>
              <w:tab w:val="right" w:leader="dot" w:pos="9062"/>
            </w:tabs>
            <w:rPr>
              <w:rFonts w:asciiTheme="minorHAnsi" w:eastAsiaTheme="minorEastAsia" w:hAnsiTheme="minorHAnsi" w:cstheme="minorBidi"/>
              <w:noProof/>
              <w:lang w:eastAsia="sv-SE"/>
            </w:rPr>
          </w:pPr>
          <w:hyperlink w:anchor="_Toc387906999" w:history="1">
            <w:r w:rsidRPr="0000588D">
              <w:rPr>
                <w:rStyle w:val="Hyperlnk"/>
                <w:noProof/>
              </w:rPr>
              <w:t>6.</w:t>
            </w:r>
            <w:r>
              <w:rPr>
                <w:rFonts w:asciiTheme="minorHAnsi" w:eastAsiaTheme="minorEastAsia" w:hAnsiTheme="minorHAnsi" w:cstheme="minorBidi"/>
                <w:noProof/>
                <w:lang w:eastAsia="sv-SE"/>
              </w:rPr>
              <w:tab/>
            </w:r>
            <w:r w:rsidRPr="0000588D">
              <w:rPr>
                <w:rStyle w:val="Hyperlnk"/>
                <w:noProof/>
              </w:rPr>
              <w:t>Committee of the Regions</w:t>
            </w:r>
            <w:r>
              <w:rPr>
                <w:noProof/>
                <w:webHidden/>
              </w:rPr>
              <w:tab/>
            </w:r>
            <w:r>
              <w:rPr>
                <w:noProof/>
                <w:webHidden/>
              </w:rPr>
              <w:fldChar w:fldCharType="begin"/>
            </w:r>
            <w:r>
              <w:rPr>
                <w:noProof/>
                <w:webHidden/>
              </w:rPr>
              <w:instrText xml:space="preserve"> PAGEREF _Toc387906999 \h </w:instrText>
            </w:r>
            <w:r>
              <w:rPr>
                <w:noProof/>
                <w:webHidden/>
              </w:rPr>
            </w:r>
            <w:r>
              <w:rPr>
                <w:noProof/>
                <w:webHidden/>
              </w:rPr>
              <w:fldChar w:fldCharType="separate"/>
            </w:r>
            <w:r>
              <w:rPr>
                <w:noProof/>
                <w:webHidden/>
              </w:rPr>
              <w:t>4</w:t>
            </w:r>
            <w:r>
              <w:rPr>
                <w:noProof/>
                <w:webHidden/>
              </w:rPr>
              <w:fldChar w:fldCharType="end"/>
            </w:r>
          </w:hyperlink>
        </w:p>
        <w:p w14:paraId="67A7036B" w14:textId="77777777" w:rsidR="00D71372" w:rsidRDefault="00D71372">
          <w:pPr>
            <w:pStyle w:val="Innehll1"/>
            <w:tabs>
              <w:tab w:val="left" w:pos="440"/>
              <w:tab w:val="right" w:leader="dot" w:pos="9062"/>
            </w:tabs>
            <w:rPr>
              <w:rFonts w:asciiTheme="minorHAnsi" w:eastAsiaTheme="minorEastAsia" w:hAnsiTheme="minorHAnsi" w:cstheme="minorBidi"/>
              <w:noProof/>
              <w:lang w:eastAsia="sv-SE"/>
            </w:rPr>
          </w:pPr>
          <w:hyperlink w:anchor="_Toc387907000" w:history="1">
            <w:r w:rsidRPr="0000588D">
              <w:rPr>
                <w:rStyle w:val="Hyperlnk"/>
                <w:noProof/>
              </w:rPr>
              <w:t>7.</w:t>
            </w:r>
            <w:r>
              <w:rPr>
                <w:rFonts w:asciiTheme="minorHAnsi" w:eastAsiaTheme="minorEastAsia" w:hAnsiTheme="minorHAnsi" w:cstheme="minorBidi"/>
                <w:noProof/>
                <w:lang w:eastAsia="sv-SE"/>
              </w:rPr>
              <w:tab/>
            </w:r>
            <w:r w:rsidRPr="0000588D">
              <w:rPr>
                <w:rStyle w:val="Hyperlnk"/>
                <w:noProof/>
              </w:rPr>
              <w:t>Draft Council conclusions on Special report No 16/2013: Taking stock of "single audit" and the Commission's reliance on the work of national audit authorities in Cohesion</w:t>
            </w:r>
            <w:r>
              <w:rPr>
                <w:noProof/>
                <w:webHidden/>
              </w:rPr>
              <w:tab/>
            </w:r>
            <w:r>
              <w:rPr>
                <w:noProof/>
                <w:webHidden/>
              </w:rPr>
              <w:fldChar w:fldCharType="begin"/>
            </w:r>
            <w:r>
              <w:rPr>
                <w:noProof/>
                <w:webHidden/>
              </w:rPr>
              <w:instrText xml:space="preserve"> PAGEREF _Toc387907000 \h </w:instrText>
            </w:r>
            <w:r>
              <w:rPr>
                <w:noProof/>
                <w:webHidden/>
              </w:rPr>
            </w:r>
            <w:r>
              <w:rPr>
                <w:noProof/>
                <w:webHidden/>
              </w:rPr>
              <w:fldChar w:fldCharType="separate"/>
            </w:r>
            <w:r>
              <w:rPr>
                <w:noProof/>
                <w:webHidden/>
              </w:rPr>
              <w:t>4</w:t>
            </w:r>
            <w:r>
              <w:rPr>
                <w:noProof/>
                <w:webHidden/>
              </w:rPr>
              <w:fldChar w:fldCharType="end"/>
            </w:r>
          </w:hyperlink>
        </w:p>
        <w:p w14:paraId="0D3B0088" w14:textId="77777777" w:rsidR="00D71372" w:rsidRDefault="00D71372">
          <w:pPr>
            <w:pStyle w:val="Innehll1"/>
            <w:tabs>
              <w:tab w:val="left" w:pos="440"/>
              <w:tab w:val="right" w:leader="dot" w:pos="9062"/>
            </w:tabs>
            <w:rPr>
              <w:rFonts w:asciiTheme="minorHAnsi" w:eastAsiaTheme="minorEastAsia" w:hAnsiTheme="minorHAnsi" w:cstheme="minorBidi"/>
              <w:noProof/>
              <w:lang w:eastAsia="sv-SE"/>
            </w:rPr>
          </w:pPr>
          <w:hyperlink w:anchor="_Toc387907001" w:history="1">
            <w:r w:rsidRPr="0000588D">
              <w:rPr>
                <w:rStyle w:val="Hyperlnk"/>
                <w:noProof/>
              </w:rPr>
              <w:t>8.</w:t>
            </w:r>
            <w:r>
              <w:rPr>
                <w:rFonts w:asciiTheme="minorHAnsi" w:eastAsiaTheme="minorEastAsia" w:hAnsiTheme="minorHAnsi" w:cstheme="minorBidi"/>
                <w:noProof/>
                <w:lang w:eastAsia="sv-SE"/>
              </w:rPr>
              <w:tab/>
            </w:r>
            <w:r w:rsidRPr="0000588D">
              <w:rPr>
                <w:rStyle w:val="Hyperlnk"/>
                <w:noProof/>
              </w:rPr>
              <w:t>Presidency Information Note on the Informal Ministerial Meeting for Cohesion in Athens on 24-25 April 2014</w:t>
            </w:r>
            <w:r>
              <w:rPr>
                <w:noProof/>
                <w:webHidden/>
              </w:rPr>
              <w:tab/>
            </w:r>
            <w:r>
              <w:rPr>
                <w:noProof/>
                <w:webHidden/>
              </w:rPr>
              <w:fldChar w:fldCharType="begin"/>
            </w:r>
            <w:r>
              <w:rPr>
                <w:noProof/>
                <w:webHidden/>
              </w:rPr>
              <w:instrText xml:space="preserve"> PAGEREF _Toc387907001 \h </w:instrText>
            </w:r>
            <w:r>
              <w:rPr>
                <w:noProof/>
                <w:webHidden/>
              </w:rPr>
            </w:r>
            <w:r>
              <w:rPr>
                <w:noProof/>
                <w:webHidden/>
              </w:rPr>
              <w:fldChar w:fldCharType="separate"/>
            </w:r>
            <w:r>
              <w:rPr>
                <w:noProof/>
                <w:webHidden/>
              </w:rPr>
              <w:t>5</w:t>
            </w:r>
            <w:r>
              <w:rPr>
                <w:noProof/>
                <w:webHidden/>
              </w:rPr>
              <w:fldChar w:fldCharType="end"/>
            </w:r>
          </w:hyperlink>
        </w:p>
        <w:p w14:paraId="2B902106" w14:textId="77777777" w:rsidR="00D71372" w:rsidRDefault="00D71372">
          <w:pPr>
            <w:pStyle w:val="Innehll1"/>
            <w:tabs>
              <w:tab w:val="left" w:pos="440"/>
              <w:tab w:val="right" w:leader="dot" w:pos="9062"/>
            </w:tabs>
            <w:rPr>
              <w:rFonts w:asciiTheme="minorHAnsi" w:eastAsiaTheme="minorEastAsia" w:hAnsiTheme="minorHAnsi" w:cstheme="minorBidi"/>
              <w:noProof/>
              <w:lang w:eastAsia="sv-SE"/>
            </w:rPr>
          </w:pPr>
          <w:hyperlink w:anchor="_Toc387907002" w:history="1">
            <w:r w:rsidRPr="0000588D">
              <w:rPr>
                <w:rStyle w:val="Hyperlnk"/>
                <w:noProof/>
              </w:rPr>
              <w:t>9.</w:t>
            </w:r>
            <w:r>
              <w:rPr>
                <w:rFonts w:asciiTheme="minorHAnsi" w:eastAsiaTheme="minorEastAsia" w:hAnsiTheme="minorHAnsi" w:cstheme="minorBidi"/>
                <w:noProof/>
                <w:lang w:eastAsia="sv-SE"/>
              </w:rPr>
              <w:tab/>
            </w:r>
            <w:r w:rsidRPr="0000588D">
              <w:rPr>
                <w:rStyle w:val="Hyperlnk"/>
                <w:noProof/>
              </w:rPr>
              <w:t>Adoption of draft Council Conclusions - "Preventing and combating all forms of violence against women and girls, including female genital mutilation"</w:t>
            </w:r>
            <w:r>
              <w:rPr>
                <w:noProof/>
                <w:webHidden/>
              </w:rPr>
              <w:tab/>
            </w:r>
            <w:r>
              <w:rPr>
                <w:noProof/>
                <w:webHidden/>
              </w:rPr>
              <w:fldChar w:fldCharType="begin"/>
            </w:r>
            <w:r>
              <w:rPr>
                <w:noProof/>
                <w:webHidden/>
              </w:rPr>
              <w:instrText xml:space="preserve"> PAGEREF _Toc387907002 \h </w:instrText>
            </w:r>
            <w:r>
              <w:rPr>
                <w:noProof/>
                <w:webHidden/>
              </w:rPr>
            </w:r>
            <w:r>
              <w:rPr>
                <w:noProof/>
                <w:webHidden/>
              </w:rPr>
              <w:fldChar w:fldCharType="separate"/>
            </w:r>
            <w:r>
              <w:rPr>
                <w:noProof/>
                <w:webHidden/>
              </w:rPr>
              <w:t>5</w:t>
            </w:r>
            <w:r>
              <w:rPr>
                <w:noProof/>
                <w:webHidden/>
              </w:rPr>
              <w:fldChar w:fldCharType="end"/>
            </w:r>
          </w:hyperlink>
        </w:p>
        <w:p w14:paraId="534F9ED2" w14:textId="77777777" w:rsidR="00D71372" w:rsidRDefault="00D71372">
          <w:pPr>
            <w:pStyle w:val="Innehll1"/>
            <w:tabs>
              <w:tab w:val="left" w:pos="660"/>
              <w:tab w:val="right" w:leader="dot" w:pos="9062"/>
            </w:tabs>
            <w:rPr>
              <w:rFonts w:asciiTheme="minorHAnsi" w:eastAsiaTheme="minorEastAsia" w:hAnsiTheme="minorHAnsi" w:cstheme="minorBidi"/>
              <w:noProof/>
              <w:lang w:eastAsia="sv-SE"/>
            </w:rPr>
          </w:pPr>
          <w:hyperlink w:anchor="_Toc387907003" w:history="1">
            <w:r w:rsidRPr="0000588D">
              <w:rPr>
                <w:rStyle w:val="Hyperlnk"/>
                <w:noProof/>
              </w:rPr>
              <w:t>10.</w:t>
            </w:r>
            <w:r>
              <w:rPr>
                <w:rFonts w:asciiTheme="minorHAnsi" w:eastAsiaTheme="minorEastAsia" w:hAnsiTheme="minorHAnsi" w:cstheme="minorBidi"/>
                <w:noProof/>
                <w:lang w:eastAsia="sv-SE"/>
              </w:rPr>
              <w:tab/>
            </w:r>
            <w:r w:rsidRPr="0000588D">
              <w:rPr>
                <w:rStyle w:val="Hyperlnk"/>
                <w:noProof/>
              </w:rPr>
              <w:t>Adoption of the Council Decision on the conclusion of the Arrangement between the European Union and the Principality of Liechtenstein on the modalities of its participation in the European Asylum Support Office</w:t>
            </w:r>
            <w:r>
              <w:rPr>
                <w:noProof/>
                <w:webHidden/>
              </w:rPr>
              <w:tab/>
            </w:r>
            <w:r>
              <w:rPr>
                <w:noProof/>
                <w:webHidden/>
              </w:rPr>
              <w:fldChar w:fldCharType="begin"/>
            </w:r>
            <w:r>
              <w:rPr>
                <w:noProof/>
                <w:webHidden/>
              </w:rPr>
              <w:instrText xml:space="preserve"> PAGEREF _Toc387907003 \h </w:instrText>
            </w:r>
            <w:r>
              <w:rPr>
                <w:noProof/>
                <w:webHidden/>
              </w:rPr>
            </w:r>
            <w:r>
              <w:rPr>
                <w:noProof/>
                <w:webHidden/>
              </w:rPr>
              <w:fldChar w:fldCharType="separate"/>
            </w:r>
            <w:r>
              <w:rPr>
                <w:noProof/>
                <w:webHidden/>
              </w:rPr>
              <w:t>6</w:t>
            </w:r>
            <w:r>
              <w:rPr>
                <w:noProof/>
                <w:webHidden/>
              </w:rPr>
              <w:fldChar w:fldCharType="end"/>
            </w:r>
          </w:hyperlink>
        </w:p>
        <w:p w14:paraId="308CCE9C" w14:textId="77777777" w:rsidR="00D71372" w:rsidRDefault="00D71372">
          <w:pPr>
            <w:pStyle w:val="Innehll1"/>
            <w:tabs>
              <w:tab w:val="left" w:pos="660"/>
              <w:tab w:val="right" w:leader="dot" w:pos="9062"/>
            </w:tabs>
            <w:rPr>
              <w:rFonts w:asciiTheme="minorHAnsi" w:eastAsiaTheme="minorEastAsia" w:hAnsiTheme="minorHAnsi" w:cstheme="minorBidi"/>
              <w:noProof/>
              <w:lang w:eastAsia="sv-SE"/>
            </w:rPr>
          </w:pPr>
          <w:hyperlink w:anchor="_Toc387907004" w:history="1">
            <w:r w:rsidRPr="0000588D">
              <w:rPr>
                <w:rStyle w:val="Hyperlnk"/>
                <w:noProof/>
              </w:rPr>
              <w:t>11.</w:t>
            </w:r>
            <w:r>
              <w:rPr>
                <w:rFonts w:asciiTheme="minorHAnsi" w:eastAsiaTheme="minorEastAsia" w:hAnsiTheme="minorHAnsi" w:cstheme="minorBidi"/>
                <w:noProof/>
                <w:lang w:eastAsia="sv-SE"/>
              </w:rPr>
              <w:tab/>
            </w:r>
            <w:r w:rsidRPr="0000588D">
              <w:rPr>
                <w:rStyle w:val="Hyperlnk"/>
                <w:noProof/>
              </w:rPr>
              <w:t>Adoption of the Council Decision on the conclusion of the Arrangement between the European Union and the Kingdom of Norway on the modalities of its participation in the European Asylum Support Office</w:t>
            </w:r>
            <w:r>
              <w:rPr>
                <w:noProof/>
                <w:webHidden/>
              </w:rPr>
              <w:tab/>
            </w:r>
            <w:r>
              <w:rPr>
                <w:noProof/>
                <w:webHidden/>
              </w:rPr>
              <w:fldChar w:fldCharType="begin"/>
            </w:r>
            <w:r>
              <w:rPr>
                <w:noProof/>
                <w:webHidden/>
              </w:rPr>
              <w:instrText xml:space="preserve"> PAGEREF _Toc387907004 \h </w:instrText>
            </w:r>
            <w:r>
              <w:rPr>
                <w:noProof/>
                <w:webHidden/>
              </w:rPr>
            </w:r>
            <w:r>
              <w:rPr>
                <w:noProof/>
                <w:webHidden/>
              </w:rPr>
              <w:fldChar w:fldCharType="separate"/>
            </w:r>
            <w:r>
              <w:rPr>
                <w:noProof/>
                <w:webHidden/>
              </w:rPr>
              <w:t>7</w:t>
            </w:r>
            <w:r>
              <w:rPr>
                <w:noProof/>
                <w:webHidden/>
              </w:rPr>
              <w:fldChar w:fldCharType="end"/>
            </w:r>
          </w:hyperlink>
        </w:p>
        <w:p w14:paraId="24DEF4DD" w14:textId="77777777" w:rsidR="00D71372" w:rsidRDefault="00D71372">
          <w:pPr>
            <w:pStyle w:val="Innehll1"/>
            <w:tabs>
              <w:tab w:val="left" w:pos="660"/>
              <w:tab w:val="right" w:leader="dot" w:pos="9062"/>
            </w:tabs>
            <w:rPr>
              <w:rFonts w:asciiTheme="minorHAnsi" w:eastAsiaTheme="minorEastAsia" w:hAnsiTheme="minorHAnsi" w:cstheme="minorBidi"/>
              <w:noProof/>
              <w:lang w:eastAsia="sv-SE"/>
            </w:rPr>
          </w:pPr>
          <w:hyperlink w:anchor="_Toc387907005" w:history="1">
            <w:r w:rsidRPr="0000588D">
              <w:rPr>
                <w:rStyle w:val="Hyperlnk"/>
                <w:noProof/>
              </w:rPr>
              <w:t>12.</w:t>
            </w:r>
            <w:r>
              <w:rPr>
                <w:rFonts w:asciiTheme="minorHAnsi" w:eastAsiaTheme="minorEastAsia" w:hAnsiTheme="minorHAnsi" w:cstheme="minorBidi"/>
                <w:noProof/>
                <w:lang w:eastAsia="sv-SE"/>
              </w:rPr>
              <w:tab/>
            </w:r>
            <w:r w:rsidRPr="0000588D">
              <w:rPr>
                <w:rStyle w:val="Hyperlnk"/>
                <w:noProof/>
              </w:rPr>
              <w:t>Council Decision on the position to be adopted, on behalf of the European Union, in the EEA Joint Committee concerning an amendment to Protocol 31 to the EEA Agreement, on cooperation in specific fields outside the four freedoms (Employment and Social Innovation)</w:t>
            </w:r>
            <w:r>
              <w:rPr>
                <w:noProof/>
                <w:webHidden/>
              </w:rPr>
              <w:tab/>
            </w:r>
            <w:r>
              <w:rPr>
                <w:noProof/>
                <w:webHidden/>
              </w:rPr>
              <w:fldChar w:fldCharType="begin"/>
            </w:r>
            <w:r>
              <w:rPr>
                <w:noProof/>
                <w:webHidden/>
              </w:rPr>
              <w:instrText xml:space="preserve"> PAGEREF _Toc387907005 \h </w:instrText>
            </w:r>
            <w:r>
              <w:rPr>
                <w:noProof/>
                <w:webHidden/>
              </w:rPr>
            </w:r>
            <w:r>
              <w:rPr>
                <w:noProof/>
                <w:webHidden/>
              </w:rPr>
              <w:fldChar w:fldCharType="separate"/>
            </w:r>
            <w:r>
              <w:rPr>
                <w:noProof/>
                <w:webHidden/>
              </w:rPr>
              <w:t>7</w:t>
            </w:r>
            <w:r>
              <w:rPr>
                <w:noProof/>
                <w:webHidden/>
              </w:rPr>
              <w:fldChar w:fldCharType="end"/>
            </w:r>
          </w:hyperlink>
        </w:p>
        <w:p w14:paraId="186492FC" w14:textId="77777777" w:rsidR="00D71372" w:rsidRDefault="00D71372">
          <w:pPr>
            <w:pStyle w:val="Innehll1"/>
            <w:tabs>
              <w:tab w:val="left" w:pos="660"/>
              <w:tab w:val="right" w:leader="dot" w:pos="9062"/>
            </w:tabs>
            <w:rPr>
              <w:rFonts w:asciiTheme="minorHAnsi" w:eastAsiaTheme="minorEastAsia" w:hAnsiTheme="minorHAnsi" w:cstheme="minorBidi"/>
              <w:noProof/>
              <w:lang w:eastAsia="sv-SE"/>
            </w:rPr>
          </w:pPr>
          <w:hyperlink w:anchor="_Toc387907006" w:history="1">
            <w:r w:rsidRPr="0000588D">
              <w:rPr>
                <w:rStyle w:val="Hyperlnk"/>
                <w:noProof/>
              </w:rPr>
              <w:t>13.</w:t>
            </w:r>
            <w:r>
              <w:rPr>
                <w:rFonts w:asciiTheme="minorHAnsi" w:eastAsiaTheme="minorEastAsia" w:hAnsiTheme="minorHAnsi" w:cstheme="minorBidi"/>
                <w:noProof/>
                <w:lang w:eastAsia="sv-SE"/>
              </w:rPr>
              <w:tab/>
            </w:r>
            <w:r w:rsidRPr="0000588D">
              <w:rPr>
                <w:rStyle w:val="Hyperlnk"/>
                <w:noProof/>
              </w:rPr>
              <w:t>Draft Council Decision repealing Decision 2010/371/EU of 7 June 2010 concerning the conclusion of consultations with the Republic of Madagascar under Article 96 of the ACP-EU Partnership Agreement</w:t>
            </w:r>
            <w:r>
              <w:rPr>
                <w:noProof/>
                <w:webHidden/>
              </w:rPr>
              <w:tab/>
            </w:r>
            <w:r>
              <w:rPr>
                <w:noProof/>
                <w:webHidden/>
              </w:rPr>
              <w:fldChar w:fldCharType="begin"/>
            </w:r>
            <w:r>
              <w:rPr>
                <w:noProof/>
                <w:webHidden/>
              </w:rPr>
              <w:instrText xml:space="preserve"> PAGEREF _Toc387907006 \h </w:instrText>
            </w:r>
            <w:r>
              <w:rPr>
                <w:noProof/>
                <w:webHidden/>
              </w:rPr>
            </w:r>
            <w:r>
              <w:rPr>
                <w:noProof/>
                <w:webHidden/>
              </w:rPr>
              <w:fldChar w:fldCharType="separate"/>
            </w:r>
            <w:r>
              <w:rPr>
                <w:noProof/>
                <w:webHidden/>
              </w:rPr>
              <w:t>8</w:t>
            </w:r>
            <w:r>
              <w:rPr>
                <w:noProof/>
                <w:webHidden/>
              </w:rPr>
              <w:fldChar w:fldCharType="end"/>
            </w:r>
          </w:hyperlink>
        </w:p>
        <w:p w14:paraId="19632027" w14:textId="77777777" w:rsidR="00D957FB" w:rsidRDefault="00903B82">
          <w:r>
            <w:rPr>
              <w:b/>
              <w:bCs/>
              <w:noProof/>
            </w:rPr>
            <w:fldChar w:fldCharType="end"/>
          </w:r>
        </w:p>
      </w:sdtContent>
    </w:sdt>
    <w:p w14:paraId="19632028" w14:textId="77777777" w:rsidR="00D957FB" w:rsidRDefault="00903B82">
      <w:pPr>
        <w:ind w:left="0"/>
      </w:pPr>
      <w:r>
        <w:br w:type="page"/>
      </w:r>
    </w:p>
    <w:p w14:paraId="19632029" w14:textId="77777777" w:rsidR="00643D86" w:rsidRDefault="00116D2E" w:rsidP="00643D86">
      <w:pPr>
        <w:pStyle w:val="Rubrik1"/>
        <w:numPr>
          <w:ilvl w:val="0"/>
          <w:numId w:val="0"/>
        </w:numPr>
      </w:pPr>
      <w:bookmarkStart w:id="1" w:name="_Toc364854645"/>
    </w:p>
    <w:p w14:paraId="1963202A" w14:textId="77777777" w:rsidR="00643D86" w:rsidRDefault="00903B82" w:rsidP="00643D86">
      <w:pPr>
        <w:pStyle w:val="Rubrik1"/>
      </w:pPr>
      <w:bookmarkStart w:id="2" w:name="_Toc387906994"/>
      <w:r>
        <w:rPr>
          <w:noProof/>
        </w:rPr>
        <w:t>Case</w:t>
      </w:r>
      <w:r>
        <w:t xml:space="preserve"> </w:t>
      </w:r>
      <w:proofErr w:type="spellStart"/>
      <w:r>
        <w:t>before</w:t>
      </w:r>
      <w:proofErr w:type="spellEnd"/>
      <w:r>
        <w:t xml:space="preserve"> the General Court:</w:t>
      </w:r>
      <w:bookmarkEnd w:id="2"/>
    </w:p>
    <w:p w14:paraId="1963202B" w14:textId="77777777" w:rsidR="00643D86" w:rsidRDefault="00903B82" w:rsidP="00643D86">
      <w:pPr>
        <w:rPr>
          <w:lang w:val="en-US"/>
        </w:rPr>
      </w:pPr>
      <w:r>
        <w:rPr>
          <w:noProof/>
          <w:lang w:val="en-US"/>
        </w:rPr>
        <w:t>9524</w:t>
      </w:r>
      <w:r>
        <w:rPr>
          <w:lang w:val="en-US"/>
        </w:rPr>
        <w:t>/14 JUR 280 COMER 144</w:t>
      </w:r>
    </w:p>
    <w:p w14:paraId="1963202C" w14:textId="77777777" w:rsidR="00643D86" w:rsidRDefault="00903B82" w:rsidP="00643D86">
      <w:r>
        <w:rPr>
          <w:b/>
        </w:rPr>
        <w:t>Ansvarigt statsråd</w:t>
      </w:r>
      <w:r>
        <w:rPr>
          <w:b/>
        </w:rPr>
        <w:br/>
      </w:r>
      <w:r>
        <w:rPr>
          <w:noProof/>
        </w:rPr>
        <w:t>Birgitta</w:t>
      </w:r>
      <w:r>
        <w:t xml:space="preserve"> Olsson</w:t>
      </w:r>
    </w:p>
    <w:p w14:paraId="19632031" w14:textId="6410C05E" w:rsidR="00FB32B9" w:rsidRDefault="00903B82">
      <w:pPr>
        <w:spacing w:after="280" w:afterAutospacing="1"/>
        <w:rPr>
          <w:noProof/>
        </w:rPr>
      </w:pPr>
      <w:r>
        <w:t>Föranleder ingen annotering.</w:t>
      </w:r>
    </w:p>
    <w:p w14:paraId="19632032" w14:textId="77777777" w:rsidR="00643D86" w:rsidRDefault="00903B82" w:rsidP="00643D86">
      <w:pPr>
        <w:pStyle w:val="Rubrik1"/>
      </w:pPr>
      <w:bookmarkStart w:id="3" w:name="_Toc387906995"/>
      <w:r>
        <w:rPr>
          <w:noProof/>
        </w:rPr>
        <w:t>Case</w:t>
      </w:r>
      <w:r>
        <w:t xml:space="preserve"> </w:t>
      </w:r>
      <w:proofErr w:type="spellStart"/>
      <w:r>
        <w:t>before</w:t>
      </w:r>
      <w:proofErr w:type="spellEnd"/>
      <w:r>
        <w:t xml:space="preserve"> the General Court</w:t>
      </w:r>
      <w:bookmarkEnd w:id="3"/>
    </w:p>
    <w:p w14:paraId="19632033" w14:textId="77777777" w:rsidR="00643D86" w:rsidRDefault="00903B82" w:rsidP="00643D86">
      <w:pPr>
        <w:rPr>
          <w:lang w:val="en-US"/>
        </w:rPr>
      </w:pPr>
      <w:r>
        <w:rPr>
          <w:noProof/>
          <w:lang w:val="en-US"/>
        </w:rPr>
        <w:t>9526</w:t>
      </w:r>
      <w:r>
        <w:rPr>
          <w:lang w:val="en-US"/>
        </w:rPr>
        <w:t>/14 JUR 281 COMER 145</w:t>
      </w:r>
    </w:p>
    <w:p w14:paraId="19632034" w14:textId="77777777" w:rsidR="00643D86" w:rsidRDefault="00903B82" w:rsidP="00643D86">
      <w:r>
        <w:rPr>
          <w:b/>
        </w:rPr>
        <w:t>Ansvarigt statsråd</w:t>
      </w:r>
      <w:r>
        <w:rPr>
          <w:b/>
        </w:rPr>
        <w:br/>
      </w:r>
      <w:r>
        <w:rPr>
          <w:noProof/>
        </w:rPr>
        <w:t>Birgitta</w:t>
      </w:r>
      <w:r>
        <w:t xml:space="preserve"> Olsson</w:t>
      </w:r>
    </w:p>
    <w:p w14:paraId="19632039" w14:textId="4C780EC6" w:rsidR="00FB32B9" w:rsidRDefault="00903B82">
      <w:pPr>
        <w:spacing w:after="280" w:afterAutospacing="1"/>
        <w:rPr>
          <w:noProof/>
        </w:rPr>
      </w:pPr>
      <w:r>
        <w:t xml:space="preserve">Föranleder ingen annotering. </w:t>
      </w:r>
    </w:p>
    <w:p w14:paraId="1963203A" w14:textId="77777777" w:rsidR="00643D86" w:rsidRDefault="00903B82" w:rsidP="00643D86">
      <w:pPr>
        <w:pStyle w:val="Rubrik1"/>
      </w:pPr>
      <w:bookmarkStart w:id="4" w:name="_Toc387906996"/>
      <w:r>
        <w:rPr>
          <w:noProof/>
        </w:rPr>
        <w:t>Case</w:t>
      </w:r>
      <w:r>
        <w:t xml:space="preserve"> </w:t>
      </w:r>
      <w:proofErr w:type="spellStart"/>
      <w:r>
        <w:t>before</w:t>
      </w:r>
      <w:proofErr w:type="spellEnd"/>
      <w:r>
        <w:t xml:space="preserve"> the General Court:</w:t>
      </w:r>
      <w:bookmarkEnd w:id="4"/>
    </w:p>
    <w:p w14:paraId="1963203B" w14:textId="77777777" w:rsidR="00643D86" w:rsidRDefault="00903B82" w:rsidP="00643D86">
      <w:pPr>
        <w:rPr>
          <w:lang w:val="en-US"/>
        </w:rPr>
      </w:pPr>
      <w:r>
        <w:rPr>
          <w:noProof/>
          <w:lang w:val="en-US"/>
        </w:rPr>
        <w:t>9527</w:t>
      </w:r>
      <w:r>
        <w:rPr>
          <w:lang w:val="en-US"/>
        </w:rPr>
        <w:t>/14 JUR 282 COMER 146</w:t>
      </w:r>
    </w:p>
    <w:p w14:paraId="1963203C" w14:textId="77777777" w:rsidR="00643D86" w:rsidRDefault="00903B82" w:rsidP="00643D86">
      <w:r>
        <w:rPr>
          <w:b/>
        </w:rPr>
        <w:t>Ansvarigt statsråd</w:t>
      </w:r>
      <w:r>
        <w:rPr>
          <w:b/>
        </w:rPr>
        <w:br/>
      </w:r>
      <w:r>
        <w:rPr>
          <w:noProof/>
        </w:rPr>
        <w:t>Birgitta</w:t>
      </w:r>
      <w:r>
        <w:t xml:space="preserve"> Olsson</w:t>
      </w:r>
    </w:p>
    <w:p w14:paraId="19632041" w14:textId="138AEABF" w:rsidR="00FB32B9" w:rsidRDefault="00903B82">
      <w:pPr>
        <w:spacing w:after="280" w:afterAutospacing="1"/>
        <w:rPr>
          <w:noProof/>
        </w:rPr>
      </w:pPr>
      <w:r>
        <w:t>Föranleder ingen annotering.</w:t>
      </w:r>
    </w:p>
    <w:p w14:paraId="19632042" w14:textId="4A25011A" w:rsidR="00643D86" w:rsidRDefault="00903B82" w:rsidP="00643D86">
      <w:pPr>
        <w:pStyle w:val="Rubrik1"/>
      </w:pPr>
      <w:bookmarkStart w:id="5" w:name="_Toc387906997"/>
      <w:r>
        <w:t xml:space="preserve">Case </w:t>
      </w:r>
      <w:proofErr w:type="spellStart"/>
      <w:r>
        <w:t>before</w:t>
      </w:r>
      <w:proofErr w:type="spellEnd"/>
      <w:r>
        <w:t xml:space="preserve"> the General Court:</w:t>
      </w:r>
      <w:bookmarkEnd w:id="5"/>
    </w:p>
    <w:p w14:paraId="19632043" w14:textId="77777777" w:rsidR="00643D86" w:rsidRDefault="00903B82" w:rsidP="00643D86">
      <w:pPr>
        <w:rPr>
          <w:lang w:val="en-US"/>
        </w:rPr>
      </w:pPr>
      <w:r>
        <w:rPr>
          <w:noProof/>
          <w:lang w:val="en-US"/>
        </w:rPr>
        <w:t>9553</w:t>
      </w:r>
      <w:r>
        <w:rPr>
          <w:lang w:val="en-US"/>
        </w:rPr>
        <w:t>/14 JUR 283 COMER 147</w:t>
      </w:r>
    </w:p>
    <w:p w14:paraId="19632044" w14:textId="77777777" w:rsidR="00643D86" w:rsidRDefault="00903B82" w:rsidP="00643D86">
      <w:r>
        <w:rPr>
          <w:b/>
        </w:rPr>
        <w:t>Ansvarigt statsråd</w:t>
      </w:r>
      <w:r>
        <w:rPr>
          <w:b/>
        </w:rPr>
        <w:br/>
      </w:r>
      <w:r>
        <w:rPr>
          <w:noProof/>
        </w:rPr>
        <w:t>Birgitta</w:t>
      </w:r>
      <w:r>
        <w:t xml:space="preserve"> Olsson</w:t>
      </w:r>
    </w:p>
    <w:p w14:paraId="19632049" w14:textId="50512A90" w:rsidR="00FB32B9" w:rsidRDefault="00903B82">
      <w:pPr>
        <w:spacing w:after="280" w:afterAutospacing="1"/>
        <w:rPr>
          <w:noProof/>
        </w:rPr>
      </w:pPr>
      <w:r>
        <w:t>Föranleder ingen annotering</w:t>
      </w:r>
    </w:p>
    <w:p w14:paraId="1963204A" w14:textId="77777777" w:rsidR="00643D86" w:rsidRDefault="00903B82" w:rsidP="00643D86">
      <w:pPr>
        <w:pStyle w:val="Rubrik1"/>
      </w:pPr>
      <w:bookmarkStart w:id="6" w:name="_Toc387906998"/>
      <w:r>
        <w:rPr>
          <w:noProof/>
        </w:rPr>
        <w:t>Transparency</w:t>
      </w:r>
      <w:r>
        <w:t xml:space="preserve"> - Public access </w:t>
      </w:r>
      <w:proofErr w:type="spellStart"/>
      <w:r>
        <w:t>to</w:t>
      </w:r>
      <w:proofErr w:type="spellEnd"/>
      <w:r>
        <w:t xml:space="preserve"> </w:t>
      </w:r>
      <w:proofErr w:type="spellStart"/>
      <w:r>
        <w:t>documents</w:t>
      </w:r>
      <w:bookmarkEnd w:id="6"/>
      <w:proofErr w:type="spellEnd"/>
    </w:p>
    <w:p w14:paraId="1963204B" w14:textId="77777777" w:rsidR="00643D86" w:rsidRDefault="00903B82" w:rsidP="00643D86">
      <w:pPr>
        <w:rPr>
          <w:lang w:val="en-US"/>
        </w:rPr>
      </w:pPr>
      <w:r>
        <w:rPr>
          <w:noProof/>
          <w:lang w:val="en-US"/>
        </w:rPr>
        <w:t>8851</w:t>
      </w:r>
      <w:r>
        <w:rPr>
          <w:lang w:val="en-US"/>
        </w:rPr>
        <w:t>/14 INF 120 API 48</w:t>
      </w:r>
    </w:p>
    <w:p w14:paraId="1963204C" w14:textId="77777777" w:rsidR="00643D86" w:rsidRDefault="00903B82" w:rsidP="00643D86">
      <w:r>
        <w:rPr>
          <w:b/>
        </w:rPr>
        <w:t>Ansvarigt statsråd</w:t>
      </w:r>
      <w:r>
        <w:rPr>
          <w:b/>
        </w:rPr>
        <w:br/>
      </w:r>
      <w:r>
        <w:rPr>
          <w:noProof/>
        </w:rPr>
        <w:t>Beatrice</w:t>
      </w:r>
      <w:r>
        <w:t xml:space="preserve"> Ask</w:t>
      </w:r>
    </w:p>
    <w:p w14:paraId="1963204F" w14:textId="77777777" w:rsidR="00643D86" w:rsidRDefault="00903B82" w:rsidP="00643D86">
      <w:r w:rsidRPr="00B44CE2">
        <w:rPr>
          <w:b/>
        </w:rPr>
        <w:t>Annotering</w:t>
      </w:r>
      <w:r>
        <w:rPr>
          <w:b/>
        </w:rPr>
        <w:br/>
      </w:r>
      <w:r>
        <w:t>Föranleder ingen annotering.</w:t>
      </w:r>
    </w:p>
    <w:p w14:paraId="6E5F4CB0" w14:textId="77777777" w:rsidR="00586DAD" w:rsidRDefault="00586DAD">
      <w:pPr>
        <w:ind w:left="0"/>
        <w:rPr>
          <w:b/>
          <w:bCs/>
          <w:noProof/>
          <w:szCs w:val="28"/>
        </w:rPr>
      </w:pPr>
      <w:r>
        <w:rPr>
          <w:noProof/>
        </w:rPr>
        <w:br w:type="page"/>
      </w:r>
    </w:p>
    <w:p w14:paraId="19632050" w14:textId="42E1E01B" w:rsidR="00643D86" w:rsidRDefault="00903B82" w:rsidP="00643D86">
      <w:pPr>
        <w:pStyle w:val="Rubrik1"/>
      </w:pPr>
      <w:bookmarkStart w:id="7" w:name="_Toc387906999"/>
      <w:r>
        <w:rPr>
          <w:noProof/>
        </w:rPr>
        <w:lastRenderedPageBreak/>
        <w:t>Committee</w:t>
      </w:r>
      <w:r>
        <w:t xml:space="preserve"> </w:t>
      </w:r>
      <w:proofErr w:type="spellStart"/>
      <w:r>
        <w:t>of</w:t>
      </w:r>
      <w:proofErr w:type="spellEnd"/>
      <w:r>
        <w:t xml:space="preserve"> the Regions</w:t>
      </w:r>
      <w:bookmarkEnd w:id="7"/>
    </w:p>
    <w:p w14:paraId="19632051" w14:textId="12E626E7" w:rsidR="00643D86" w:rsidRDefault="00903B82" w:rsidP="00643D86">
      <w:pPr>
        <w:rPr>
          <w:lang w:val="en-US"/>
        </w:rPr>
      </w:pPr>
      <w:r>
        <w:rPr>
          <w:noProof/>
          <w:lang w:val="en-US"/>
        </w:rPr>
        <w:t>9535</w:t>
      </w:r>
      <w:r>
        <w:rPr>
          <w:lang w:val="en-US"/>
        </w:rPr>
        <w:t>/14 CDR 36</w:t>
      </w:r>
      <w:r w:rsidR="00586DAD">
        <w:rPr>
          <w:lang w:val="en-US"/>
        </w:rPr>
        <w:t xml:space="preserve"> </w:t>
      </w:r>
      <w:r>
        <w:rPr>
          <w:lang w:val="en-US"/>
        </w:rPr>
        <w:t>9534/14 CDR 35</w:t>
      </w:r>
    </w:p>
    <w:p w14:paraId="19632052" w14:textId="77777777" w:rsidR="00643D86" w:rsidRDefault="00903B82" w:rsidP="00643D86">
      <w:r>
        <w:rPr>
          <w:b/>
        </w:rPr>
        <w:t>Ansvarigt statsråd</w:t>
      </w:r>
      <w:r>
        <w:rPr>
          <w:b/>
        </w:rPr>
        <w:br/>
      </w:r>
      <w:r>
        <w:rPr>
          <w:noProof/>
        </w:rPr>
        <w:t>Peter</w:t>
      </w:r>
      <w:r>
        <w:t xml:space="preserve"> Norman</w:t>
      </w:r>
    </w:p>
    <w:p w14:paraId="19632055" w14:textId="0FEC2B0C" w:rsidR="00643D86" w:rsidRDefault="00903B82" w:rsidP="00643D86">
      <w:r>
        <w:t>Föranleder ingen annotering</w:t>
      </w:r>
      <w:r w:rsidR="00586DAD">
        <w:t>.</w:t>
      </w:r>
    </w:p>
    <w:p w14:paraId="19632056" w14:textId="77777777" w:rsidR="00643D86" w:rsidRDefault="00903B82" w:rsidP="00643D86">
      <w:pPr>
        <w:pStyle w:val="Rubrik1"/>
      </w:pPr>
      <w:bookmarkStart w:id="8" w:name="_Toc387907000"/>
      <w:r>
        <w:rPr>
          <w:noProof/>
        </w:rPr>
        <w:t>Draft</w:t>
      </w:r>
      <w:r>
        <w:t xml:space="preserve"> Council </w:t>
      </w:r>
      <w:proofErr w:type="spellStart"/>
      <w:r>
        <w:t>conclusions</w:t>
      </w:r>
      <w:proofErr w:type="spellEnd"/>
      <w:r>
        <w:t xml:space="preserve"> on Special </w:t>
      </w:r>
      <w:proofErr w:type="spellStart"/>
      <w:r>
        <w:t>report</w:t>
      </w:r>
      <w:proofErr w:type="spellEnd"/>
      <w:r>
        <w:t xml:space="preserve"> No 16/2013: </w:t>
      </w:r>
      <w:proofErr w:type="spellStart"/>
      <w:r>
        <w:t>Taking</w:t>
      </w:r>
      <w:proofErr w:type="spellEnd"/>
      <w:r>
        <w:t xml:space="preserve"> stock </w:t>
      </w:r>
      <w:proofErr w:type="spellStart"/>
      <w:r>
        <w:t>of</w:t>
      </w:r>
      <w:proofErr w:type="spellEnd"/>
      <w:r>
        <w:t xml:space="preserve"> "</w:t>
      </w:r>
      <w:proofErr w:type="spellStart"/>
      <w:r>
        <w:t>single</w:t>
      </w:r>
      <w:proofErr w:type="spellEnd"/>
      <w:r>
        <w:t xml:space="preserve"> </w:t>
      </w:r>
      <w:proofErr w:type="spellStart"/>
      <w:r>
        <w:t>audit</w:t>
      </w:r>
      <w:proofErr w:type="spellEnd"/>
      <w:r>
        <w:t xml:space="preserve">" and the </w:t>
      </w:r>
      <w:proofErr w:type="spellStart"/>
      <w:r>
        <w:t>Commission's</w:t>
      </w:r>
      <w:proofErr w:type="spellEnd"/>
      <w:r>
        <w:t xml:space="preserve"> </w:t>
      </w:r>
      <w:proofErr w:type="spellStart"/>
      <w:r>
        <w:t>reliance</w:t>
      </w:r>
      <w:proofErr w:type="spellEnd"/>
      <w:r>
        <w:t xml:space="preserve"> on the </w:t>
      </w:r>
      <w:proofErr w:type="spellStart"/>
      <w:r>
        <w:t>work</w:t>
      </w:r>
      <w:proofErr w:type="spellEnd"/>
      <w:r>
        <w:t xml:space="preserve"> </w:t>
      </w:r>
      <w:proofErr w:type="spellStart"/>
      <w:r>
        <w:t>of</w:t>
      </w:r>
      <w:proofErr w:type="spellEnd"/>
      <w:r>
        <w:t xml:space="preserve"> national </w:t>
      </w:r>
      <w:proofErr w:type="spellStart"/>
      <w:r>
        <w:t>audit</w:t>
      </w:r>
      <w:proofErr w:type="spellEnd"/>
      <w:r>
        <w:t xml:space="preserve"> </w:t>
      </w:r>
      <w:proofErr w:type="spellStart"/>
      <w:r>
        <w:t>authorities</w:t>
      </w:r>
      <w:proofErr w:type="spellEnd"/>
      <w:r>
        <w:t xml:space="preserve"> in </w:t>
      </w:r>
      <w:proofErr w:type="spellStart"/>
      <w:r>
        <w:t>Cohesion</w:t>
      </w:r>
      <w:bookmarkEnd w:id="8"/>
      <w:proofErr w:type="spellEnd"/>
    </w:p>
    <w:p w14:paraId="19632057" w14:textId="77777777" w:rsidR="00643D86" w:rsidRDefault="00903B82" w:rsidP="00643D86">
      <w:pPr>
        <w:rPr>
          <w:lang w:val="en-US"/>
        </w:rPr>
      </w:pPr>
      <w:r>
        <w:rPr>
          <w:noProof/>
          <w:lang w:val="en-US"/>
        </w:rPr>
        <w:t>9187</w:t>
      </w:r>
      <w:r>
        <w:rPr>
          <w:lang w:val="en-US"/>
        </w:rPr>
        <w:t xml:space="preserve">/14 </w:t>
      </w:r>
      <w:proofErr w:type="gramStart"/>
      <w:r>
        <w:rPr>
          <w:lang w:val="en-US"/>
        </w:rPr>
        <w:t>FIN</w:t>
      </w:r>
      <w:proofErr w:type="gramEnd"/>
      <w:r>
        <w:rPr>
          <w:lang w:val="en-US"/>
        </w:rPr>
        <w:t xml:space="preserve"> 325 REGIO 58 FSTR 26 FC 16</w:t>
      </w:r>
    </w:p>
    <w:p w14:paraId="19632058" w14:textId="77777777" w:rsidR="00643D86" w:rsidRDefault="00903B82" w:rsidP="00643D86">
      <w:r>
        <w:rPr>
          <w:b/>
        </w:rPr>
        <w:t>Ansvarigt statsråd</w:t>
      </w:r>
      <w:r>
        <w:rPr>
          <w:b/>
        </w:rPr>
        <w:br/>
      </w:r>
      <w:r>
        <w:rPr>
          <w:noProof/>
        </w:rPr>
        <w:t>Annie</w:t>
      </w:r>
      <w:r>
        <w:t xml:space="preserve"> Lööf</w:t>
      </w:r>
    </w:p>
    <w:p w14:paraId="1963205D" w14:textId="0F0BA394" w:rsidR="00972874" w:rsidRDefault="00903B82">
      <w:pPr>
        <w:spacing w:after="280" w:afterAutospacing="1"/>
      </w:pPr>
      <w:r>
        <w:rPr>
          <w:b/>
          <w:bCs/>
        </w:rPr>
        <w:t>Avsikt med behandlingen i rådet:</w:t>
      </w:r>
      <w:r w:rsidR="00586DAD">
        <w:rPr>
          <w:b/>
          <w:bCs/>
        </w:rPr>
        <w:t xml:space="preserve"> </w:t>
      </w:r>
      <w:r>
        <w:t>Rådet föreslås anta rådsslutsatser.</w:t>
      </w:r>
    </w:p>
    <w:p w14:paraId="1963205F" w14:textId="4950B9D0" w:rsidR="00972874" w:rsidRDefault="00903B82">
      <w:pPr>
        <w:spacing w:after="280" w:afterAutospacing="1"/>
      </w:pPr>
      <w:r>
        <w:rPr>
          <w:b/>
          <w:bCs/>
        </w:rPr>
        <w:t>Hur regeringen ställer sig till den blivande A-</w:t>
      </w:r>
      <w:proofErr w:type="gramStart"/>
      <w:r>
        <w:rPr>
          <w:b/>
          <w:bCs/>
        </w:rPr>
        <w:t>punkten:</w:t>
      </w:r>
      <w:r>
        <w:t xml:space="preserve"> </w:t>
      </w:r>
      <w:r w:rsidR="00586DAD">
        <w:t xml:space="preserve"> </w:t>
      </w:r>
      <w:r>
        <w:t>Regeringen</w:t>
      </w:r>
      <w:proofErr w:type="gramEnd"/>
      <w:r>
        <w:t xml:space="preserve"> ställer sig bakom rådets slutsatser. </w:t>
      </w:r>
    </w:p>
    <w:p w14:paraId="19632061" w14:textId="224D84A3" w:rsidR="00972874" w:rsidRDefault="00903B82">
      <w:pPr>
        <w:spacing w:after="280" w:afterAutospacing="1"/>
      </w:pPr>
      <w:r>
        <w:rPr>
          <w:b/>
          <w:bCs/>
        </w:rPr>
        <w:t>Bakgrund:</w:t>
      </w:r>
      <w:r w:rsidR="00586DAD">
        <w:rPr>
          <w:b/>
          <w:bCs/>
        </w:rPr>
        <w:t xml:space="preserve"> </w:t>
      </w:r>
      <w:r>
        <w:t>Revisionsrätten presenterade rapporten på SAWG den 14 mars 2014 och rådsslutsatser antogs den 9 maj till följd av tyst procedur.</w:t>
      </w:r>
    </w:p>
    <w:p w14:paraId="19632062" w14:textId="77777777" w:rsidR="00972874" w:rsidRDefault="00903B82">
      <w:pPr>
        <w:spacing w:after="280" w:afterAutospacing="1"/>
      </w:pPr>
      <w:r>
        <w:t xml:space="preserve">I rapporten konstaterar revisionsrätten att medlemsstaterna och kommissionen har gjort betydande ansträngningar för att inrätta ett bättre system för revision för sammanhållningspolitikens utgifter för programperioden 2007-2013. Det har dock kommit till en kostnad. Revisionsrätten uppskattar den specifika årliga kostnaden för kontroll för revisionsmyndigheter till mellan 110 och 130 miljoner euro. Det motsvarar till ca 0,2 % av den totala budgeten för alla ERUF/ CF och ESF program. Domstolen konstaterar att systemen för intern kontroll kräver en lämplig balans mellan kostnaderna för kontroller i ett visst budgetområde och nyttan dessa kontroller medför. Revisionsrätten konstaterar att principen om </w:t>
      </w:r>
      <w:proofErr w:type="spellStart"/>
      <w:r>
        <w:t>single</w:t>
      </w:r>
      <w:proofErr w:type="spellEnd"/>
      <w:r>
        <w:t xml:space="preserve"> </w:t>
      </w:r>
      <w:proofErr w:type="spellStart"/>
      <w:r>
        <w:t>audit</w:t>
      </w:r>
      <w:proofErr w:type="spellEnd"/>
      <w:r>
        <w:t xml:space="preserve"> bör vara regel snarare än undantag. </w:t>
      </w:r>
    </w:p>
    <w:p w14:paraId="19632063" w14:textId="77777777" w:rsidR="00972874" w:rsidRDefault="00903B82">
      <w:pPr>
        <w:spacing w:after="280" w:afterAutospacing="1"/>
      </w:pPr>
      <w:r>
        <w:t xml:space="preserve">Rådet välkomnar de framsteg som gjorts av kommissionen, men uppmanar alla aktörer att fortsätta att förbättra och använda sig av </w:t>
      </w:r>
      <w:proofErr w:type="spellStart"/>
      <w:r>
        <w:t>single</w:t>
      </w:r>
      <w:proofErr w:type="spellEnd"/>
      <w:r>
        <w:t xml:space="preserve"> </w:t>
      </w:r>
      <w:proofErr w:type="spellStart"/>
      <w:r>
        <w:t>audit</w:t>
      </w:r>
      <w:proofErr w:type="spellEnd"/>
      <w:r>
        <w:t xml:space="preserve"> med beaktande av revisionsrättens iakttagelser. Rådet välkomnar en fortsättning av principen om </w:t>
      </w:r>
      <w:proofErr w:type="spellStart"/>
      <w:r>
        <w:t>single</w:t>
      </w:r>
      <w:proofErr w:type="spellEnd"/>
      <w:r>
        <w:t xml:space="preserve"> </w:t>
      </w:r>
      <w:proofErr w:type="spellStart"/>
      <w:r>
        <w:t>audit</w:t>
      </w:r>
      <w:proofErr w:type="spellEnd"/>
      <w:r>
        <w:t xml:space="preserve"> för programperioden 2014-2020.</w:t>
      </w:r>
    </w:p>
    <w:p w14:paraId="19632065" w14:textId="0DEE9B23" w:rsidR="00FB32B9" w:rsidRDefault="00903B82">
      <w:pPr>
        <w:spacing w:after="280" w:afterAutospacing="1"/>
        <w:rPr>
          <w:noProof/>
        </w:rPr>
      </w:pPr>
      <w:r>
        <w:t>Rådet uppmanar kommissionen att vidta ytterligare åtgärder för att minska den administrativa bördan för de granskade samtidigt som en sund ekonomisk förvaltning, inklusive en effektivare samordning av arbetet i revisionsteamen i olika generaldirektorat vid kommissionen.</w:t>
      </w:r>
    </w:p>
    <w:p w14:paraId="6309EED4" w14:textId="77777777" w:rsidR="00586DAD" w:rsidRDefault="00586DAD">
      <w:pPr>
        <w:ind w:left="0"/>
        <w:rPr>
          <w:b/>
          <w:bCs/>
          <w:noProof/>
          <w:szCs w:val="28"/>
        </w:rPr>
      </w:pPr>
      <w:r>
        <w:rPr>
          <w:noProof/>
        </w:rPr>
        <w:br w:type="page"/>
      </w:r>
    </w:p>
    <w:p w14:paraId="19632066" w14:textId="2130AA82" w:rsidR="00643D86" w:rsidRDefault="00903B82" w:rsidP="00643D86">
      <w:pPr>
        <w:pStyle w:val="Rubrik1"/>
      </w:pPr>
      <w:bookmarkStart w:id="9" w:name="_Toc387907001"/>
      <w:r>
        <w:rPr>
          <w:noProof/>
        </w:rPr>
        <w:lastRenderedPageBreak/>
        <w:t>Presidency</w:t>
      </w:r>
      <w:r>
        <w:t xml:space="preserve"> Information Note on the </w:t>
      </w:r>
      <w:proofErr w:type="spellStart"/>
      <w:r>
        <w:t>Informal</w:t>
      </w:r>
      <w:proofErr w:type="spellEnd"/>
      <w:r>
        <w:t xml:space="preserve"> </w:t>
      </w:r>
      <w:proofErr w:type="spellStart"/>
      <w:r>
        <w:t>Ministerial</w:t>
      </w:r>
      <w:proofErr w:type="spellEnd"/>
      <w:r>
        <w:t xml:space="preserve"> Meeting for </w:t>
      </w:r>
      <w:proofErr w:type="spellStart"/>
      <w:r>
        <w:t>Cohesion</w:t>
      </w:r>
      <w:proofErr w:type="spellEnd"/>
      <w:r>
        <w:br/>
        <w:t xml:space="preserve">in </w:t>
      </w:r>
      <w:proofErr w:type="spellStart"/>
      <w:r>
        <w:t>Athens</w:t>
      </w:r>
      <w:proofErr w:type="spellEnd"/>
      <w:r>
        <w:t xml:space="preserve"> on 24-25 </w:t>
      </w:r>
      <w:proofErr w:type="gramStart"/>
      <w:r>
        <w:t>April</w:t>
      </w:r>
      <w:proofErr w:type="gramEnd"/>
      <w:r>
        <w:t xml:space="preserve"> 2014</w:t>
      </w:r>
      <w:bookmarkEnd w:id="9"/>
    </w:p>
    <w:p w14:paraId="19632067" w14:textId="77777777" w:rsidR="00643D86" w:rsidRDefault="00903B82" w:rsidP="00643D86">
      <w:pPr>
        <w:rPr>
          <w:lang w:val="en-US"/>
        </w:rPr>
      </w:pPr>
      <w:r>
        <w:rPr>
          <w:noProof/>
          <w:lang w:val="en-US"/>
        </w:rPr>
        <w:t>9632</w:t>
      </w:r>
      <w:r>
        <w:rPr>
          <w:lang w:val="en-US"/>
        </w:rPr>
        <w:t>/14 FSTR 27 FC 17 REGIO 62 SOC 345 AGRISTR 24 PECHE 237CADREFIN 76</w:t>
      </w:r>
    </w:p>
    <w:p w14:paraId="19632068" w14:textId="77777777" w:rsidR="00643D86" w:rsidRDefault="00903B82" w:rsidP="00643D86">
      <w:r>
        <w:rPr>
          <w:b/>
        </w:rPr>
        <w:t>Ansvarigt statsråd</w:t>
      </w:r>
      <w:r>
        <w:rPr>
          <w:b/>
        </w:rPr>
        <w:br/>
      </w:r>
      <w:r>
        <w:rPr>
          <w:noProof/>
        </w:rPr>
        <w:t>Annie</w:t>
      </w:r>
      <w:r>
        <w:t xml:space="preserve"> Lööf</w:t>
      </w:r>
    </w:p>
    <w:p w14:paraId="1963206C" w14:textId="7A1BEDFA" w:rsidR="00972874" w:rsidRDefault="00903B82" w:rsidP="00586DAD">
      <w:r>
        <w:rPr>
          <w:b/>
          <w:bCs/>
        </w:rPr>
        <w:t>Avsikt med behandlingen i rådet:</w:t>
      </w:r>
      <w:r>
        <w:t xml:space="preserve"> Information om det informella regionalministermötet i </w:t>
      </w:r>
      <w:proofErr w:type="spellStart"/>
      <w:r>
        <w:t>Athen</w:t>
      </w:r>
      <w:proofErr w:type="spellEnd"/>
      <w:r>
        <w:t xml:space="preserve">. </w:t>
      </w:r>
    </w:p>
    <w:p w14:paraId="1963206E" w14:textId="32E994D6" w:rsidR="00972874" w:rsidRDefault="00903B82">
      <w:pPr>
        <w:spacing w:after="280" w:afterAutospacing="1"/>
      </w:pPr>
      <w:r>
        <w:rPr>
          <w:b/>
          <w:bCs/>
        </w:rPr>
        <w:t>Hur regeringen ställer sig till den blivande A-punkten:</w:t>
      </w:r>
      <w:r>
        <w:t xml:space="preserve"> SE noterar informationen. </w:t>
      </w:r>
    </w:p>
    <w:p w14:paraId="19632071" w14:textId="36275344" w:rsidR="00FB32B9" w:rsidRDefault="00903B82">
      <w:pPr>
        <w:spacing w:after="280" w:afterAutospacing="1"/>
        <w:rPr>
          <w:noProof/>
        </w:rPr>
      </w:pPr>
      <w:r>
        <w:rPr>
          <w:b/>
          <w:bCs/>
        </w:rPr>
        <w:t>Bakgrund:</w:t>
      </w:r>
      <w:r w:rsidR="00586DAD">
        <w:rPr>
          <w:b/>
          <w:bCs/>
        </w:rPr>
        <w:t xml:space="preserve"> </w:t>
      </w:r>
      <w:r>
        <w:t xml:space="preserve">Informellt ministermöte hölls i </w:t>
      </w:r>
      <w:proofErr w:type="spellStart"/>
      <w:r>
        <w:t>Athen</w:t>
      </w:r>
      <w:proofErr w:type="spellEnd"/>
      <w:r>
        <w:t xml:space="preserve"> där man framför allt diskuterade olika utmaningar och prioriteringar inför den kommande strukturfondsperioden 2014-2020.</w:t>
      </w:r>
    </w:p>
    <w:p w14:paraId="19632072" w14:textId="77777777" w:rsidR="00643D86" w:rsidRDefault="00903B82" w:rsidP="00643D86">
      <w:pPr>
        <w:pStyle w:val="Rubrik1"/>
      </w:pPr>
      <w:bookmarkStart w:id="10" w:name="_Toc387907002"/>
      <w:r>
        <w:rPr>
          <w:noProof/>
        </w:rPr>
        <w:t>Adoption</w:t>
      </w:r>
      <w:r>
        <w:t xml:space="preserve"> </w:t>
      </w:r>
      <w:proofErr w:type="spellStart"/>
      <w:r>
        <w:t>of</w:t>
      </w:r>
      <w:proofErr w:type="spellEnd"/>
      <w:r>
        <w:t xml:space="preserve"> draft Council </w:t>
      </w:r>
      <w:proofErr w:type="spellStart"/>
      <w:r>
        <w:t>Conclusions</w:t>
      </w:r>
      <w:proofErr w:type="spellEnd"/>
      <w:r>
        <w:t xml:space="preserve"> - "Preventing and </w:t>
      </w:r>
      <w:proofErr w:type="spellStart"/>
      <w:r>
        <w:t>combating</w:t>
      </w:r>
      <w:proofErr w:type="spellEnd"/>
      <w:r>
        <w:t xml:space="preserve"> all forms </w:t>
      </w:r>
      <w:proofErr w:type="spellStart"/>
      <w:r>
        <w:t>of</w:t>
      </w:r>
      <w:proofErr w:type="spellEnd"/>
      <w:r>
        <w:t xml:space="preserve">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and </w:t>
      </w:r>
      <w:proofErr w:type="spellStart"/>
      <w:r>
        <w:t>girls</w:t>
      </w:r>
      <w:proofErr w:type="spellEnd"/>
      <w:r>
        <w:t xml:space="preserve">, </w:t>
      </w:r>
      <w:proofErr w:type="spellStart"/>
      <w:r>
        <w:t>including</w:t>
      </w:r>
      <w:proofErr w:type="spellEnd"/>
      <w:r>
        <w:t xml:space="preserve"> </w:t>
      </w:r>
      <w:proofErr w:type="spellStart"/>
      <w:r>
        <w:t>female</w:t>
      </w:r>
      <w:proofErr w:type="spellEnd"/>
      <w:r>
        <w:t xml:space="preserve"> genital </w:t>
      </w:r>
      <w:proofErr w:type="spellStart"/>
      <w:r>
        <w:t>mutilation</w:t>
      </w:r>
      <w:proofErr w:type="spellEnd"/>
      <w:r>
        <w:t>"</w:t>
      </w:r>
      <w:bookmarkEnd w:id="10"/>
    </w:p>
    <w:p w14:paraId="19632073" w14:textId="77777777" w:rsidR="00643D86" w:rsidRDefault="00903B82" w:rsidP="00643D86">
      <w:pPr>
        <w:rPr>
          <w:lang w:val="en-US"/>
        </w:rPr>
      </w:pPr>
      <w:r>
        <w:rPr>
          <w:noProof/>
          <w:lang w:val="en-US"/>
        </w:rPr>
        <w:t>9543</w:t>
      </w:r>
      <w:r>
        <w:rPr>
          <w:lang w:val="en-US"/>
        </w:rPr>
        <w:t>/14 FREMP 82 JAI 287 DROIPEN 66 COPEN 140 SOC 339 EGC 20COHOM 75 SPORT 31 ENFOPOL 127</w:t>
      </w:r>
    </w:p>
    <w:p w14:paraId="19632074" w14:textId="77777777" w:rsidR="00643D86" w:rsidRDefault="00903B82" w:rsidP="00643D86">
      <w:r>
        <w:rPr>
          <w:b/>
        </w:rPr>
        <w:t>Ansvarigt statsråd</w:t>
      </w:r>
      <w:r>
        <w:rPr>
          <w:b/>
        </w:rPr>
        <w:br/>
      </w:r>
      <w:r>
        <w:rPr>
          <w:noProof/>
        </w:rPr>
        <w:t>Beatrice</w:t>
      </w:r>
      <w:r>
        <w:t xml:space="preserve"> Ask </w:t>
      </w:r>
    </w:p>
    <w:p w14:paraId="19632078" w14:textId="77777777" w:rsidR="00972874" w:rsidRDefault="00903B82">
      <w:pPr>
        <w:spacing w:after="280" w:afterAutospacing="1"/>
      </w:pPr>
      <w:r>
        <w:rPr>
          <w:b/>
          <w:bCs/>
        </w:rPr>
        <w:t>Avsikt med behandlingen i rådet</w:t>
      </w:r>
      <w:r>
        <w:t>: Rådet föreslås godkänna rådsslutsatser om förebyggande och bekämpning av alla former av våld mot kvinnor och flickor, inbegripet kvinnlig könsstympning.</w:t>
      </w:r>
    </w:p>
    <w:p w14:paraId="19632079" w14:textId="77777777" w:rsidR="00972874" w:rsidRDefault="00903B82">
      <w:pPr>
        <w:spacing w:after="280" w:afterAutospacing="1"/>
      </w:pPr>
      <w:r>
        <w:rPr>
          <w:b/>
          <w:bCs/>
        </w:rPr>
        <w:t>Hur regeringen ställer sig till den blivande A-punkten</w:t>
      </w:r>
      <w:r>
        <w:t xml:space="preserve">: Regeringen avser rösta ja till att rådet antar rådsslutsatser om förebyggande och bekämpning av </w:t>
      </w:r>
      <w:proofErr w:type="spellStart"/>
      <w:r>
        <w:t>av</w:t>
      </w:r>
      <w:proofErr w:type="spellEnd"/>
      <w:r>
        <w:t xml:space="preserve"> alla former av våld mot kvinnor och flickor, inbegripet kvinnlig könsstympning. </w:t>
      </w:r>
    </w:p>
    <w:p w14:paraId="1963207A" w14:textId="77777777" w:rsidR="00972874" w:rsidRDefault="00903B82">
      <w:pPr>
        <w:spacing w:after="280" w:afterAutospacing="1"/>
      </w:pPr>
      <w:r>
        <w:rPr>
          <w:b/>
          <w:bCs/>
        </w:rPr>
        <w:t xml:space="preserve">Bakgrund: </w:t>
      </w:r>
      <w:r>
        <w:t xml:space="preserve">Det grekiska ordförandeskapet har tagit fram förslag till rådsslutsatser om att förebygga och bekämpa alla </w:t>
      </w:r>
      <w:proofErr w:type="spellStart"/>
      <w:r>
        <w:t>fomer</w:t>
      </w:r>
      <w:proofErr w:type="spellEnd"/>
      <w:r>
        <w:t xml:space="preserve"> av våld mot kvinnor och flickor i EU. Rådsslutsatserna har ett särskilt fokus på kvinnlig könsstympning, men omfattar allt våld som kvinnor riskerar att utsättas för i hemmet, på arbetsplatser, på allmän plats och på internet. Rådsslutsatserna syftar i korthet till att åstadkomma en ambitionshöjning i EU när det gäller att förebygga och bekämpa våld som i olika sammanhang drabbar kvinnor. Det omfattar bland annat att </w:t>
      </w:r>
      <w:proofErr w:type="gramStart"/>
      <w:r>
        <w:t>säkerställa  effektiv</w:t>
      </w:r>
      <w:proofErr w:type="gramEnd"/>
      <w:r>
        <w:t xml:space="preserve"> tillämpning av relevant lagstiftning, förbättrat stöd till brottsoffren, insamling av relevant och jämförbar statistik, utbildning av yrkesverksamma som i olika </w:t>
      </w:r>
      <w:proofErr w:type="spellStart"/>
      <w:r>
        <w:t>siutationer</w:t>
      </w:r>
      <w:proofErr w:type="spellEnd"/>
      <w:r>
        <w:t xml:space="preserve"> möter våldsutsatta kvinnor samt förbättrad myndighetssamverkan inom området.</w:t>
      </w:r>
    </w:p>
    <w:p w14:paraId="1963207B" w14:textId="77777777" w:rsidR="00972874" w:rsidRDefault="00903B82">
      <w:pPr>
        <w:spacing w:after="280" w:afterAutospacing="1"/>
      </w:pPr>
      <w:r>
        <w:t xml:space="preserve">Bakgrunden till initiativet är den studie om våldsutsatthet bland kvinnor i EU som Byrån för grundläggande rättigheter, FRA (Fundamental </w:t>
      </w:r>
      <w:proofErr w:type="spellStart"/>
      <w:r>
        <w:t>Rights</w:t>
      </w:r>
      <w:proofErr w:type="spellEnd"/>
      <w:r>
        <w:t xml:space="preserve"> Agency), presenterade i mars 2014. Studien baseras på intervjuer med närmare 42 000 kvinnor i EU:s medlemsstater. </w:t>
      </w:r>
      <w:proofErr w:type="spellStart"/>
      <w:r>
        <w:t>Sammanttningsvis</w:t>
      </w:r>
      <w:proofErr w:type="spellEnd"/>
      <w:r>
        <w:t xml:space="preserve"> indikerar studien att olika former av våld och hot mot kvinnor i EU är ett relativt vanligt förekommande samhällsproblem, som polisanmäls i mycket låg utsträckning.  </w:t>
      </w:r>
    </w:p>
    <w:p w14:paraId="1963207D" w14:textId="6A8982F3" w:rsidR="00FB32B9" w:rsidRDefault="00903B82">
      <w:pPr>
        <w:spacing w:after="280" w:afterAutospacing="1"/>
        <w:rPr>
          <w:noProof/>
        </w:rPr>
      </w:pPr>
      <w:r>
        <w:lastRenderedPageBreak/>
        <w:t xml:space="preserve">Regeringen är generellt sett positivt inställd till både initiativet som sådant och till skrivningarna i dokumentet. Under förhandlingarna har Sverige fått gehör för merparten av de synpunkter och förslag som framförts. </w:t>
      </w:r>
    </w:p>
    <w:p w14:paraId="1963207E" w14:textId="77777777" w:rsidR="00643D86" w:rsidRDefault="00903B82" w:rsidP="00643D86">
      <w:pPr>
        <w:pStyle w:val="Rubrik1"/>
      </w:pPr>
      <w:bookmarkStart w:id="11" w:name="_Toc387907003"/>
      <w:r>
        <w:rPr>
          <w:noProof/>
        </w:rPr>
        <w:t>Adoption</w:t>
      </w:r>
      <w:r>
        <w:t xml:space="preserve"> </w:t>
      </w:r>
      <w:proofErr w:type="spellStart"/>
      <w:r>
        <w:t>of</w:t>
      </w:r>
      <w:proofErr w:type="spellEnd"/>
      <w:r>
        <w:t xml:space="preserve"> the Council Decision on the </w:t>
      </w:r>
      <w:proofErr w:type="spellStart"/>
      <w:r>
        <w:t>conclusion</w:t>
      </w:r>
      <w:proofErr w:type="spellEnd"/>
      <w:r>
        <w:t xml:space="preserve"> </w:t>
      </w:r>
      <w:proofErr w:type="spellStart"/>
      <w:r>
        <w:t>of</w:t>
      </w:r>
      <w:proofErr w:type="spellEnd"/>
      <w:r>
        <w:t xml:space="preserve"> the Arrangement </w:t>
      </w:r>
      <w:proofErr w:type="spellStart"/>
      <w:r>
        <w:t>between</w:t>
      </w:r>
      <w:proofErr w:type="spellEnd"/>
      <w:r>
        <w:t xml:space="preserve"> the </w:t>
      </w:r>
      <w:proofErr w:type="spellStart"/>
      <w:r>
        <w:t>European</w:t>
      </w:r>
      <w:proofErr w:type="spellEnd"/>
      <w:r>
        <w:t xml:space="preserve"> Union and the </w:t>
      </w:r>
      <w:proofErr w:type="spellStart"/>
      <w:r>
        <w:t>Principality</w:t>
      </w:r>
      <w:proofErr w:type="spellEnd"/>
      <w:r>
        <w:t xml:space="preserve"> </w:t>
      </w:r>
      <w:proofErr w:type="spellStart"/>
      <w:r>
        <w:t>of</w:t>
      </w:r>
      <w:proofErr w:type="spellEnd"/>
      <w:r>
        <w:t xml:space="preserve"> Liechtenstein on the </w:t>
      </w:r>
      <w:proofErr w:type="spellStart"/>
      <w:r>
        <w:t>modalities</w:t>
      </w:r>
      <w:proofErr w:type="spellEnd"/>
      <w:r>
        <w:t xml:space="preserve"> </w:t>
      </w:r>
      <w:proofErr w:type="spellStart"/>
      <w:r>
        <w:t>of</w:t>
      </w:r>
      <w:proofErr w:type="spellEnd"/>
      <w:r>
        <w:t xml:space="preserve"> </w:t>
      </w:r>
      <w:proofErr w:type="spellStart"/>
      <w:r>
        <w:t>its</w:t>
      </w:r>
      <w:proofErr w:type="spellEnd"/>
      <w:r>
        <w:t xml:space="preserve"> participation in the </w:t>
      </w:r>
      <w:proofErr w:type="spellStart"/>
      <w:r>
        <w:t>European</w:t>
      </w:r>
      <w:proofErr w:type="spellEnd"/>
      <w:r>
        <w:t xml:space="preserve"> </w:t>
      </w:r>
      <w:proofErr w:type="spellStart"/>
      <w:r>
        <w:t>Asylum</w:t>
      </w:r>
      <w:proofErr w:type="spellEnd"/>
      <w:r>
        <w:t xml:space="preserve"> Support Office</w:t>
      </w:r>
      <w:bookmarkEnd w:id="11"/>
    </w:p>
    <w:p w14:paraId="1963207F" w14:textId="77777777" w:rsidR="00643D86" w:rsidRDefault="00903B82" w:rsidP="00643D86">
      <w:pPr>
        <w:rPr>
          <w:lang w:val="en-US"/>
        </w:rPr>
      </w:pPr>
      <w:r>
        <w:rPr>
          <w:noProof/>
          <w:lang w:val="en-US"/>
        </w:rPr>
        <w:t>9393</w:t>
      </w:r>
      <w:r>
        <w:rPr>
          <w:lang w:val="en-US"/>
        </w:rPr>
        <w:t>/14 ASILE 13 FL 518115/13 ASILE 59 FL 15+ REV 1 (</w:t>
      </w:r>
      <w:proofErr w:type="spellStart"/>
      <w:r>
        <w:rPr>
          <w:lang w:val="en-US"/>
        </w:rPr>
        <w:t>sv</w:t>
      </w:r>
      <w:proofErr w:type="spellEnd"/>
      <w:proofErr w:type="gramStart"/>
      <w:r>
        <w:rPr>
          <w:lang w:val="en-US"/>
        </w:rPr>
        <w:t>)18116</w:t>
      </w:r>
      <w:proofErr w:type="gramEnd"/>
      <w:r>
        <w:rPr>
          <w:lang w:val="en-US"/>
        </w:rPr>
        <w:t>/13 ASILE 60 FL 16</w:t>
      </w:r>
    </w:p>
    <w:p w14:paraId="19632080" w14:textId="77777777" w:rsidR="00643D86" w:rsidRDefault="00903B82" w:rsidP="00643D86">
      <w:r>
        <w:rPr>
          <w:b/>
        </w:rPr>
        <w:t>Ansvarigt statsråd</w:t>
      </w:r>
      <w:r>
        <w:rPr>
          <w:b/>
        </w:rPr>
        <w:br/>
      </w:r>
      <w:r>
        <w:rPr>
          <w:noProof/>
        </w:rPr>
        <w:t>Tobias</w:t>
      </w:r>
      <w:r>
        <w:t xml:space="preserve"> Billström</w:t>
      </w:r>
    </w:p>
    <w:p w14:paraId="19632084" w14:textId="77777777" w:rsidR="00972874" w:rsidRDefault="00903B82">
      <w:pPr>
        <w:spacing w:after="280" w:afterAutospacing="1"/>
      </w:pPr>
      <w:r>
        <w:rPr>
          <w:b/>
          <w:bCs/>
        </w:rPr>
        <w:t>Avsikt med behandlingen i rådet</w:t>
      </w:r>
      <w:r>
        <w:t xml:space="preserve">: Rådet föreslås besluta om att godkänna avtalet mellan EU och Liechtenstein rörande deras deltagande i det europeiska stödkontoret för asylfrågor (EASO).   </w:t>
      </w:r>
    </w:p>
    <w:p w14:paraId="19632085" w14:textId="77777777" w:rsidR="00972874" w:rsidRDefault="00903B82">
      <w:pPr>
        <w:spacing w:after="280" w:afterAutospacing="1"/>
      </w:pPr>
      <w:r>
        <w:rPr>
          <w:b/>
          <w:bCs/>
        </w:rPr>
        <w:t>Hur regeringen ställer sig till den blivande A-punkten</w:t>
      </w:r>
      <w:r>
        <w:t>: Regeringen avser rösta ja till att rådet godkänner avtalet mellan EU och Liechtenstein om villkoren för Liechtensteins deltagande i det europeiska stödkontoret för asylfrågor (EASO).</w:t>
      </w:r>
    </w:p>
    <w:p w14:paraId="19632086" w14:textId="77777777" w:rsidR="00972874" w:rsidRDefault="00903B82">
      <w:pPr>
        <w:spacing w:after="280" w:afterAutospacing="1"/>
      </w:pPr>
      <w:r>
        <w:rPr>
          <w:b/>
          <w:bCs/>
        </w:rPr>
        <w:t>Bakgrund</w:t>
      </w:r>
      <w:r>
        <w:t xml:space="preserve">: Genom förordning (EU) nr 439/2010 inrättades ett europeiskt stödkontor för asylfrågor i syfte att stärka medlemsstaternas samarbete i asylfrågor. Enligt EASO:s förordning ska stödkontoret stå öppet för deltagande av Island, Liechtenstein, Norge och Schweiz som observatörer. Kommissionen fick den 27 januari 2012 rådets bemyndigande att inleda förhandlingar med Island, Norge, Schweiz och Liechtenstein om villkoren för dessa staters deltagande i arbetet med europeiska stödkontoret för asylfrågor. Kommissionen presenterade den 13 december ett utkastförslag på ett rådsbeslut om ett ingå ett avtal med Island, Norge, Schweiz och Liechtenstein. Den 11 februari 2014 beslutade rådet att översända utkastet till Europaparlamentet för dess godkännande. Parlamentet gav sitt godkännande till att ingå avtal med Liechtenstein den 17 april 2014. </w:t>
      </w:r>
    </w:p>
    <w:p w14:paraId="19632088" w14:textId="0F4A3B13" w:rsidR="00FB32B9" w:rsidRDefault="00903B82">
      <w:pPr>
        <w:spacing w:after="280" w:afterAutospacing="1"/>
        <w:rPr>
          <w:noProof/>
        </w:rPr>
      </w:pPr>
      <w:r>
        <w:t>Sverige stödjer ett ingående av avtal mellan EU och Liechtenstein om ett deltagande i arbetet med europeiska stödkontoret för asylfrågor. Det är naturligt att Liechtenstein deltar i stödkontorets verksamhet eftersom de även är anslutna till Dublinsystemet. Ett deltagande från Liechtenstein i EASO ger dessutom ett tydligt mervärde till stödkontorets verksamhet när det gäller till exempel utbyte av goda metoder och erfarenheter, permanent stöd och krisåtgärder, insamling och analys av information. Enligt det föreslagna avtalet åtar sig Liechtenstein även att årligen lämna ekonomiska bidrag till stödkontoret.</w:t>
      </w:r>
    </w:p>
    <w:p w14:paraId="0DB9EE15" w14:textId="77777777" w:rsidR="00586DAD" w:rsidRDefault="00586DAD">
      <w:pPr>
        <w:ind w:left="0"/>
        <w:rPr>
          <w:b/>
          <w:bCs/>
          <w:noProof/>
          <w:szCs w:val="28"/>
        </w:rPr>
      </w:pPr>
      <w:r>
        <w:rPr>
          <w:noProof/>
        </w:rPr>
        <w:br w:type="page"/>
      </w:r>
    </w:p>
    <w:p w14:paraId="19632089" w14:textId="7F557D6E" w:rsidR="00643D86" w:rsidRDefault="00903B82" w:rsidP="00643D86">
      <w:pPr>
        <w:pStyle w:val="Rubrik1"/>
      </w:pPr>
      <w:bookmarkStart w:id="12" w:name="_Toc387907004"/>
      <w:r>
        <w:rPr>
          <w:noProof/>
        </w:rPr>
        <w:lastRenderedPageBreak/>
        <w:t>Adoption</w:t>
      </w:r>
      <w:r>
        <w:t xml:space="preserve"> </w:t>
      </w:r>
      <w:proofErr w:type="spellStart"/>
      <w:r>
        <w:t>of</w:t>
      </w:r>
      <w:proofErr w:type="spellEnd"/>
      <w:r>
        <w:t xml:space="preserve"> the Council Decision on the </w:t>
      </w:r>
      <w:proofErr w:type="spellStart"/>
      <w:r>
        <w:t>conclusion</w:t>
      </w:r>
      <w:proofErr w:type="spellEnd"/>
      <w:r>
        <w:t xml:space="preserve"> </w:t>
      </w:r>
      <w:proofErr w:type="spellStart"/>
      <w:r>
        <w:t>of</w:t>
      </w:r>
      <w:proofErr w:type="spellEnd"/>
      <w:r>
        <w:t xml:space="preserve"> the Arrangement </w:t>
      </w:r>
      <w:proofErr w:type="spellStart"/>
      <w:r>
        <w:t>between</w:t>
      </w:r>
      <w:proofErr w:type="spellEnd"/>
      <w:r>
        <w:t xml:space="preserve"> the </w:t>
      </w:r>
      <w:proofErr w:type="spellStart"/>
      <w:r>
        <w:t>European</w:t>
      </w:r>
      <w:proofErr w:type="spellEnd"/>
      <w:r>
        <w:t xml:space="preserve"> Union and the </w:t>
      </w:r>
      <w:proofErr w:type="spellStart"/>
      <w:r>
        <w:t>Kingdom</w:t>
      </w:r>
      <w:proofErr w:type="spellEnd"/>
      <w:r>
        <w:t xml:space="preserve"> </w:t>
      </w:r>
      <w:proofErr w:type="spellStart"/>
      <w:r>
        <w:t>of</w:t>
      </w:r>
      <w:proofErr w:type="spellEnd"/>
      <w:r>
        <w:t xml:space="preserve"> </w:t>
      </w:r>
      <w:proofErr w:type="spellStart"/>
      <w:r>
        <w:t>Norway</w:t>
      </w:r>
      <w:proofErr w:type="spellEnd"/>
      <w:r>
        <w:t xml:space="preserve"> on the </w:t>
      </w:r>
      <w:proofErr w:type="spellStart"/>
      <w:r>
        <w:t>modalities</w:t>
      </w:r>
      <w:proofErr w:type="spellEnd"/>
      <w:r>
        <w:t xml:space="preserve"> </w:t>
      </w:r>
      <w:proofErr w:type="spellStart"/>
      <w:r>
        <w:t>of</w:t>
      </w:r>
      <w:proofErr w:type="spellEnd"/>
      <w:r>
        <w:t xml:space="preserve"> </w:t>
      </w:r>
      <w:proofErr w:type="spellStart"/>
      <w:r>
        <w:t>its</w:t>
      </w:r>
      <w:proofErr w:type="spellEnd"/>
      <w:r>
        <w:t xml:space="preserve"> participation in the </w:t>
      </w:r>
      <w:proofErr w:type="spellStart"/>
      <w:r>
        <w:t>European</w:t>
      </w:r>
      <w:proofErr w:type="spellEnd"/>
      <w:r>
        <w:t xml:space="preserve"> </w:t>
      </w:r>
      <w:proofErr w:type="spellStart"/>
      <w:r>
        <w:t>Asylum</w:t>
      </w:r>
      <w:proofErr w:type="spellEnd"/>
      <w:r>
        <w:t xml:space="preserve"> Support Office</w:t>
      </w:r>
      <w:bookmarkEnd w:id="12"/>
    </w:p>
    <w:p w14:paraId="1963208A" w14:textId="4AA3DBBA" w:rsidR="00643D86" w:rsidRDefault="00903B82" w:rsidP="00643D86">
      <w:pPr>
        <w:rPr>
          <w:lang w:val="en-US"/>
        </w:rPr>
      </w:pPr>
      <w:r>
        <w:rPr>
          <w:noProof/>
          <w:lang w:val="en-US"/>
        </w:rPr>
        <w:t>9387</w:t>
      </w:r>
      <w:r>
        <w:rPr>
          <w:lang w:val="en-US"/>
        </w:rPr>
        <w:t>/14 ASILE 12 N 11</w:t>
      </w:r>
      <w:r w:rsidR="00586DAD">
        <w:rPr>
          <w:lang w:val="en-US"/>
        </w:rPr>
        <w:t xml:space="preserve"> </w:t>
      </w:r>
      <w:r>
        <w:rPr>
          <w:lang w:val="en-US"/>
        </w:rPr>
        <w:t>18140/13 ASILE 65 N 14+ REV 1 (</w:t>
      </w:r>
      <w:proofErr w:type="spellStart"/>
      <w:r>
        <w:rPr>
          <w:lang w:val="en-US"/>
        </w:rPr>
        <w:t>sv</w:t>
      </w:r>
      <w:proofErr w:type="spellEnd"/>
      <w:r>
        <w:rPr>
          <w:lang w:val="en-US"/>
        </w:rPr>
        <w:t>)</w:t>
      </w:r>
      <w:r w:rsidR="00586DAD">
        <w:rPr>
          <w:lang w:val="en-US"/>
        </w:rPr>
        <w:t xml:space="preserve"> </w:t>
      </w:r>
      <w:r>
        <w:rPr>
          <w:lang w:val="en-US"/>
        </w:rPr>
        <w:t>18141/13 ASILE 66 N 15</w:t>
      </w:r>
    </w:p>
    <w:p w14:paraId="1963208B" w14:textId="77777777" w:rsidR="00643D86" w:rsidRDefault="00903B82" w:rsidP="00643D86">
      <w:r>
        <w:rPr>
          <w:b/>
        </w:rPr>
        <w:t>Ansvarigt statsråd</w:t>
      </w:r>
      <w:r>
        <w:rPr>
          <w:b/>
        </w:rPr>
        <w:br/>
      </w:r>
      <w:r>
        <w:rPr>
          <w:noProof/>
        </w:rPr>
        <w:t>Tobias</w:t>
      </w:r>
      <w:r>
        <w:t xml:space="preserve"> Billström</w:t>
      </w:r>
    </w:p>
    <w:p w14:paraId="1963208D" w14:textId="77777777" w:rsidR="00643D86" w:rsidRPr="00643D86" w:rsidRDefault="00903B82" w:rsidP="00643D86">
      <w:r w:rsidRPr="00643D86">
        <w:rPr>
          <w:b/>
        </w:rPr>
        <w:t>Tidigare behandling vid rådsmöte</w:t>
      </w:r>
      <w:r>
        <w:rPr>
          <w:b/>
        </w:rPr>
        <w:br/>
      </w:r>
      <w:r>
        <w:rPr>
          <w:noProof/>
        </w:rPr>
        <w:t>2014-02-11</w:t>
      </w:r>
    </w:p>
    <w:p w14:paraId="1963208F" w14:textId="77777777" w:rsidR="00972874" w:rsidRDefault="00903B82">
      <w:pPr>
        <w:spacing w:after="280" w:afterAutospacing="1"/>
      </w:pPr>
      <w:r>
        <w:rPr>
          <w:b/>
          <w:bCs/>
        </w:rPr>
        <w:t>Avsikt med behandlingen i rådet</w:t>
      </w:r>
      <w:r>
        <w:t xml:space="preserve">: Rådet föreslås besluta om att godkänna avtalet mellan EU och Norge rörande deras deltagande i det europeiska stödkontoret för asylfrågor (EASO).   </w:t>
      </w:r>
    </w:p>
    <w:p w14:paraId="19632090" w14:textId="77777777" w:rsidR="00972874" w:rsidRDefault="00903B82">
      <w:pPr>
        <w:spacing w:after="280" w:afterAutospacing="1"/>
      </w:pPr>
      <w:r>
        <w:rPr>
          <w:b/>
          <w:bCs/>
        </w:rPr>
        <w:t>Hur regeringen ställer sig till den blivande A-punkten</w:t>
      </w:r>
      <w:r>
        <w:t>: Regeringen avser rösta ja till att rådet godkänner avtalet mellan EU och Norge om villkoren för Norges deltagande i det europeiska stödkontoret för asylfrågor (EASO).</w:t>
      </w:r>
    </w:p>
    <w:p w14:paraId="19632091" w14:textId="77777777" w:rsidR="00972874" w:rsidRDefault="00903B82">
      <w:pPr>
        <w:spacing w:after="280" w:afterAutospacing="1"/>
      </w:pPr>
      <w:r>
        <w:rPr>
          <w:b/>
          <w:bCs/>
        </w:rPr>
        <w:t>Bakgrund:</w:t>
      </w:r>
      <w:r>
        <w:t xml:space="preserve"> Genom förordning (EU) nr 439/2010 inrättades ett europeiskt stödkontor för asylfrågor i syfte att stärka medlemsstaternas samarbete i asylfrågor. Enligt EASO:s förordning ska stödkontoret stå öppet för deltagande av Island, Liechtenstein, Norge och Schweiz som observatörer. Kommissionen fick den 27 januari 2012 rådets bemyndigande att inleda förhandlingar med Island, Norge, Schweiz och Liechtenstein om villkoren för dessa staters deltagande i arbetet med europeiska stödkontoret för asylfrågor. Kommissionen presenterade den 13 december ett utkastförslag på ett rådsbeslut om ett ingå ett avtal med Island, Norge, Schweiz och Liechtenstein. Den 11 februari 2014 beslutade rådet att översända utkastet till </w:t>
      </w:r>
      <w:proofErr w:type="spellStart"/>
      <w:r>
        <w:t>till</w:t>
      </w:r>
      <w:proofErr w:type="spellEnd"/>
      <w:r>
        <w:t xml:space="preserve"> Europaparlamentet för dess godkännande. Parlamentet gav sitt godkännande till att ingå avtal med Norge den 17 april 2014. </w:t>
      </w:r>
    </w:p>
    <w:p w14:paraId="19632093" w14:textId="28A537BF" w:rsidR="00FB32B9" w:rsidRDefault="00903B82">
      <w:pPr>
        <w:spacing w:after="280" w:afterAutospacing="1"/>
        <w:rPr>
          <w:noProof/>
        </w:rPr>
      </w:pPr>
      <w:r>
        <w:t>Sverige stödjer ett ingående av avtal mellan EU och Norge om ett deltagande i arbetet med europeiska stödkontoret för asylfrågor. Det är naturligt att Norge deltar i stödkontorets verksamhet eftersom de även är anslutna till Dublinsystemet. Ett deltagande från Norge i EASO ger dessutom ett tydligt mervärde till stödkontorets verksamhet när det gäller till exempel utbyte av goda metoder och erfarenheter, permanent stöd och krisåtgärder, insamling och analys av information. Enligt det föreslagna avtalet åtar sig Norge även att årligen lämna ekonomiska bidrag till stödkontoret.</w:t>
      </w:r>
    </w:p>
    <w:p w14:paraId="19632094" w14:textId="77777777" w:rsidR="00643D86" w:rsidRDefault="00903B82" w:rsidP="00643D86">
      <w:pPr>
        <w:pStyle w:val="Rubrik1"/>
      </w:pPr>
      <w:bookmarkStart w:id="13" w:name="_Toc387907005"/>
      <w:r>
        <w:rPr>
          <w:noProof/>
        </w:rPr>
        <w:t>Council</w:t>
      </w:r>
      <w:r>
        <w:t xml:space="preserve"> Decision on the position </w:t>
      </w:r>
      <w:proofErr w:type="spellStart"/>
      <w:r>
        <w:t>to</w:t>
      </w:r>
      <w:proofErr w:type="spellEnd"/>
      <w:r>
        <w:t xml:space="preserve"> be </w:t>
      </w:r>
      <w:proofErr w:type="spellStart"/>
      <w:r>
        <w:t>adopted</w:t>
      </w:r>
      <w:proofErr w:type="spellEnd"/>
      <w:r>
        <w:t xml:space="preserve">, on </w:t>
      </w:r>
      <w:proofErr w:type="spellStart"/>
      <w:r>
        <w:t>behalf</w:t>
      </w:r>
      <w:proofErr w:type="spellEnd"/>
      <w:r>
        <w:t xml:space="preserve"> </w:t>
      </w:r>
      <w:proofErr w:type="spellStart"/>
      <w:r>
        <w:t>of</w:t>
      </w:r>
      <w:proofErr w:type="spellEnd"/>
      <w:r>
        <w:t xml:space="preserve"> the </w:t>
      </w:r>
      <w:proofErr w:type="spellStart"/>
      <w:r>
        <w:t>European</w:t>
      </w:r>
      <w:proofErr w:type="spellEnd"/>
      <w:r>
        <w:t xml:space="preserve"> Union, in the EEA Joint </w:t>
      </w:r>
      <w:proofErr w:type="spellStart"/>
      <w:r>
        <w:t>Committee</w:t>
      </w:r>
      <w:proofErr w:type="spellEnd"/>
      <w:r>
        <w:t xml:space="preserve"> </w:t>
      </w:r>
      <w:proofErr w:type="spellStart"/>
      <w:r>
        <w:t>concerning</w:t>
      </w:r>
      <w:proofErr w:type="spellEnd"/>
      <w:r>
        <w:t xml:space="preserve"> an </w:t>
      </w:r>
      <w:proofErr w:type="spellStart"/>
      <w:r>
        <w:t>amendment</w:t>
      </w:r>
      <w:proofErr w:type="spellEnd"/>
      <w:r>
        <w:t xml:space="preserve"> </w:t>
      </w:r>
      <w:proofErr w:type="spellStart"/>
      <w:r>
        <w:t>to</w:t>
      </w:r>
      <w:proofErr w:type="spellEnd"/>
      <w:r>
        <w:t xml:space="preserve"> </w:t>
      </w:r>
      <w:proofErr w:type="spellStart"/>
      <w:r>
        <w:t>Protocol</w:t>
      </w:r>
      <w:proofErr w:type="spellEnd"/>
      <w:r>
        <w:t xml:space="preserve"> 31 </w:t>
      </w:r>
      <w:proofErr w:type="spellStart"/>
      <w:r>
        <w:t>to</w:t>
      </w:r>
      <w:proofErr w:type="spellEnd"/>
      <w:r>
        <w:t xml:space="preserve"> the EEA </w:t>
      </w:r>
      <w:proofErr w:type="spellStart"/>
      <w:r>
        <w:t>Agreement</w:t>
      </w:r>
      <w:proofErr w:type="spellEnd"/>
      <w:r>
        <w:t xml:space="preserve">, on </w:t>
      </w:r>
      <w:proofErr w:type="spellStart"/>
      <w:r>
        <w:t>cooperation</w:t>
      </w:r>
      <w:proofErr w:type="spellEnd"/>
      <w:r>
        <w:t xml:space="preserve"> in </w:t>
      </w:r>
      <w:proofErr w:type="spellStart"/>
      <w:r>
        <w:t>specific</w:t>
      </w:r>
      <w:proofErr w:type="spellEnd"/>
      <w:r>
        <w:t xml:space="preserve"> </w:t>
      </w:r>
      <w:proofErr w:type="spellStart"/>
      <w:r>
        <w:t>fields</w:t>
      </w:r>
      <w:proofErr w:type="spellEnd"/>
      <w:r>
        <w:t xml:space="preserve"> </w:t>
      </w:r>
      <w:proofErr w:type="spellStart"/>
      <w:r>
        <w:t>outside</w:t>
      </w:r>
      <w:proofErr w:type="spellEnd"/>
      <w:r>
        <w:t xml:space="preserve"> the </w:t>
      </w:r>
      <w:proofErr w:type="spellStart"/>
      <w:r>
        <w:t>four</w:t>
      </w:r>
      <w:proofErr w:type="spellEnd"/>
      <w:r>
        <w:t xml:space="preserve"> </w:t>
      </w:r>
      <w:proofErr w:type="spellStart"/>
      <w:r>
        <w:t>freedoms</w:t>
      </w:r>
      <w:proofErr w:type="spellEnd"/>
      <w:r>
        <w:t xml:space="preserve"> (</w:t>
      </w:r>
      <w:proofErr w:type="spellStart"/>
      <w:r>
        <w:t>Employment</w:t>
      </w:r>
      <w:proofErr w:type="spellEnd"/>
      <w:r>
        <w:t xml:space="preserve"> and Social Innovation)</w:t>
      </w:r>
      <w:bookmarkEnd w:id="13"/>
    </w:p>
    <w:p w14:paraId="19632095" w14:textId="77777777" w:rsidR="00643D86" w:rsidRDefault="00903B82" w:rsidP="00643D86">
      <w:pPr>
        <w:rPr>
          <w:lang w:val="en-US"/>
        </w:rPr>
      </w:pPr>
      <w:r>
        <w:rPr>
          <w:noProof/>
          <w:lang w:val="en-US"/>
        </w:rPr>
        <w:t>8535</w:t>
      </w:r>
      <w:r>
        <w:rPr>
          <w:lang w:val="en-US"/>
        </w:rPr>
        <w:t>/14 EEE 19 SOC 252 ECOFIN 350 COMPET 2118536/14 EEE 20 SOC 253 ECOFIN 351 COMPET 212</w:t>
      </w:r>
    </w:p>
    <w:p w14:paraId="19632096" w14:textId="77777777" w:rsidR="00643D86" w:rsidRDefault="00903B82" w:rsidP="00643D86">
      <w:r>
        <w:rPr>
          <w:b/>
        </w:rPr>
        <w:t>Ansvarigt statsråd</w:t>
      </w:r>
      <w:r>
        <w:rPr>
          <w:b/>
        </w:rPr>
        <w:br/>
      </w:r>
      <w:r>
        <w:rPr>
          <w:noProof/>
        </w:rPr>
        <w:t>Carl</w:t>
      </w:r>
      <w:r>
        <w:t xml:space="preserve"> Bildt</w:t>
      </w:r>
    </w:p>
    <w:p w14:paraId="1963209B" w14:textId="0B88F082" w:rsidR="00972874" w:rsidRDefault="00903B82">
      <w:pPr>
        <w:spacing w:after="280" w:afterAutospacing="1"/>
      </w:pPr>
      <w:r>
        <w:rPr>
          <w:b/>
          <w:bCs/>
        </w:rPr>
        <w:t xml:space="preserve">Avsikt med behandlingen i rådet: </w:t>
      </w:r>
      <w:r>
        <w:t>Att unionens program för sysselsättning och social innovation införlivas i EES.</w:t>
      </w:r>
    </w:p>
    <w:p w14:paraId="1963209D" w14:textId="1F00A2D9" w:rsidR="00972874" w:rsidRDefault="00903B82">
      <w:pPr>
        <w:spacing w:after="280" w:afterAutospacing="1"/>
      </w:pPr>
      <w:r>
        <w:rPr>
          <w:b/>
          <w:bCs/>
        </w:rPr>
        <w:lastRenderedPageBreak/>
        <w:t>Hur regeringen ställer sig till den blivande A-punkten:</w:t>
      </w:r>
      <w:r w:rsidR="00586DAD">
        <w:rPr>
          <w:b/>
          <w:bCs/>
        </w:rPr>
        <w:t xml:space="preserve"> </w:t>
      </w:r>
      <w:r>
        <w:t>Regeringen bör stödja förslaget.</w:t>
      </w:r>
    </w:p>
    <w:p w14:paraId="1963209F" w14:textId="57A84A67" w:rsidR="00972874" w:rsidRDefault="00903B82">
      <w:pPr>
        <w:spacing w:after="280" w:afterAutospacing="1"/>
      </w:pPr>
      <w:r>
        <w:rPr>
          <w:b/>
          <w:bCs/>
        </w:rPr>
        <w:t xml:space="preserve">Bakgrund: </w:t>
      </w:r>
      <w:r>
        <w:t>EU:s program för sysselsättning och innovation (</w:t>
      </w:r>
      <w:proofErr w:type="spellStart"/>
      <w:r>
        <w:t>EaSI</w:t>
      </w:r>
      <w:proofErr w:type="spellEnd"/>
      <w:r>
        <w:t xml:space="preserve">) är ett finansiellt EU-instrument för att finansiera en hållbar sysselsättning, garantera adekvat socialt skydd och motverka socialt utanförskap och fattigdom genom utvecklande av bättre arbetsvillkor. I programmet stöds utveckling av socialt skydd, främjas geografisk mobilitet och sysselsättningsmöjligheter understöds genom utvecklande av en öppen arbetsmarknad. </w:t>
      </w:r>
      <w:proofErr w:type="spellStart"/>
      <w:r>
        <w:t>EaSI</w:t>
      </w:r>
      <w:proofErr w:type="spellEnd"/>
      <w:r>
        <w:t xml:space="preserve"> bör nu införlivas i EES. </w:t>
      </w:r>
    </w:p>
    <w:p w14:paraId="196320A1" w14:textId="644184CA" w:rsidR="00FB32B9" w:rsidRDefault="00903B82">
      <w:pPr>
        <w:spacing w:after="280" w:afterAutospacing="1"/>
        <w:rPr>
          <w:noProof/>
        </w:rPr>
      </w:pPr>
      <w:r>
        <w:t>Behörig kommitté att fatta beslut om detta är EES gemensamma kommitté. Detta förslag till beslut avser unionens ståndpunkt i denna sak i EES gemensamma kommitté.</w:t>
      </w:r>
      <w:r>
        <w:rPr>
          <w:b/>
          <w:bCs/>
        </w:rPr>
        <w:t xml:space="preserve"> </w:t>
      </w:r>
      <w:r>
        <w:t xml:space="preserve">Genom EES (Europeiska ekonomiska samarbetsområdet) deltar även Norge, Island och Liechtenstein i EU:s inre marknad och i EU-program av relevans för den inre marknaden. EES-fördraget föreskriver att relevanta EU-förordningar ska införlivas i EES. </w:t>
      </w:r>
    </w:p>
    <w:p w14:paraId="196320B3" w14:textId="77777777" w:rsidR="00643D86" w:rsidRDefault="00903B82" w:rsidP="00643D86">
      <w:pPr>
        <w:pStyle w:val="Rubrik1"/>
      </w:pPr>
      <w:bookmarkStart w:id="14" w:name="_Toc387907006"/>
      <w:r>
        <w:rPr>
          <w:noProof/>
        </w:rPr>
        <w:t>Draft</w:t>
      </w:r>
      <w:r>
        <w:t xml:space="preserve"> Council Decision </w:t>
      </w:r>
      <w:proofErr w:type="spellStart"/>
      <w:r>
        <w:t>repealing</w:t>
      </w:r>
      <w:proofErr w:type="spellEnd"/>
      <w:r>
        <w:t xml:space="preserve"> Decision 2010/371/EU </w:t>
      </w:r>
      <w:proofErr w:type="spellStart"/>
      <w:r>
        <w:t>of</w:t>
      </w:r>
      <w:proofErr w:type="spellEnd"/>
      <w:r>
        <w:t xml:space="preserve"> 7 June 2010 </w:t>
      </w:r>
      <w:proofErr w:type="spellStart"/>
      <w:r>
        <w:t>concerning</w:t>
      </w:r>
      <w:proofErr w:type="spellEnd"/>
      <w:r>
        <w:t xml:space="preserve"> the </w:t>
      </w:r>
      <w:proofErr w:type="spellStart"/>
      <w:r>
        <w:t>conclusion</w:t>
      </w:r>
      <w:proofErr w:type="spellEnd"/>
      <w:r>
        <w:t xml:space="preserve"> </w:t>
      </w:r>
      <w:proofErr w:type="spellStart"/>
      <w:r>
        <w:t>of</w:t>
      </w:r>
      <w:proofErr w:type="spellEnd"/>
      <w:r>
        <w:t xml:space="preserve"> </w:t>
      </w:r>
      <w:proofErr w:type="spellStart"/>
      <w:r>
        <w:t>consultations</w:t>
      </w:r>
      <w:proofErr w:type="spellEnd"/>
      <w:r>
        <w:t xml:space="preserve"> </w:t>
      </w:r>
      <w:proofErr w:type="spellStart"/>
      <w:r>
        <w:t>with</w:t>
      </w:r>
      <w:proofErr w:type="spellEnd"/>
      <w:r>
        <w:t xml:space="preserve"> the </w:t>
      </w:r>
      <w:proofErr w:type="spellStart"/>
      <w:r>
        <w:t>Republic</w:t>
      </w:r>
      <w:proofErr w:type="spellEnd"/>
      <w:r>
        <w:t xml:space="preserve"> </w:t>
      </w:r>
      <w:proofErr w:type="spellStart"/>
      <w:r>
        <w:t>of</w:t>
      </w:r>
      <w:proofErr w:type="spellEnd"/>
      <w:r>
        <w:t xml:space="preserve"> </w:t>
      </w:r>
      <w:proofErr w:type="spellStart"/>
      <w:r>
        <w:t>Madagascar</w:t>
      </w:r>
      <w:proofErr w:type="spellEnd"/>
      <w:r>
        <w:t xml:space="preserve"> under </w:t>
      </w:r>
      <w:proofErr w:type="spellStart"/>
      <w:r>
        <w:t>Article</w:t>
      </w:r>
      <w:proofErr w:type="spellEnd"/>
      <w:r>
        <w:t xml:space="preserve"> 96 </w:t>
      </w:r>
      <w:proofErr w:type="spellStart"/>
      <w:r>
        <w:t>of</w:t>
      </w:r>
      <w:proofErr w:type="spellEnd"/>
      <w:r>
        <w:t xml:space="preserve"> the ACP-EU Partnership </w:t>
      </w:r>
      <w:proofErr w:type="spellStart"/>
      <w:r>
        <w:t>Agreement</w:t>
      </w:r>
      <w:bookmarkEnd w:id="14"/>
      <w:proofErr w:type="spellEnd"/>
      <w:r>
        <w:t xml:space="preserve"> </w:t>
      </w:r>
    </w:p>
    <w:p w14:paraId="196320B4" w14:textId="1F3DF979" w:rsidR="00643D86" w:rsidRDefault="00903B82" w:rsidP="00643D86">
      <w:pPr>
        <w:rPr>
          <w:lang w:val="en-US"/>
        </w:rPr>
      </w:pPr>
      <w:r>
        <w:rPr>
          <w:noProof/>
          <w:lang w:val="en-US"/>
        </w:rPr>
        <w:t>9226</w:t>
      </w:r>
      <w:r>
        <w:rPr>
          <w:lang w:val="en-US"/>
        </w:rPr>
        <w:t>/14 ACP 74 COAFR 146 PESC 439 RELEX 365 9225/14 ACP 73 COAFR 145 PESC 438 RELEX 364</w:t>
      </w:r>
    </w:p>
    <w:p w14:paraId="196320B5" w14:textId="77777777" w:rsidR="00643D86" w:rsidRDefault="00903B82" w:rsidP="00643D86">
      <w:r>
        <w:rPr>
          <w:b/>
        </w:rPr>
        <w:t>Ansvarigt statsråd</w:t>
      </w:r>
      <w:r>
        <w:rPr>
          <w:b/>
        </w:rPr>
        <w:br/>
      </w:r>
      <w:r>
        <w:rPr>
          <w:noProof/>
        </w:rPr>
        <w:t>Hillevi</w:t>
      </w:r>
      <w:r>
        <w:t xml:space="preserve"> Engström</w:t>
      </w:r>
    </w:p>
    <w:p w14:paraId="196320B9" w14:textId="77022693" w:rsidR="00972874" w:rsidRDefault="00903B82" w:rsidP="00903B82">
      <w:r>
        <w:rPr>
          <w:b/>
          <w:bCs/>
        </w:rPr>
        <w:t>Avsikt med behandlingen i rådet:</w:t>
      </w:r>
      <w:r>
        <w:t xml:space="preserve"> Kommissionens förslag </w:t>
      </w:r>
      <w:proofErr w:type="gramStart"/>
      <w:r>
        <w:t>avses</w:t>
      </w:r>
      <w:proofErr w:type="gramEnd"/>
      <w:r>
        <w:t xml:space="preserve"> </w:t>
      </w:r>
      <w:proofErr w:type="gramStart"/>
      <w:r>
        <w:t>antas</w:t>
      </w:r>
      <w:proofErr w:type="gramEnd"/>
      <w:r>
        <w:t xml:space="preserve">, och artikel-96 utgärderna mot Madagaskar upphävas. </w:t>
      </w:r>
    </w:p>
    <w:p w14:paraId="196320BB" w14:textId="7AA5EDC6" w:rsidR="00972874" w:rsidRDefault="00903B82">
      <w:pPr>
        <w:spacing w:after="280" w:afterAutospacing="1"/>
      </w:pPr>
      <w:r>
        <w:rPr>
          <w:b/>
          <w:bCs/>
        </w:rPr>
        <w:t>Hur regeringen ställer sig till den blivande A-punkten:</w:t>
      </w:r>
      <w:r>
        <w:t xml:space="preserve"> Regeringen kan godta kommissionens förslag </w:t>
      </w:r>
    </w:p>
    <w:p w14:paraId="196320BE" w14:textId="68286E9D" w:rsidR="00FB32B9" w:rsidRDefault="00903B82">
      <w:pPr>
        <w:spacing w:after="280" w:afterAutospacing="1"/>
        <w:rPr>
          <w:noProof/>
        </w:rPr>
      </w:pPr>
      <w:r>
        <w:rPr>
          <w:b/>
          <w:bCs/>
        </w:rPr>
        <w:t>Bakgrund:</w:t>
      </w:r>
      <w:r w:rsidR="00D71372">
        <w:rPr>
          <w:b/>
          <w:bCs/>
        </w:rPr>
        <w:t xml:space="preserve"> </w:t>
      </w:r>
      <w:r>
        <w:t>Efter en statskupp på Madagaskar 2009 beslutade Rådet den 6 juni 2010, efter artikel 96-förhandlingar, om åtgärder (</w:t>
      </w:r>
      <w:proofErr w:type="spellStart"/>
      <w:r>
        <w:t>bl</w:t>
      </w:r>
      <w:proofErr w:type="spellEnd"/>
      <w:r>
        <w:t xml:space="preserve"> a fruset bistånd) mot Madagaskar. Beslutet har sedan dess ändrats årligen, senast den 3 december 2013, då beslutet från 2010 förlängdes till att gälla ”till dess att rådet, med utgångspunkt i ett förslag från kommissionen, bedömer att trovärdiga val har hållits och ett konstitutionellt styre har återupprättats i Madagaskar, utan att det föregriper regelbundna översyner under denna period”. </w:t>
      </w:r>
      <w:r>
        <w:br/>
        <w:t xml:space="preserve">Val har nu hållits i Madagaskar i två omgångar hösten 2013 och en ny regering är tillsatt, vilket HR Ashton välkomnat den 7 februari 2014. Kommissionen anser därmed att trovärdiga val har hållits och att ett konstitutionellt styre återupprättats, och föreslår därför att Rådets beslut om åtgärder upphävs. </w:t>
      </w:r>
    </w:p>
    <w:bookmarkEnd w:id="1"/>
    <w:p w14:paraId="196320BF" w14:textId="77777777" w:rsidR="00643D86" w:rsidRPr="00643D86" w:rsidRDefault="00116D2E" w:rsidP="00643D86">
      <w:pPr>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320D1" w14:textId="77777777" w:rsidR="00693B5C" w:rsidRDefault="00903B82">
      <w:pPr>
        <w:spacing w:after="0" w:line="240" w:lineRule="auto"/>
      </w:pPr>
      <w:r>
        <w:separator/>
      </w:r>
    </w:p>
  </w:endnote>
  <w:endnote w:type="continuationSeparator" w:id="0">
    <w:p w14:paraId="196320D3" w14:textId="77777777" w:rsidR="00693B5C" w:rsidRDefault="0090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320CD" w14:textId="77777777" w:rsidR="00693B5C" w:rsidRDefault="00903B82">
      <w:pPr>
        <w:spacing w:after="0" w:line="240" w:lineRule="auto"/>
      </w:pPr>
      <w:r>
        <w:separator/>
      </w:r>
    </w:p>
  </w:footnote>
  <w:footnote w:type="continuationSeparator" w:id="0">
    <w:p w14:paraId="196320CF" w14:textId="77777777" w:rsidR="00693B5C" w:rsidRDefault="00903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320C0" w14:textId="77777777" w:rsidR="006E71D7" w:rsidRDefault="00116D2E" w:rsidP="006E71D7">
    <w:pPr>
      <w:pStyle w:val="Sidhuvud"/>
      <w:ind w:left="0"/>
    </w:pPr>
  </w:p>
  <w:p w14:paraId="196320C1" w14:textId="77777777" w:rsidR="006F1C0D" w:rsidRDefault="00116D2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72874" w14:paraId="196320C7" w14:textId="77777777" w:rsidTr="006E71D7">
      <w:tc>
        <w:tcPr>
          <w:tcW w:w="4606" w:type="dxa"/>
        </w:tcPr>
        <w:p w14:paraId="196320C2" w14:textId="77777777" w:rsidR="006E71D7" w:rsidRDefault="00903B82" w:rsidP="00752770">
          <w:pPr>
            <w:pStyle w:val="Sidhuvud"/>
            <w:ind w:left="0"/>
          </w:pPr>
          <w:r>
            <w:rPr>
              <w:noProof/>
              <w:lang w:eastAsia="sv-SE"/>
            </w:rPr>
            <w:drawing>
              <wp:inline distT="0" distB="0" distL="0" distR="0" wp14:anchorId="196320CD" wp14:editId="196320C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96320C3" w14:textId="77777777" w:rsidR="00FB32B9" w:rsidRDefault="00116D2E" w:rsidP="00FB32B9">
          <w:pPr>
            <w:ind w:right="916"/>
            <w:rPr>
              <w:rFonts w:ascii="TradeGothic" w:hAnsi="TradeGothic"/>
              <w:b/>
            </w:rPr>
          </w:pPr>
        </w:p>
        <w:p w14:paraId="196320C4" w14:textId="77777777" w:rsidR="00FB32B9" w:rsidRDefault="00903B82" w:rsidP="00FB32B9">
          <w:pPr>
            <w:ind w:right="916"/>
          </w:pPr>
          <w:r>
            <w:rPr>
              <w:rFonts w:ascii="TradeGothic" w:hAnsi="TradeGothic"/>
              <w:b/>
            </w:rPr>
            <w:t>Promemoria</w:t>
          </w:r>
        </w:p>
        <w:p w14:paraId="196320C5" w14:textId="77777777" w:rsidR="00FB32B9" w:rsidRDefault="00116D2E" w:rsidP="00FB32B9">
          <w:pPr>
            <w:jc w:val="right"/>
          </w:pPr>
        </w:p>
        <w:p w14:paraId="196320C6" w14:textId="392C4113" w:rsidR="006E71D7" w:rsidRDefault="00D71372" w:rsidP="00FB32B9">
          <w:pPr>
            <w:ind w:right="916"/>
          </w:pPr>
          <w:r>
            <w:rPr>
              <w:rFonts w:ascii="TradeGothic" w:hAnsi="TradeGothic"/>
              <w:b/>
              <w:noProof/>
            </w:rPr>
            <w:t>2014-05-15</w:t>
          </w:r>
          <w:r w:rsidR="00903B82" w:rsidRPr="00934953">
            <w:t xml:space="preserve"> </w:t>
          </w:r>
        </w:p>
      </w:tc>
    </w:tr>
  </w:tbl>
  <w:p w14:paraId="196320C8" w14:textId="77777777" w:rsidR="00FB32B9" w:rsidRDefault="00116D2E" w:rsidP="00FB32B9">
    <w:pPr>
      <w:pStyle w:val="Avsndare"/>
      <w:framePr w:w="0" w:hRule="auto" w:hSpace="0" w:wrap="auto" w:vAnchor="margin" w:hAnchor="text" w:xAlign="left" w:yAlign="inline"/>
      <w:rPr>
        <w:b/>
        <w:i w:val="0"/>
        <w:sz w:val="22"/>
      </w:rPr>
    </w:pPr>
  </w:p>
  <w:p w14:paraId="196320C9" w14:textId="77777777" w:rsidR="00FB32B9" w:rsidRDefault="00903B82" w:rsidP="00FB32B9">
    <w:pPr>
      <w:pStyle w:val="Avsndare"/>
      <w:framePr w:w="0" w:hRule="auto" w:hSpace="0" w:wrap="auto" w:vAnchor="margin" w:hAnchor="text" w:xAlign="left" w:yAlign="inline"/>
      <w:rPr>
        <w:b/>
        <w:i w:val="0"/>
        <w:sz w:val="22"/>
      </w:rPr>
    </w:pPr>
    <w:r>
      <w:rPr>
        <w:b/>
        <w:i w:val="0"/>
        <w:sz w:val="22"/>
      </w:rPr>
      <w:t>Statsrådsberedningen</w:t>
    </w:r>
  </w:p>
  <w:p w14:paraId="196320CA" w14:textId="77777777" w:rsidR="00FB32B9" w:rsidRDefault="00116D2E" w:rsidP="00FB32B9">
    <w:pPr>
      <w:pStyle w:val="Avsndare"/>
      <w:framePr w:w="0" w:hRule="auto" w:hSpace="0" w:wrap="auto" w:vAnchor="margin" w:hAnchor="text" w:xAlign="left" w:yAlign="inline"/>
    </w:pPr>
  </w:p>
  <w:p w14:paraId="196320CB" w14:textId="77777777" w:rsidR="00FB32B9" w:rsidRDefault="00903B82" w:rsidP="00FB32B9">
    <w:pPr>
      <w:pStyle w:val="Avsndare"/>
      <w:framePr w:w="0" w:hRule="auto" w:hSpace="0" w:wrap="auto" w:vAnchor="margin" w:hAnchor="text" w:xAlign="left" w:yAlign="inline"/>
    </w:pPr>
    <w:r>
      <w:t>EU-kansliet</w:t>
    </w:r>
  </w:p>
  <w:p w14:paraId="196320CC" w14:textId="77777777" w:rsidR="0012376B" w:rsidRDefault="00116D2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37E0EDC0">
      <w:start w:val="1"/>
      <w:numFmt w:val="decimal"/>
      <w:pStyle w:val="Rubrik1"/>
      <w:lvlText w:val="%1."/>
      <w:lvlJc w:val="left"/>
      <w:pPr>
        <w:ind w:left="720" w:hanging="360"/>
      </w:pPr>
    </w:lvl>
    <w:lvl w:ilvl="1" w:tplc="A29A5E6E" w:tentative="1">
      <w:start w:val="1"/>
      <w:numFmt w:val="lowerLetter"/>
      <w:lvlText w:val="%2."/>
      <w:lvlJc w:val="left"/>
      <w:pPr>
        <w:ind w:left="1440" w:hanging="360"/>
      </w:pPr>
    </w:lvl>
    <w:lvl w:ilvl="2" w:tplc="0562DB8C" w:tentative="1">
      <w:start w:val="1"/>
      <w:numFmt w:val="lowerRoman"/>
      <w:lvlText w:val="%3."/>
      <w:lvlJc w:val="right"/>
      <w:pPr>
        <w:ind w:left="2160" w:hanging="180"/>
      </w:pPr>
    </w:lvl>
    <w:lvl w:ilvl="3" w:tplc="18F60A22" w:tentative="1">
      <w:start w:val="1"/>
      <w:numFmt w:val="decimal"/>
      <w:lvlText w:val="%4."/>
      <w:lvlJc w:val="left"/>
      <w:pPr>
        <w:ind w:left="2880" w:hanging="360"/>
      </w:pPr>
    </w:lvl>
    <w:lvl w:ilvl="4" w:tplc="0D8AB06A" w:tentative="1">
      <w:start w:val="1"/>
      <w:numFmt w:val="lowerLetter"/>
      <w:lvlText w:val="%5."/>
      <w:lvlJc w:val="left"/>
      <w:pPr>
        <w:ind w:left="3600" w:hanging="360"/>
      </w:pPr>
    </w:lvl>
    <w:lvl w:ilvl="5" w:tplc="75FCCDCA" w:tentative="1">
      <w:start w:val="1"/>
      <w:numFmt w:val="lowerRoman"/>
      <w:lvlText w:val="%6."/>
      <w:lvlJc w:val="right"/>
      <w:pPr>
        <w:ind w:left="4320" w:hanging="180"/>
      </w:pPr>
    </w:lvl>
    <w:lvl w:ilvl="6" w:tplc="759AFE24" w:tentative="1">
      <w:start w:val="1"/>
      <w:numFmt w:val="decimal"/>
      <w:lvlText w:val="%7."/>
      <w:lvlJc w:val="left"/>
      <w:pPr>
        <w:ind w:left="5040" w:hanging="360"/>
      </w:pPr>
    </w:lvl>
    <w:lvl w:ilvl="7" w:tplc="59266F22" w:tentative="1">
      <w:start w:val="1"/>
      <w:numFmt w:val="lowerLetter"/>
      <w:lvlText w:val="%8."/>
      <w:lvlJc w:val="left"/>
      <w:pPr>
        <w:ind w:left="5760" w:hanging="360"/>
      </w:pPr>
    </w:lvl>
    <w:lvl w:ilvl="8" w:tplc="C5CEE8C4" w:tentative="1">
      <w:start w:val="1"/>
      <w:numFmt w:val="lowerRoman"/>
      <w:lvlText w:val="%9."/>
      <w:lvlJc w:val="right"/>
      <w:pPr>
        <w:ind w:left="6480" w:hanging="180"/>
      </w:pPr>
    </w:lvl>
  </w:abstractNum>
  <w:abstractNum w:abstractNumId="1">
    <w:nsid w:val="73990993"/>
    <w:multiLevelType w:val="hybridMultilevel"/>
    <w:tmpl w:val="3BD822EE"/>
    <w:lvl w:ilvl="0" w:tplc="AA62071E">
      <w:start w:val="1"/>
      <w:numFmt w:val="decimal"/>
      <w:lvlText w:val="%1."/>
      <w:lvlJc w:val="left"/>
      <w:pPr>
        <w:ind w:left="360" w:hanging="360"/>
      </w:pPr>
      <w:rPr>
        <w:b w:val="0"/>
      </w:rPr>
    </w:lvl>
    <w:lvl w:ilvl="1" w:tplc="8D9E6BFA" w:tentative="1">
      <w:start w:val="1"/>
      <w:numFmt w:val="lowerLetter"/>
      <w:lvlText w:val="%2."/>
      <w:lvlJc w:val="left"/>
      <w:pPr>
        <w:ind w:left="1080" w:hanging="360"/>
      </w:pPr>
    </w:lvl>
    <w:lvl w:ilvl="2" w:tplc="AD68E2F4" w:tentative="1">
      <w:start w:val="1"/>
      <w:numFmt w:val="lowerRoman"/>
      <w:lvlText w:val="%3."/>
      <w:lvlJc w:val="right"/>
      <w:pPr>
        <w:ind w:left="1800" w:hanging="180"/>
      </w:pPr>
    </w:lvl>
    <w:lvl w:ilvl="3" w:tplc="651EA760" w:tentative="1">
      <w:start w:val="1"/>
      <w:numFmt w:val="decimal"/>
      <w:lvlText w:val="%4."/>
      <w:lvlJc w:val="left"/>
      <w:pPr>
        <w:ind w:left="2520" w:hanging="360"/>
      </w:pPr>
    </w:lvl>
    <w:lvl w:ilvl="4" w:tplc="7DB4F36C" w:tentative="1">
      <w:start w:val="1"/>
      <w:numFmt w:val="lowerLetter"/>
      <w:lvlText w:val="%5."/>
      <w:lvlJc w:val="left"/>
      <w:pPr>
        <w:ind w:left="3240" w:hanging="360"/>
      </w:pPr>
    </w:lvl>
    <w:lvl w:ilvl="5" w:tplc="376A305A" w:tentative="1">
      <w:start w:val="1"/>
      <w:numFmt w:val="lowerRoman"/>
      <w:lvlText w:val="%6."/>
      <w:lvlJc w:val="right"/>
      <w:pPr>
        <w:ind w:left="3960" w:hanging="180"/>
      </w:pPr>
    </w:lvl>
    <w:lvl w:ilvl="6" w:tplc="7CC06044" w:tentative="1">
      <w:start w:val="1"/>
      <w:numFmt w:val="decimal"/>
      <w:lvlText w:val="%7."/>
      <w:lvlJc w:val="left"/>
      <w:pPr>
        <w:ind w:left="4680" w:hanging="360"/>
      </w:pPr>
    </w:lvl>
    <w:lvl w:ilvl="7" w:tplc="77D0D02A" w:tentative="1">
      <w:start w:val="1"/>
      <w:numFmt w:val="lowerLetter"/>
      <w:lvlText w:val="%8."/>
      <w:lvlJc w:val="left"/>
      <w:pPr>
        <w:ind w:left="5400" w:hanging="360"/>
      </w:pPr>
    </w:lvl>
    <w:lvl w:ilvl="8" w:tplc="6A66424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74"/>
    <w:rsid w:val="00116D2E"/>
    <w:rsid w:val="00586DAD"/>
    <w:rsid w:val="00693B5C"/>
    <w:rsid w:val="00903B82"/>
    <w:rsid w:val="00972874"/>
    <w:rsid w:val="00C23EA1"/>
    <w:rsid w:val="00D71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JE6N4JFJXNNF-9-61875</_dlc_DocId>
    <_dlc_DocIdUrl xmlns="8b66ae41-1ec6-402e-b662-35d1932ca064">
      <Url>http://rkdhs-sb/enhet/EUKansli/_layouts/DocIdRedir.aspx?ID=JE6N4JFJXNNF-9-61875</Url>
      <Description>JE6N4JFJXNNF-9-61875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C2B15-3AB6-42B5-8885-35B759EF7514}"/>
</file>

<file path=customXml/itemProps2.xml><?xml version="1.0" encoding="utf-8"?>
<ds:datastoreItem xmlns:ds="http://schemas.openxmlformats.org/officeDocument/2006/customXml" ds:itemID="{6959ABF3-90F5-4AF7-A478-CAE2026DA9D0}"/>
</file>

<file path=customXml/itemProps3.xml><?xml version="1.0" encoding="utf-8"?>
<ds:datastoreItem xmlns:ds="http://schemas.openxmlformats.org/officeDocument/2006/customXml" ds:itemID="{4A271FA9-EC68-4F89-AFE2-BFF65BAC1E16}"/>
</file>

<file path=customXml/itemProps4.xml><?xml version="1.0" encoding="utf-8"?>
<ds:datastoreItem xmlns:ds="http://schemas.openxmlformats.org/officeDocument/2006/customXml" ds:itemID="{FE90C1E3-BAE4-4CBC-9E48-8E0B7FDFF9F6}"/>
</file>

<file path=customXml/itemProps5.xml><?xml version="1.0" encoding="utf-8"?>
<ds:datastoreItem xmlns:ds="http://schemas.openxmlformats.org/officeDocument/2006/customXml" ds:itemID="{7BFF6C54-ECFB-4B31-93BC-91A679F0E128}"/>
</file>

<file path=customXml/itemProps6.xml><?xml version="1.0" encoding="utf-8"?>
<ds:datastoreItem xmlns:ds="http://schemas.openxmlformats.org/officeDocument/2006/customXml" ds:itemID="{42BB5B1A-3472-4085-B0CE-E6A5E3F67C50}"/>
</file>

<file path=customXml/itemProps7.xml><?xml version="1.0" encoding="utf-8"?>
<ds:datastoreItem xmlns:ds="http://schemas.openxmlformats.org/officeDocument/2006/customXml" ds:itemID="{E8BB3E26-098F-46F2-B348-FA745C817F1C}"/>
</file>

<file path=docProps/app.xml><?xml version="1.0" encoding="utf-8"?>
<Properties xmlns="http://schemas.openxmlformats.org/officeDocument/2006/extended-properties" xmlns:vt="http://schemas.openxmlformats.org/officeDocument/2006/docPropsVTypes">
  <Template>Normal</Template>
  <TotalTime>0</TotalTime>
  <Pages>8</Pages>
  <Words>2413</Words>
  <Characters>12794</Characters>
  <Application>Microsoft Office Word</Application>
  <DocSecurity>0</DocSecurity>
  <Lines>106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cp:lastPrinted>2014-05-15T06:47:00Z</cp:lastPrinted>
  <dcterms:created xsi:type="dcterms:W3CDTF">2014-05-15T07:00:00Z</dcterms:created>
  <dcterms:modified xsi:type="dcterms:W3CDTF">2014-05-15T07:00:00Z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6" name="Aktivitetskategori">
    <vt:lpwstr/>
  </property>
  <property fmtid="{D5CDD505-2E9C-101B-9397-08002B2CF9AE}" pid="7" name="_dlc_DocIdItemGuid">
    <vt:lpwstr>0d618dc6-a64e-4356-a499-873aec724ded</vt:lpwstr>
  </property>
</Properties>
</file>