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4E8" w:rsidRPr="00E244E8" w:rsidRDefault="00E244E8">
      <w:pPr>
        <w:pStyle w:val="Hemstlrubrik"/>
      </w:pPr>
      <w:r w:rsidRPr="00E244E8">
        <w:t>Förslag till riksdagsbeslut</w:t>
      </w:r>
    </w:p>
    <w:p w:rsidR="00E244E8" w:rsidRPr="00E244E8" w:rsidRDefault="00E244E8">
      <w:pPr>
        <w:pStyle w:val="Hemstlatt"/>
        <w:ind w:left="0"/>
      </w:pPr>
      <w:r w:rsidRPr="00E244E8">
        <w:t>Riksdagen tillkännager för regeringen som sin mening vad som anförs i motionen om forskning inom Mittuniversit</w:t>
      </w:r>
      <w:r w:rsidRPr="00E244E8">
        <w:t>e</w:t>
      </w:r>
      <w:r w:rsidRPr="00E244E8">
        <w:t>tet.</w:t>
      </w:r>
    </w:p>
    <w:p w:rsidR="00E244E8" w:rsidRPr="00E244E8" w:rsidRDefault="00E244E8">
      <w:pPr>
        <w:pStyle w:val="Rubrik1"/>
      </w:pPr>
      <w:r w:rsidRPr="00E244E8">
        <w:t>Motivering</w:t>
      </w:r>
    </w:p>
    <w:p w:rsidR="00E244E8" w:rsidRPr="00E244E8" w:rsidRDefault="00E244E8">
      <w:r w:rsidRPr="00E244E8">
        <w:t>När Mitthögskolan etablerades 1993 representerade den en ny organisatorisk idé inom det svenska högskolesystemet. Den skapade förutsättningar för att utveckla akademisk utbildning och forskning av hög kvalitet, och den gav i detta sammanhang bättre möjligheter till samverkan med näringsliv och o</w:t>
      </w:r>
      <w:r w:rsidRPr="00E244E8">
        <w:t>m</w:t>
      </w:r>
      <w:r w:rsidRPr="00E244E8">
        <w:t>givande samhälle än traditionella en-campus-högskolor. Strukturen krävde ett pedagogiskt nytänkande som rönt intresse vid utveckling av framtida utbil</w:t>
      </w:r>
      <w:r w:rsidRPr="00E244E8">
        <w:t>d</w:t>
      </w:r>
      <w:r w:rsidRPr="00E244E8">
        <w:t>ning även vid traditionellt uppbyggda universitet och högskolor. Mitthögsk</w:t>
      </w:r>
      <w:r w:rsidRPr="00E244E8">
        <w:t>o</w:t>
      </w:r>
      <w:r w:rsidRPr="00E244E8">
        <w:t>lan lokaliserades geografiskt till en region som hade långt till närmaste un</w:t>
      </w:r>
      <w:r w:rsidRPr="00E244E8">
        <w:t>i</w:t>
      </w:r>
      <w:r w:rsidRPr="00E244E8">
        <w:t>versitet.</w:t>
      </w:r>
    </w:p>
    <w:p w:rsidR="00E244E8" w:rsidRPr="00E244E8" w:rsidRDefault="00E244E8">
      <w:pPr>
        <w:pStyle w:val="Normaltindrag"/>
      </w:pPr>
      <w:r w:rsidRPr="00E244E8">
        <w:t xml:space="preserve">Det mest påtagliga tecknet på att denna satsning var framsynt och har givit resultat är att Mitthögskolan efter prövningar bedömdes ha den kvaliteten att den fr.o.m. den 1 januari 2005 kunde övergå </w:t>
      </w:r>
      <w:r w:rsidRPr="00E244E8">
        <w:t>till att bli universitet – Mittun</w:t>
      </w:r>
      <w:r w:rsidRPr="00E244E8">
        <w:t>i</w:t>
      </w:r>
      <w:r w:rsidRPr="00E244E8">
        <w:t>versitetet.</w:t>
      </w:r>
    </w:p>
    <w:p w:rsidR="00E244E8" w:rsidRPr="00E244E8" w:rsidRDefault="00E244E8">
      <w:pPr>
        <w:pStyle w:val="Normaltindrag"/>
      </w:pPr>
      <w:r w:rsidRPr="00E244E8">
        <w:t>När Mittuniversitetet nu etablerats är det mycket angeläget från såväl reg</w:t>
      </w:r>
      <w:r w:rsidRPr="00E244E8">
        <w:t>i</w:t>
      </w:r>
      <w:r w:rsidRPr="00E244E8">
        <w:t>onal som nationell synpunkt att det ges reella möjligheter och resurser att utvecklas till ett starkt universitet. Det är allvarligt om regeringen vid resur</w:t>
      </w:r>
      <w:r w:rsidRPr="00E244E8">
        <w:t>s</w:t>
      </w:r>
      <w:r w:rsidRPr="00E244E8">
        <w:t>fördelningen till Mittuniversitetet och inte tar hänsyn till att universitetet endast funnits i knappa fyra år. Mittuniversitetet behöver en förstärkning i form av en tillväxtresurs.</w:t>
      </w:r>
    </w:p>
    <w:p w:rsidR="00E244E8" w:rsidRPr="00E244E8" w:rsidRDefault="00E244E8">
      <w:pPr>
        <w:pStyle w:val="Rubrik1"/>
      </w:pPr>
      <w:r w:rsidRPr="00E244E8">
        <w:lastRenderedPageBreak/>
        <w:t>Forskning och utbildning på forskarnivå</w:t>
      </w:r>
    </w:p>
    <w:p w:rsidR="00E244E8" w:rsidRPr="00E244E8" w:rsidRDefault="00E244E8">
      <w:r w:rsidRPr="00E244E8">
        <w:t>Forskningen inom Mittuniversitetet är profilerad och inriktas mot att bedriva forskning av hög internationell kvalitet på områden där stark forskningsver</w:t>
      </w:r>
      <w:r w:rsidRPr="00E244E8">
        <w:t>k</w:t>
      </w:r>
      <w:r w:rsidRPr="00E244E8">
        <w:t>samhet svarar mot regionala behov. En regional FoU-strategi har utarbetats i samverkan mellan Mittuniversitetet och regionala organ. Universitetet tar vidare aktiv del i det regionala tillväxtarbetet i två län och har omfattande aktiviteter inom mål 2 och mål 3. Organisationen för stöd till externfinanserad forskning har stärkts med särskild inriktning mot internationell forskningsf</w:t>
      </w:r>
      <w:r w:rsidRPr="00E244E8">
        <w:t>i</w:t>
      </w:r>
      <w:r w:rsidRPr="00E244E8">
        <w:t>nansering. Detta genomförs i nära samarbete med de intentioner som ges i EU-kommissionens grönbok Europeiska området för fors</w:t>
      </w:r>
      <w:r w:rsidRPr="00E244E8">
        <w:t>kningsverksamhet – Nya utsikter, där man utöver ett fåtal spetsforskningsenheter talar om ”ett rikt nät av universitet och offentliga forskningsorganisationer inom hela EU, som går i främsta ledet när det gäller att tillgodose forsknings- och utbildningsb</w:t>
      </w:r>
      <w:r w:rsidRPr="00E244E8">
        <w:t>e</w:t>
      </w:r>
      <w:r w:rsidRPr="00E244E8">
        <w:t>hov på nationell, regional och sektoriell nivå”.</w:t>
      </w:r>
    </w:p>
    <w:p w:rsidR="00E244E8" w:rsidRPr="00E244E8" w:rsidRDefault="00E244E8">
      <w:pPr>
        <w:pStyle w:val="Normaltindrag"/>
      </w:pPr>
      <w:r w:rsidRPr="00E244E8">
        <w:t>Mittuniversitetet definierade 2004 sex tvärvetenskapliga forskningsprof</w:t>
      </w:r>
      <w:r w:rsidRPr="00E244E8">
        <w:t>i</w:t>
      </w:r>
      <w:r w:rsidRPr="00E244E8">
        <w:t>ler. Dessa profiler har i huvudsak utvecklats med utgångspunkt i Mittunivers</w:t>
      </w:r>
      <w:r w:rsidRPr="00E244E8">
        <w:t>i</w:t>
      </w:r>
      <w:r w:rsidRPr="00E244E8">
        <w:t>tetets kompetens och definierade regionala behov. De starkaste komponente</w:t>
      </w:r>
      <w:r w:rsidRPr="00E244E8">
        <w:t>r</w:t>
      </w:r>
      <w:r w:rsidRPr="00E244E8">
        <w:t>na ur dessa forskningsprofiler har nu konsoliderats under rubriken ”Skog och fjäll som resurser för näringsliv och livskvalitet” med underrubrikerna Nä</w:t>
      </w:r>
      <w:r w:rsidRPr="00E244E8">
        <w:t>r</w:t>
      </w:r>
      <w:r w:rsidRPr="00E244E8">
        <w:t>ingsliv, Livskvalitet och Lärande. De tre valda begreppen rymmer de centrala delarna ur Mittuniversitetets forsknings- och utbildningsstrategi och passar väl in på de områden som är av intresse för universite</w:t>
      </w:r>
      <w:r w:rsidRPr="00E244E8">
        <w:t>tets strategiska sama</w:t>
      </w:r>
      <w:r w:rsidRPr="00E244E8">
        <w:t>r</w:t>
      </w:r>
      <w:r w:rsidRPr="00E244E8">
        <w:t>betspartner.</w:t>
      </w:r>
    </w:p>
    <w:p w:rsidR="00E244E8" w:rsidRPr="00E244E8" w:rsidRDefault="00E244E8">
      <w:pPr>
        <w:pStyle w:val="Normaltindrag"/>
      </w:pPr>
      <w:r w:rsidRPr="00E244E8">
        <w:t>Till området näringsliv räknas bl.a. verksamheten inom områdena skog</w:t>
      </w:r>
      <w:r w:rsidRPr="00E244E8">
        <w:t>s</w:t>
      </w:r>
      <w:r w:rsidRPr="00E244E8">
        <w:t>industri och skogens värdekedja samt industriell informationsteknologi och digitala tjänster som är väl etablerade och internationellt erkänd. Omfattande forskning bedrivs inom det skogsindustriella forskningscentret FSCN, inom Excellence Center Acreo Fiberoptik Center (AFOC) och i samarbete med den av Vinnova finansierade vinnväxt-miljön Fiber Optic Valley. Det är också inom dessa områden som förmågan till samproduktion är mest etablerad t.ex. genom gemensamma forskningsprojekt, masterprogram och forskars</w:t>
      </w:r>
      <w:r w:rsidRPr="00E244E8">
        <w:t>kolan i mekanisk massateknik. Skogsindustrin har en stor nationell betydelse genom sitt omfattande exportöverskott. Skogen är också en viktig resurs som förn</w:t>
      </w:r>
      <w:r w:rsidRPr="00E244E8">
        <w:t>y</w:t>
      </w:r>
      <w:r w:rsidRPr="00E244E8">
        <w:t>bar energikälla. Utveckling av metoder för effektivare råvaruutnyttjande är nödvändiga för att skapa tillväxt inom ett område där råvaran blir en begrä</w:t>
      </w:r>
      <w:r w:rsidRPr="00E244E8">
        <w:t>n</w:t>
      </w:r>
      <w:r w:rsidRPr="00E244E8">
        <w:t>sande faktor.</w:t>
      </w:r>
    </w:p>
    <w:p w:rsidR="00E244E8" w:rsidRPr="00E244E8" w:rsidRDefault="00E244E8">
      <w:pPr>
        <w:pStyle w:val="Normaltindrag"/>
      </w:pPr>
      <w:r w:rsidRPr="00E244E8">
        <w:t>Skogsindustriell forskning vid Mittuniversitetet fokuserar på effektivis</w:t>
      </w:r>
      <w:r w:rsidRPr="00E244E8">
        <w:t>e</w:t>
      </w:r>
      <w:r w:rsidRPr="00E244E8">
        <w:t>ring av de mycket avancerade tillverkningsprocesserna i massa- och papper</w:t>
      </w:r>
      <w:r w:rsidRPr="00E244E8">
        <w:t>s</w:t>
      </w:r>
      <w:r w:rsidRPr="00E244E8">
        <w:t xml:space="preserve">industrin samtidigt som nya användningsområden för fiberbaserade produkter studeras. Visionen är att bygga vidare på en redan stark miljö för utveckling och förnyelse inom basindustrin, särskilt för industri baserad på skogsråvara, samt att utveckla metoder och verktyg för arbete och tjänsteproduktion på distans. En koppling mellan basindustrin och sektor för finansiella tjänster finns genom den stora betydelse som kapitalfrågor har </w:t>
      </w:r>
      <w:r w:rsidRPr="00E244E8">
        <w:t>för den kapitalintens</w:t>
      </w:r>
      <w:r w:rsidRPr="00E244E8">
        <w:t>i</w:t>
      </w:r>
      <w:r w:rsidRPr="00E244E8">
        <w:t>va råvarubaserade industrin och för kostnadskrävande innovationsverksa</w:t>
      </w:r>
      <w:r w:rsidRPr="00E244E8">
        <w:t>m</w:t>
      </w:r>
      <w:r w:rsidRPr="00E244E8">
        <w:t>het. Centralt inom området är också forskningen inom entreprenörskap, som exempelvis studerar skillnader beträffande företagskultur och motivation</w:t>
      </w:r>
      <w:r w:rsidRPr="00E244E8">
        <w:t>s</w:t>
      </w:r>
      <w:r w:rsidRPr="00E244E8">
        <w:t>förmåga mellan småskaliga verksamheter och storföretag.</w:t>
      </w:r>
    </w:p>
    <w:p w:rsidR="00E244E8" w:rsidRPr="00E244E8" w:rsidRDefault="00E244E8">
      <w:pPr>
        <w:pStyle w:val="Normaltindrag"/>
      </w:pPr>
      <w:r w:rsidRPr="00E244E8">
        <w:t>Området livskvalitet innehåller turism, idrott och upplevelseteknologi som är väl etablerade kompetensområden vid Mittuniversitetet och knyter an till den omfattande turismindustrin i fjällbygden och satsningen på Na</w:t>
      </w:r>
      <w:r w:rsidRPr="00E244E8">
        <w:t>tionellt Vintersportcentrum i Östersund med forskning inom bl.a. sportteknologi. I fjällvärlden sker en snabb tillväxt med anledning av ett allt större resande för rekreation och aktivt friluftsliv. Sambandet mellan motion/idrott och hälsa är välkänt, och frågor om vad som skapar trygghet i en värld som kan upplevas som hotfull, sysselsätter för närvarande flera forskargrupper. Frågan om hur regionala resurser bidrar till livskvalitet står därmed i centrum för en rad b</w:t>
      </w:r>
      <w:r w:rsidRPr="00E244E8">
        <w:t>e</w:t>
      </w:r>
      <w:r w:rsidRPr="00E244E8">
        <w:t>fintliga satsningar. Till området livs</w:t>
      </w:r>
      <w:r w:rsidRPr="00E244E8">
        <w:t>kvalitet anknyter också viktig verksamhet kring olika aspekter av e-samhällets utveckling, bl.a. när det gäller nya d</w:t>
      </w:r>
      <w:r w:rsidRPr="00E244E8">
        <w:t>i</w:t>
      </w:r>
      <w:r w:rsidRPr="00E244E8">
        <w:t>stansoberoende tjänster och produkter, inte minst inom lärande, omsorg och vård.</w:t>
      </w:r>
    </w:p>
    <w:p w:rsidR="00E244E8" w:rsidRPr="00E244E8" w:rsidRDefault="00E244E8">
      <w:pPr>
        <w:pStyle w:val="Normaltindrag"/>
      </w:pPr>
      <w:r w:rsidRPr="00E244E8">
        <w:t>Mittuniversitetets forskning och utbildning inom turism, upplevelsepr</w:t>
      </w:r>
      <w:r w:rsidRPr="00E244E8">
        <w:t>o</w:t>
      </w:r>
      <w:r w:rsidRPr="00E244E8">
        <w:t>duktion och sport- och friluftsliv (tjänster och produkter) utgör en viktig del av det innovationssystem som växer fram inom turismen och närbesläktade näringar. Det är samproduktion med externa aktörer t.ex. genom ”Peak of Tech Adventure”, turismforskningsinstitutet ETOUR och med hjälp av erf</w:t>
      </w:r>
      <w:r w:rsidRPr="00E244E8">
        <w:t>a</w:t>
      </w:r>
      <w:r w:rsidRPr="00E244E8">
        <w:t>renheter från FSCN.</w:t>
      </w:r>
    </w:p>
    <w:p w:rsidR="00E244E8" w:rsidRPr="00E244E8" w:rsidRDefault="00E244E8">
      <w:pPr>
        <w:pStyle w:val="Normaltindrag"/>
      </w:pPr>
      <w:r w:rsidRPr="00E244E8">
        <w:t>Inom området lärande är Mittuniversitetet i dag en av landets volymmä</w:t>
      </w:r>
      <w:r w:rsidRPr="00E244E8">
        <w:t>s</w:t>
      </w:r>
      <w:r w:rsidRPr="00E244E8">
        <w:t>sigt största aktörer inom nätbaserad utbildning och flexibel utbildning. Nätb</w:t>
      </w:r>
      <w:r w:rsidRPr="00E244E8">
        <w:t>a</w:t>
      </w:r>
      <w:r w:rsidRPr="00E244E8">
        <w:t>serad utbildning i flexibla former är ett nyckelbegrepp för kompetensutvec</w:t>
      </w:r>
      <w:r w:rsidRPr="00E244E8">
        <w:t>k</w:t>
      </w:r>
      <w:r w:rsidRPr="00E244E8">
        <w:t>ling inom näringslivet där sådana aktiviteter oftast ska kombineras med ord</w:t>
      </w:r>
      <w:r w:rsidRPr="00E244E8">
        <w:t>i</w:t>
      </w:r>
      <w:r w:rsidRPr="00E244E8">
        <w:t>narie arbetsuppgifter. Metoder och verktyg för IT-baserad utbildning ska analyseras och prövas noga för att sedan tillämpas i kompetensutbyte med det omgivande samhället. Områdena entreprenörskap och lärande liksom även området medie- och kommunikationsvetenskap, där Mittuniversite</w:t>
      </w:r>
      <w:r w:rsidRPr="00E244E8">
        <w:t>tet är en ledande aktör, är i hög grad betjänta av ökad kunskap om distansoberoende kommunikationsformer och teknik. I utvecklingen av lärandet ingår att arbet</w:t>
      </w:r>
      <w:r w:rsidRPr="00E244E8">
        <w:t>s</w:t>
      </w:r>
      <w:r w:rsidRPr="00E244E8">
        <w:t>livsanknyta alla utbildningsprogram, att utveckla ett utbud för det livslånga lärandet och att öka bildningen kring t.ex. kulturarv och språk. Innehållet i lärandet utgörs av det stora utbud av utbildningar som ges inom såväl sa</w:t>
      </w:r>
      <w:r w:rsidRPr="00E244E8">
        <w:t>m</w:t>
      </w:r>
      <w:r w:rsidRPr="00E244E8">
        <w:t>hällsvetenskap som humaniora, naturvetenskap och teknik.</w:t>
      </w:r>
    </w:p>
    <w:p w:rsidR="00E244E8" w:rsidRPr="00E244E8" w:rsidRDefault="00E244E8">
      <w:pPr>
        <w:pStyle w:val="Normaltindrag"/>
      </w:pPr>
      <w:r w:rsidRPr="00E244E8">
        <w:t>Utbildningarnas innehåll utgör en grund och skapar förutsättningar</w:t>
      </w:r>
      <w:r w:rsidRPr="00E244E8">
        <w:t xml:space="preserve"> för kompetensutveckling inom samtliga områden. Det finns därför starka skäl att utveckla forskningen för att Mittuniversitetet ska bli en ledande aktör inom nätbaserat lärande och kunna sprida innehållet med bästa möjliga effekt.</w:t>
      </w:r>
    </w:p>
    <w:p w:rsidR="00E244E8" w:rsidRPr="00E244E8" w:rsidRDefault="00E244E8">
      <w:pPr>
        <w:pStyle w:val="Normaltindrag"/>
      </w:pPr>
      <w:r w:rsidRPr="00E244E8">
        <w:t>Forskningen sker till stor del i samproduktion med näringsliv och offentlig sektor där närhet och nytta är ledord. Samarbetet med externa aktörer är sål</w:t>
      </w:r>
      <w:r w:rsidRPr="00E244E8">
        <w:t>e</w:t>
      </w:r>
      <w:r w:rsidRPr="00E244E8">
        <w:t>des väl utvecklat såväl regionalt som nationellt och internationellt. Detta har till stor del byggts upp med stöd av KK-stiftelsen, Vinnova, EU:s regionala fonder och EU:s ramprogram. Inom forskningen sker i dag samarbete med ett hundratal stora och små företag. Inom offentlig sektor sker ett omfattande samarbete med landstingen inom vårdområdet, med kommunerna inom lära</w:t>
      </w:r>
      <w:r w:rsidRPr="00E244E8">
        <w:t>n</w:t>
      </w:r>
      <w:r w:rsidRPr="00E244E8">
        <w:t>det och med statliga och kommunala enheter för utveckling och förvaltning av e-tjänster. Nationellt Vintersportcentrum är etablerat med s</w:t>
      </w:r>
      <w:r w:rsidRPr="00E244E8">
        <w:t>töd av idrottsr</w:t>
      </w:r>
      <w:r w:rsidRPr="00E244E8">
        <w:t>ö</w:t>
      </w:r>
      <w:r w:rsidRPr="00E244E8">
        <w:t>relsen genom Sveriges Olympiska Kommitté. Viktiga samarbetspartner är också Åkroken Sience Park och Business Incubator.</w:t>
      </w:r>
    </w:p>
    <w:p w:rsidR="00E244E8" w:rsidRPr="00E244E8" w:rsidRDefault="00E244E8">
      <w:pPr>
        <w:pStyle w:val="Normaltindrag"/>
      </w:pPr>
      <w:r w:rsidRPr="00E244E8">
        <w:t>Kvalificerad forskning inom naturvetenskap och teknik kräver tillgång till avancerad experimentell utrustning. Mittuniversitetet har med hjälp av extern finansiering, i huvudsak via mål 1, kunnat bygga upp avancerade forskning</w:t>
      </w:r>
      <w:r w:rsidRPr="00E244E8">
        <w:t>s</w:t>
      </w:r>
      <w:r w:rsidRPr="00E244E8">
        <w:t>miljöer inom elektroteknik och fiberteknologi. Dessa miljöer är viktiga för både universitetets forskning och som en resurs för regionens företag. Därför behövs långsiktig finansiering för att driva och underhålla dessa miljöer.</w:t>
      </w:r>
    </w:p>
    <w:p w:rsidR="00E244E8" w:rsidRPr="00E244E8" w:rsidRDefault="00E244E8">
      <w:pPr>
        <w:pStyle w:val="Normaltindrag"/>
      </w:pPr>
      <w:r w:rsidRPr="00E244E8">
        <w:t>En stor del av den samproducerade forskningen sker med extern finansi</w:t>
      </w:r>
      <w:r w:rsidRPr="00E244E8">
        <w:t>e</w:t>
      </w:r>
      <w:r w:rsidRPr="00E244E8">
        <w:t>ring, både internationell, nationell och regional. Det är emellertid svårt att driva en alltför stor del av forskningen med externa medel. Stabilitet i ver</w:t>
      </w:r>
      <w:r w:rsidRPr="00E244E8">
        <w:t>k</w:t>
      </w:r>
      <w:r w:rsidRPr="00E244E8">
        <w:t xml:space="preserve">samheten och balans i ekonomin kräver förutsägbarhet som bara kan uppnås om en tillräckligt stor andel av resurserna är fasta. Sammantaget konstateras således ett behov av att få ökade fasta forskningsresurser att använda främst för doktorandanställningar, medfinansiering i externa projekt och för drift och underhåll av dyra forskningsmiljöer. </w:t>
      </w:r>
    </w:p>
    <w:p w:rsidR="00E244E8" w:rsidRPr="00E244E8" w:rsidRDefault="00E244E8">
      <w:pPr>
        <w:pStyle w:val="Normaltindrag"/>
      </w:pPr>
      <w:r w:rsidRPr="00E244E8">
        <w:t>Mittuniv</w:t>
      </w:r>
      <w:r w:rsidRPr="00E244E8">
        <w:t>ersitetets möjligheter att genom tillämpad forskning i samverkan med näringslivet bidra till den nationella och den regionala tillväxten kräver en förutsägbarhet när det gäller forskningsresurser. Ökade fasta forskningsr</w:t>
      </w:r>
      <w:r w:rsidRPr="00E244E8">
        <w:t>e</w:t>
      </w:r>
      <w:r w:rsidRPr="00E244E8">
        <w:t>surser säkerställer att Mittuniversitetet även fortsättningsvis kan bedriva forskning av hög standard till nytta för Sverige och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4E8">
        <w:trPr>
          <w:cantSplit/>
        </w:trPr>
        <w:tc>
          <w:tcPr>
            <w:tcW w:w="3046" w:type="dxa"/>
          </w:tcPr>
          <w:p w:rsidR="00E244E8" w:rsidRPr="00E244E8" w:rsidRDefault="00E244E8">
            <w:pPr>
              <w:pStyle w:val="UnderskriftDatum"/>
              <w:spacing w:before="240"/>
            </w:pPr>
            <w:r w:rsidRPr="00E244E8">
              <w:t>Stockholm den 12 november 2008</w:t>
            </w:r>
          </w:p>
        </w:tc>
        <w:tc>
          <w:tcPr>
            <w:tcW w:w="3047" w:type="dxa"/>
          </w:tcPr>
          <w:p w:rsidR="00E244E8" w:rsidRPr="00E244E8" w:rsidRDefault="00E244E8">
            <w:pPr>
              <w:pStyle w:val="Underskrifter"/>
              <w:spacing w:before="240"/>
            </w:pPr>
          </w:p>
        </w:tc>
      </w:tr>
      <w:tr w:rsidR="00000000" w:rsidRPr="00E244E8">
        <w:trPr>
          <w:cantSplit/>
        </w:trPr>
        <w:tc>
          <w:tcPr>
            <w:tcW w:w="3046" w:type="dxa"/>
          </w:tcPr>
          <w:p w:rsidR="00E244E8" w:rsidRPr="00E244E8" w:rsidRDefault="00E244E8">
            <w:pPr>
              <w:pStyle w:val="Underskrifter"/>
            </w:pPr>
            <w:r w:rsidRPr="00E244E8">
              <w:t>Berit Andnor (s)</w:t>
            </w:r>
          </w:p>
        </w:tc>
        <w:tc>
          <w:tcPr>
            <w:tcW w:w="3046" w:type="dxa"/>
          </w:tcPr>
          <w:p w:rsidR="00E244E8" w:rsidRPr="00E244E8" w:rsidRDefault="00E244E8">
            <w:pPr>
              <w:pStyle w:val="Underskrifter"/>
            </w:pPr>
            <w:r w:rsidRPr="00E244E8">
              <w:t>Hans Stenberg (s)</w:t>
            </w:r>
          </w:p>
        </w:tc>
      </w:tr>
    </w:tbl>
    <w:p w:rsidR="00E244E8" w:rsidRPr="00E244E8" w:rsidRDefault="00E244E8">
      <w:pPr>
        <w:pStyle w:val="Normaltindrag"/>
      </w:pPr>
    </w:p>
    <w:sectPr w:rsidR="00000000" w:rsidRPr="00E244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4E8" w:rsidRPr="00E244E8" w:rsidRDefault="00E244E8">
      <w:r w:rsidRPr="00E244E8">
        <w:separator/>
      </w:r>
    </w:p>
  </w:endnote>
  <w:endnote w:type="continuationSeparator" w:id="0">
    <w:p w:rsidR="00E244E8" w:rsidRPr="00E244E8" w:rsidRDefault="00E244E8">
      <w:r w:rsidRPr="00E24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Sidfot"/>
    </w:pPr>
    <w:r w:rsidRPr="00E24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143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8" w:rsidRDefault="00E244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4E8" w:rsidRDefault="00E244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Sidfot"/>
    </w:pPr>
    <w:r w:rsidRPr="00E24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476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8" w:rsidRDefault="00E244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4E8" w:rsidRDefault="00E244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Sidfot"/>
    </w:pPr>
    <w:r w:rsidRPr="00E24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144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8" w:rsidRDefault="00E24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4E8" w:rsidRDefault="00E24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4E8" w:rsidRPr="00E244E8" w:rsidRDefault="00E244E8">
      <w:r w:rsidRPr="00E244E8">
        <w:separator/>
      </w:r>
    </w:p>
  </w:footnote>
  <w:footnote w:type="continuationSeparator" w:id="0">
    <w:p w:rsidR="00E244E8" w:rsidRPr="00E244E8" w:rsidRDefault="00E244E8">
      <w:r w:rsidRPr="00E24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Sidhuvud"/>
    </w:pPr>
    <w:r w:rsidRPr="00E24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705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8" w:rsidRDefault="00E24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4E8" w:rsidRDefault="00E24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Sidhuvud"/>
    </w:pPr>
    <w:r w:rsidRPr="00E24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168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8" w:rsidRDefault="00E24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4E8" w:rsidRDefault="00E24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E8" w:rsidRPr="00E244E8" w:rsidRDefault="00E244E8">
    <w:pPr>
      <w:pStyle w:val="FSHNormal"/>
      <w:tabs>
        <w:tab w:val="right" w:pos="5840"/>
      </w:tabs>
    </w:pPr>
    <w:r w:rsidRPr="00E244E8">
      <w:br/>
    </w:r>
    <w:r w:rsidRPr="00E244E8">
      <w:fldChar w:fldCharType="begin" w:fldLock="1"/>
    </w:r>
    <w:r w:rsidRPr="00E244E8">
      <w:instrText xml:space="preserve"> DOCPROPERTY</w:instrText>
    </w:r>
    <w:r w:rsidRPr="00E244E8">
      <w:rPr>
        <w:sz w:val="18"/>
      </w:rPr>
      <w:instrText xml:space="preserve"> "YearUser" *\charformat </w:instrText>
    </w:r>
    <w:r w:rsidRPr="00E244E8">
      <w:fldChar w:fldCharType="separate"/>
    </w:r>
    <w:r w:rsidRPr="00E244E8">
      <w:t>2008/09</w:t>
    </w:r>
    <w:r w:rsidRPr="00E244E8">
      <w:fldChar w:fldCharType="end"/>
    </w:r>
    <w:r w:rsidRPr="00E244E8">
      <w:t xml:space="preserve"> </w:t>
    </w:r>
    <w:r w:rsidRPr="00E244E8">
      <w:tab/>
      <w:t xml:space="preserve">mnr: </w:t>
    </w:r>
    <w:r w:rsidRPr="00E244E8">
      <w:fldChar w:fldCharType="begin" w:fldLock="1"/>
    </w:r>
    <w:r w:rsidRPr="00E244E8">
      <w:instrText xml:space="preserve"> DOCPROPERTY</w:instrText>
    </w:r>
    <w:r w:rsidRPr="00E244E8">
      <w:rPr>
        <w:sz w:val="18"/>
      </w:rPr>
      <w:instrText xml:space="preserve"> "Motionsnummer" *\charformat </w:instrText>
    </w:r>
    <w:r w:rsidRPr="00E244E8">
      <w:fldChar w:fldCharType="separate"/>
    </w:r>
    <w:r w:rsidRPr="00E244E8">
      <w:t>Ub2</w:t>
    </w:r>
    <w:r w:rsidRPr="00E244E8">
      <w:fldChar w:fldCharType="end"/>
    </w:r>
    <w:r w:rsidRPr="00E244E8">
      <w:br/>
    </w:r>
    <w:r w:rsidRPr="00E244E8">
      <w:fldChar w:fldCharType="begin" w:fldLock="1"/>
    </w:r>
    <w:r w:rsidRPr="00E244E8">
      <w:instrText xml:space="preserve"> DOCPROPERTY</w:instrText>
    </w:r>
    <w:r w:rsidRPr="00E244E8">
      <w:rPr>
        <w:sz w:val="18"/>
      </w:rPr>
      <w:instrText xml:space="preserve"> "Samling" *\charformat </w:instrText>
    </w:r>
    <w:r w:rsidRPr="00E244E8">
      <w:fldChar w:fldCharType="end"/>
    </w:r>
    <w:r w:rsidRPr="00E244E8">
      <w:tab/>
      <w:t xml:space="preserve">pnr: </w:t>
    </w:r>
    <w:r w:rsidRPr="00E244E8">
      <w:fldChar w:fldCharType="begin" w:fldLock="1"/>
    </w:r>
    <w:r w:rsidRPr="00E244E8">
      <w:instrText xml:space="preserve"> DOCPROPERTY</w:instrText>
    </w:r>
    <w:r w:rsidRPr="00E244E8">
      <w:rPr>
        <w:sz w:val="18"/>
      </w:rPr>
      <w:instrText xml:space="preserve"> "Partinummer" *\charformat </w:instrText>
    </w:r>
    <w:r w:rsidRPr="00E244E8">
      <w:fldChar w:fldCharType="separate"/>
    </w:r>
    <w:r w:rsidRPr="00E244E8">
      <w:t>s45161</w:t>
    </w:r>
    <w:r w:rsidRPr="00E244E8">
      <w:fldChar w:fldCharType="end"/>
    </w:r>
  </w:p>
  <w:p w:rsidR="00E244E8" w:rsidRPr="00E244E8" w:rsidRDefault="00E244E8">
    <w:pPr>
      <w:pStyle w:val="FSHRub1"/>
    </w:pPr>
    <w:r w:rsidRPr="00E244E8">
      <w:t>Motion till riksdagen</w:t>
    </w:r>
    <w:r w:rsidRPr="00E244E8">
      <w:br/>
    </w:r>
    <w:r w:rsidRPr="00E244E8">
      <w:fldChar w:fldCharType="begin" w:fldLock="1"/>
    </w:r>
    <w:r w:rsidRPr="00E244E8">
      <w:instrText xml:space="preserve"> DOCPROPERTY "YearUser" *\charformat </w:instrText>
    </w:r>
    <w:r w:rsidRPr="00E244E8">
      <w:fldChar w:fldCharType="separate"/>
    </w:r>
    <w:r w:rsidRPr="00E244E8">
      <w:t>2008/09</w:t>
    </w:r>
    <w:r w:rsidRPr="00E244E8">
      <w:fldChar w:fldCharType="end"/>
    </w:r>
    <w:r w:rsidRPr="00E244E8">
      <w:t>:</w:t>
    </w:r>
    <w:r w:rsidRPr="00E244E8">
      <w:fldChar w:fldCharType="begin" w:fldLock="1"/>
    </w:r>
    <w:r w:rsidRPr="00E244E8">
      <w:instrText xml:space="preserve"> DOCPROPERTY "Motionsnummer" *\charformat </w:instrText>
    </w:r>
    <w:r w:rsidRPr="00E244E8">
      <w:fldChar w:fldCharType="separate"/>
    </w:r>
    <w:r w:rsidRPr="00E244E8">
      <w:t>Ub2</w:t>
    </w:r>
    <w:r w:rsidRPr="00E244E8">
      <w:fldChar w:fldCharType="end"/>
    </w:r>
  </w:p>
  <w:p w:rsidR="00E244E8" w:rsidRPr="00E244E8" w:rsidRDefault="00E244E8">
    <w:pPr>
      <w:pStyle w:val="FSHNormalS5"/>
    </w:pPr>
    <w:r w:rsidRPr="00E244E8">
      <w:fldChar w:fldCharType="begin" w:fldLock="1"/>
    </w:r>
    <w:r w:rsidRPr="00E244E8">
      <w:instrText xml:space="preserve"> DOCPROPERTY "MotionarText" *\charformat </w:instrText>
    </w:r>
    <w:r w:rsidRPr="00E244E8">
      <w:fldChar w:fldCharType="separate"/>
    </w:r>
    <w:r w:rsidRPr="00E244E8">
      <w:t>av Berit Andnor och Hans Stenberg (s)</w:t>
    </w:r>
    <w:r w:rsidRPr="00E244E8">
      <w:fldChar w:fldCharType="end"/>
    </w:r>
    <w:r w:rsidRPr="00E244E8">
      <w:br/>
    </w:r>
    <w:r w:rsidRPr="00E244E8">
      <w:fldChar w:fldCharType="begin" w:fldLock="1"/>
    </w:r>
    <w:r w:rsidRPr="00E244E8">
      <w:instrText xml:space="preserve"> DOCPROPERTY "SvarFrasKort" *\charformat </w:instrText>
    </w:r>
    <w:r w:rsidRPr="00E244E8">
      <w:fldChar w:fldCharType="separate"/>
    </w:r>
    <w:r w:rsidRPr="00E244E8">
      <w:t>med anledning av prop. 2008/09:50</w:t>
    </w:r>
    <w:r w:rsidRPr="00E244E8">
      <w:fldChar w:fldCharType="end"/>
    </w:r>
  </w:p>
  <w:p w:rsidR="00E244E8" w:rsidRPr="00E244E8" w:rsidRDefault="00E244E8">
    <w:pPr>
      <w:pStyle w:val="FSHTitel"/>
    </w:pPr>
    <w:r w:rsidRPr="00E244E8">
      <w:fldChar w:fldCharType="begin" w:fldLock="1"/>
    </w:r>
    <w:r w:rsidRPr="00E244E8">
      <w:instrText xml:space="preserve"> DOCPROPERTY</w:instrText>
    </w:r>
    <w:r w:rsidRPr="00E244E8">
      <w:rPr>
        <w:sz w:val="18"/>
      </w:rPr>
      <w:instrText xml:space="preserve"> "RubrikSvar" *\charformat </w:instrText>
    </w:r>
    <w:r w:rsidRPr="00E244E8">
      <w:fldChar w:fldCharType="separate"/>
    </w:r>
    <w:r w:rsidRPr="00E244E8">
      <w:t>Ett lyft för forskning och innovation</w:t>
    </w:r>
    <w:r w:rsidRPr="00E244E8">
      <w:fldChar w:fldCharType="end"/>
    </w:r>
  </w:p>
  <w:p w:rsidR="00E244E8" w:rsidRPr="00E244E8" w:rsidRDefault="00E244E8">
    <w:pPr>
      <w:pStyle w:val="Normal00"/>
    </w:pPr>
  </w:p>
  <w:p w:rsidR="00E244E8" w:rsidRPr="00E244E8" w:rsidRDefault="00E24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7703660">
    <w:abstractNumId w:val="8"/>
  </w:num>
  <w:num w:numId="2" w16cid:durableId="1888952796">
    <w:abstractNumId w:val="9"/>
  </w:num>
  <w:num w:numId="3" w16cid:durableId="456677716">
    <w:abstractNumId w:val="8"/>
  </w:num>
  <w:num w:numId="4" w16cid:durableId="1062829933">
    <w:abstractNumId w:val="9"/>
  </w:num>
  <w:num w:numId="5" w16cid:durableId="1525484586">
    <w:abstractNumId w:val="13"/>
  </w:num>
  <w:num w:numId="6" w16cid:durableId="1576670614">
    <w:abstractNumId w:val="10"/>
  </w:num>
  <w:num w:numId="7" w16cid:durableId="1475829044">
    <w:abstractNumId w:val="11"/>
  </w:num>
  <w:num w:numId="8" w16cid:durableId="1610117536">
    <w:abstractNumId w:val="12"/>
  </w:num>
  <w:num w:numId="9" w16cid:durableId="1477070814">
    <w:abstractNumId w:val="8"/>
  </w:num>
  <w:num w:numId="10" w16cid:durableId="1269777636">
    <w:abstractNumId w:val="3"/>
  </w:num>
  <w:num w:numId="11" w16cid:durableId="348871193">
    <w:abstractNumId w:val="2"/>
  </w:num>
  <w:num w:numId="12" w16cid:durableId="1292204305">
    <w:abstractNumId w:val="1"/>
  </w:num>
  <w:num w:numId="13" w16cid:durableId="1153136386">
    <w:abstractNumId w:val="0"/>
  </w:num>
  <w:num w:numId="14" w16cid:durableId="1620600132">
    <w:abstractNumId w:val="9"/>
  </w:num>
  <w:num w:numId="15" w16cid:durableId="774405513">
    <w:abstractNumId w:val="7"/>
  </w:num>
  <w:num w:numId="16" w16cid:durableId="1168446001">
    <w:abstractNumId w:val="6"/>
  </w:num>
  <w:num w:numId="17" w16cid:durableId="649017702">
    <w:abstractNumId w:val="5"/>
  </w:num>
  <w:num w:numId="18" w16cid:durableId="108364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36FA034E-DC39-47F3-9CBF-A58816E9D614},{B18FB4F6-E5C3-4394-92DB-9CB27A7B60F0}"/>
  </w:docVars>
  <w:rsids>
    <w:rsidRoot w:val="00313152"/>
    <w:rsid w:val="00313152"/>
    <w:rsid w:val="00E24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F31413-49F2-4175-88A5-818B7804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8456</Characters>
  <Application>Microsoft Office Word</Application>
  <DocSecurity>4</DocSecurity>
  <Lines>143</Lines>
  <Paragraphs>25</Paragraphs>
  <ScaleCrop>false</ScaleCrop>
  <HeadingPairs>
    <vt:vector size="2" baseType="variant">
      <vt:variant>
        <vt:lpstr>Rubrik</vt:lpstr>
      </vt:variant>
      <vt:variant>
        <vt:i4>1</vt:i4>
      </vt:variant>
    </vt:vector>
  </HeadingPairs>
  <TitlesOfParts>
    <vt:vector size="1" baseType="lpstr">
      <vt:lpstr>s45161</vt:lpstr>
    </vt:vector>
  </TitlesOfParts>
  <Company>Riksdagen</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s45161</dc:title>
  <dc:subject>s45161</dc:subject>
  <dc:creator>Riksdagen</dc:creator>
  <cp:keywords>Riksdagen</cp:keywords>
  <dc:description>TKG-ktrl, MSMQ4mb, PersReg-Distribution mm b-&gt;ny fplogga c-&gt;nygamla s-rosen</dc:description>
  <cp:lastModifiedBy>Lars Brink</cp:lastModifiedBy>
  <cp:revision>2</cp:revision>
  <cp:lastPrinted>2008-11-24T10:21:00Z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Hans Stenberg (s)</vt:lpwstr>
  </property>
  <property fmtid="{D5CDD505-2E9C-101B-9397-08002B2CF9AE}" pid="26" name="MotionarLista">
    <vt:lpwstr>Andnor, Berit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november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20082009000000000115000451610069</vt:lpwstr>
  </property>
  <property fmtid="{D5CDD505-2E9C-101B-9397-08002B2CF9AE}" pid="47" name="datum">
    <vt:lpwstr>081112</vt:lpwstr>
  </property>
  <property fmtid="{D5CDD505-2E9C-101B-9397-08002B2CF9AE}" pid="48" name="avsändar-e-post">
    <vt:lpwstr>liisa.sihvo.murstam@riksdagen.se</vt:lpwstr>
  </property>
  <property fmtid="{D5CDD505-2E9C-101B-9397-08002B2CF9AE}" pid="49" name="id">
    <vt:lpwstr>20082009000000000115000451610069</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{301CE928-1B22-4A3F-8618-57B862A41ADC}</vt:lpwstr>
  </property>
  <property fmtid="{D5CDD505-2E9C-101B-9397-08002B2CF9AE}" pid="53" name="Överföringar">
    <vt:i4>0</vt:i4>
  </property>
  <property fmtid="{D5CDD505-2E9C-101B-9397-08002B2CF9AE}" pid="54" name="Checksum">
    <vt:lpwstr>*0006604156044*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20:01:58.218</vt:lpwstr>
  </property>
  <property fmtid="{D5CDD505-2E9C-101B-9397-08002B2CF9AE}" pid="58" name="urixGuid">
    <vt:lpwstr>{F83136E9-2C8B-477B-899F-721312C835B0}</vt:lpwstr>
  </property>
</Properties>
</file>