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70" w:type="dxa"/>
          <w:right w:w="70" w:type="dxa"/>
        </w:tblCellMar>
        <w:tblLook w:val="0000" w:firstRow="0" w:lastRow="0" w:firstColumn="0" w:lastColumn="0" w:noHBand="0" w:noVBand="0"/>
      </w:tblPr>
      <w:tblGrid>
        <w:gridCol w:w="3012"/>
        <w:gridCol w:w="3012"/>
        <w:gridCol w:w="1559"/>
      </w:tblGrid>
      <w:tr w:rsidR="00000000" w:rsidRPr="008A7629">
        <w:tblPrEx>
          <w:tblCellMar>
            <w:top w:w="0" w:type="dxa"/>
            <w:bottom w:w="0" w:type="dxa"/>
          </w:tblCellMar>
        </w:tblPrEx>
        <w:trPr>
          <w:cantSplit/>
          <w:trHeight w:hRule="exact" w:val="1260"/>
        </w:trPr>
        <w:tc>
          <w:tcPr>
            <w:tcW w:w="6024" w:type="dxa"/>
            <w:gridSpan w:val="2"/>
            <w:vMerge w:val="restart"/>
          </w:tcPr>
          <w:p w:rsidR="00973C09" w:rsidRPr="008A7629" w:rsidRDefault="00973C09">
            <w:pPr>
              <w:pStyle w:val="HuvudRubrik"/>
            </w:pPr>
            <w:bookmarkStart w:id="0" w:name="BetänkandeRubrik"/>
            <w:bookmarkEnd w:id="0"/>
            <w:r w:rsidRPr="008A7629">
              <w:t>Trafikutskottets yttrande</w:t>
            </w:r>
            <w:r w:rsidR="008A7629" w:rsidRPr="008A7629">
              <w:rPr>
                <w:noProof/>
              </w:rPr>
              <mc:AlternateContent>
                <mc:Choice Requires="wps">
                  <w:drawing>
                    <wp:anchor distT="0" distB="0" distL="114300" distR="114300" simplePos="0" relativeHeight="251657728" behindDoc="0" locked="0" layoutInCell="0" allowOverlap="1">
                      <wp:simplePos x="0" y="0"/>
                      <wp:positionH relativeFrom="page">
                        <wp:posOffset>4608830</wp:posOffset>
                      </wp:positionH>
                      <wp:positionV relativeFrom="page">
                        <wp:posOffset>198120</wp:posOffset>
                      </wp:positionV>
                      <wp:extent cx="1150620" cy="981075"/>
                      <wp:effectExtent l="0" t="0" r="0" b="0"/>
                      <wp:wrapNone/>
                      <wp:docPr id="72170212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50620" cy="9810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bookmarkStart w:id="1" w:name="_MON_929452563"/>
                                <w:bookmarkStart w:id="2" w:name="_MON_929529912"/>
                                <w:bookmarkStart w:id="3" w:name="_MON_932818888"/>
                                <w:bookmarkStart w:id="4" w:name="_MON_947076358"/>
                                <w:bookmarkStart w:id="5" w:name="_MON_947165881"/>
                                <w:bookmarkStart w:id="6" w:name="_MON_968067888"/>
                                <w:bookmarkStart w:id="7" w:name="_MON_968068624"/>
                                <w:bookmarkStart w:id="8" w:name="_MON_973953492"/>
                                <w:bookmarkEnd w:id="1"/>
                                <w:bookmarkEnd w:id="2"/>
                                <w:bookmarkEnd w:id="3"/>
                                <w:bookmarkEnd w:id="4"/>
                                <w:bookmarkEnd w:id="5"/>
                                <w:bookmarkEnd w:id="6"/>
                                <w:bookmarkEnd w:id="7"/>
                                <w:bookmarkEnd w:id="8"/>
                                <w:p w:rsidR="00973C09" w:rsidRPr="008A7629" w:rsidRDefault="00973C09">
                                  <w:pPr>
                                    <w:pStyle w:val="Logo"/>
                                  </w:pPr>
                                  <w:r w:rsidRPr="008A7629">
                                    <w:object w:dxaOrig="840" w:dyaOrig="15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0.45pt;height:77.15pt" fillcolor="window">
                                        <v:imagedata r:id="rId6" o:title="" cropright="-75835f"/>
                                      </v:shape>
                                      <o:OLEObject Type="Embed" ProgID="Word.Picture.8" ShapeID="_x0000_i1025" DrawAspect="Content" ObjectID="_1827347918" r:id="rId7"/>
                                    </w:objec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362.9pt;margin-top:15.6pt;width:90.6pt;height:77.2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kUqN6QEAALoDAAAOAAAAZHJzL2Uyb0RvYy54bWysU9tu2zAMfR+wfxD0vtgJ0K4z4hRdigwD&#10;ugvQ9QNkWbaFyaJGKbGzrx8l2+nWvQ3zg0CZ5CHPIbW9HXvDTgq9Blvy9SrnTFkJtbZtyZ++Hd7c&#10;cOaDsLUwYFXJz8rz293rV9vBFWoDHZhaISMQ64vBlbwLwRVZ5mWneuFX4JQlZwPYi0BXbLMaxUDo&#10;vck2eX6dDYC1Q5DKe/p7Pzn5LuE3jZLhS9N4FZgpOfUW0onprOKZ7baiaFG4Tsu5DfEPXfRCWyp6&#10;gboXQbAj6r+gei0RPDRhJaHPoGm0VIkDsVnnL9g8dsKpxIXE8e4ik/9/sPLz6dF9RRbG9zDSABMJ&#10;7x5AfvfMwr4TtlV3iDB0StRUeB0lywbnizk1Su0LH0Gq4RPUNGRxDJCAxgb7qArxZIROAzhfRFdj&#10;YDKWXF/l1xtySfK9u1nnb69SCVEs2Q59+KCgZ9EoOdJQE7o4PfgQuxHFEhKLeTC6Pmhj0gXbam+Q&#10;nQQtwCF9M/ofYcbGYAsxbUKMfxLNyGziGMZqJGekW0F9JsII00LRAyCjA/zJ2UDLVHL/4yhQcWY+&#10;WhItbt5i4GJUiyGspNSSB84mcx+mDT061G1HyNNYLNyRsI1OnJ+7mPukBUlSzMscN/D3e4p6fnK7&#10;XwAAAP//AwBQSwMEFAAGAAgAAAAhAPuJdpvgAAAACgEAAA8AAABkcnMvZG93bnJldi54bWxMj8FO&#10;wzAQRO9I/IO1SFwQdRrUpoQ4FbRwg0NL1bMbL0lEvI5sp0n/nuUEx9U+zbwp1pPtxBl9aB0pmM8S&#10;EEiVMy3VCg6fb/crECFqMrpzhAouGGBdXl8VOjdupB2e97EWHEIh1wqaGPtcylA1aHWYuR6Jf1/O&#10;Wx359LU0Xo8cbjuZJslSWt0SNzS6x02D1fd+sAqWWz+MO9rcbQ+v7/qjr9Pjy+Wo1O3N9PwEIuIU&#10;/2D41Wd1KNnp5AYyQXQKsnTB6lHBwzwFwcBjkvG4E5OrRQayLOT/CeUPAAAA//8DAFBLAQItABQA&#10;BgAIAAAAIQC2gziS/gAAAOEBAAATAAAAAAAAAAAAAAAAAAAAAABbQ29udGVudF9UeXBlc10ueG1s&#10;UEsBAi0AFAAGAAgAAAAhADj9If/WAAAAlAEAAAsAAAAAAAAAAAAAAAAALwEAAF9yZWxzLy5yZWxz&#10;UEsBAi0AFAAGAAgAAAAhAMCRSo3pAQAAugMAAA4AAAAAAAAAAAAAAAAALgIAAGRycy9lMm9Eb2Mu&#10;eG1sUEsBAi0AFAAGAAgAAAAhAPuJdpvgAAAACgEAAA8AAAAAAAAAAAAAAAAAQwQAAGRycy9kb3du&#10;cmV2LnhtbFBLBQYAAAAABAAEAPMAAABQBQAAAAA=&#10;" o:allowincell="f" stroked="f">
                      <v:textbox inset="0,0,0,0">
                        <w:txbxContent>
                          <w:bookmarkStart w:id="9" w:name="_MON_929452563"/>
                          <w:bookmarkStart w:id="10" w:name="_MON_929529912"/>
                          <w:bookmarkStart w:id="11" w:name="_MON_932818888"/>
                          <w:bookmarkStart w:id="12" w:name="_MON_947076358"/>
                          <w:bookmarkStart w:id="13" w:name="_MON_947165881"/>
                          <w:bookmarkStart w:id="14" w:name="_MON_968067888"/>
                          <w:bookmarkStart w:id="15" w:name="_MON_968068624"/>
                          <w:bookmarkStart w:id="16" w:name="_MON_973953492"/>
                          <w:bookmarkEnd w:id="9"/>
                          <w:bookmarkEnd w:id="10"/>
                          <w:bookmarkEnd w:id="11"/>
                          <w:bookmarkEnd w:id="12"/>
                          <w:bookmarkEnd w:id="13"/>
                          <w:bookmarkEnd w:id="14"/>
                          <w:bookmarkEnd w:id="15"/>
                          <w:bookmarkEnd w:id="16"/>
                          <w:p w:rsidR="00973C09" w:rsidRPr="008A7629" w:rsidRDefault="00973C09">
                            <w:pPr>
                              <w:pStyle w:val="Logo"/>
                            </w:pPr>
                            <w:r w:rsidRPr="008A7629">
                              <w:object w:dxaOrig="840" w:dyaOrig="1545">
                                <v:shape id="_x0000_i1025" type="#_x0000_t75" style="width:90.45pt;height:77.15pt" fillcolor="window">
                                  <v:imagedata r:id="rId6" o:title="" cropright="-75835f"/>
                                </v:shape>
                                <o:OLEObject Type="Embed" ProgID="Word.Picture.8" ShapeID="_x0000_i1025" DrawAspect="Content" ObjectID="_1827347918" r:id="rId8"/>
                              </w:object>
                            </w:r>
                          </w:p>
                        </w:txbxContent>
                      </v:textbox>
                      <w10:wrap anchorx="page" anchory="page"/>
                    </v:shape>
                  </w:pict>
                </mc:Fallback>
              </mc:AlternateContent>
            </w:r>
          </w:p>
          <w:p w:rsidR="00973C09" w:rsidRPr="008A7629" w:rsidRDefault="00973C09">
            <w:pPr>
              <w:pStyle w:val="HuvudRubrikRad2"/>
            </w:pPr>
            <w:bookmarkStart w:id="17" w:name="BetänkandeNr"/>
            <w:bookmarkEnd w:id="17"/>
            <w:r w:rsidRPr="008A7629">
              <w:t>1999/2000:TU3y</w:t>
            </w:r>
          </w:p>
          <w:p w:rsidR="00973C09" w:rsidRPr="008A7629" w:rsidRDefault="00973C09">
            <w:pPr>
              <w:pStyle w:val="BetnkandeRubrik"/>
            </w:pPr>
            <w:bookmarkStart w:id="18" w:name="Huvudrubrik"/>
            <w:bookmarkEnd w:id="18"/>
            <w:r w:rsidRPr="008A7629">
              <w:t>Tilläggsbudget för år 2000 – utgiftsområde 22 Kommunikationer</w:t>
            </w:r>
          </w:p>
        </w:tc>
        <w:tc>
          <w:tcPr>
            <w:tcW w:w="1559" w:type="dxa"/>
            <w:tcBorders>
              <w:bottom w:val="nil"/>
            </w:tcBorders>
          </w:tcPr>
          <w:p w:rsidR="00973C09" w:rsidRPr="008A7629" w:rsidRDefault="00973C09">
            <w:pPr>
              <w:spacing w:before="0" w:line="230" w:lineRule="auto"/>
              <w:rPr>
                <w:sz w:val="24"/>
              </w:rPr>
            </w:pPr>
          </w:p>
        </w:tc>
      </w:tr>
      <w:tr w:rsidR="00000000" w:rsidRPr="008A7629">
        <w:tblPrEx>
          <w:tblCellMar>
            <w:top w:w="0" w:type="dxa"/>
            <w:bottom w:w="0" w:type="dxa"/>
          </w:tblCellMar>
        </w:tblPrEx>
        <w:trPr>
          <w:cantSplit/>
          <w:trHeight w:hRule="exact" w:val="240"/>
        </w:trPr>
        <w:tc>
          <w:tcPr>
            <w:tcW w:w="6024" w:type="dxa"/>
            <w:gridSpan w:val="2"/>
            <w:vMerge/>
            <w:tcBorders>
              <w:top w:val="nil"/>
              <w:bottom w:val="nil"/>
            </w:tcBorders>
          </w:tcPr>
          <w:p w:rsidR="00973C09" w:rsidRPr="008A7629" w:rsidRDefault="00973C09">
            <w:pPr>
              <w:spacing w:before="40" w:after="900" w:line="280" w:lineRule="exact"/>
              <w:jc w:val="left"/>
              <w:rPr>
                <w:sz w:val="28"/>
              </w:rPr>
            </w:pPr>
          </w:p>
        </w:tc>
        <w:tc>
          <w:tcPr>
            <w:tcW w:w="1559" w:type="dxa"/>
          </w:tcPr>
          <w:p w:rsidR="00973C09" w:rsidRPr="008A7629" w:rsidRDefault="00973C09">
            <w:pPr>
              <w:pStyle w:val="rtal"/>
            </w:pPr>
            <w:r w:rsidRPr="008A7629">
              <w:t>1999/2000</w:t>
            </w:r>
          </w:p>
        </w:tc>
      </w:tr>
      <w:tr w:rsidR="00000000" w:rsidRPr="008A7629">
        <w:tblPrEx>
          <w:tblCellMar>
            <w:top w:w="0" w:type="dxa"/>
            <w:bottom w:w="0" w:type="dxa"/>
          </w:tblCellMar>
        </w:tblPrEx>
        <w:trPr>
          <w:cantSplit/>
          <w:trHeight w:val="560"/>
        </w:trPr>
        <w:tc>
          <w:tcPr>
            <w:tcW w:w="6024" w:type="dxa"/>
            <w:gridSpan w:val="2"/>
            <w:vMerge/>
            <w:tcBorders>
              <w:top w:val="nil"/>
              <w:bottom w:val="single" w:sz="6" w:space="0" w:color="auto"/>
            </w:tcBorders>
          </w:tcPr>
          <w:p w:rsidR="00973C09" w:rsidRPr="008A7629" w:rsidRDefault="00973C09">
            <w:pPr>
              <w:spacing w:before="40" w:after="900" w:line="280" w:lineRule="exact"/>
              <w:jc w:val="left"/>
              <w:rPr>
                <w:sz w:val="28"/>
              </w:rPr>
            </w:pPr>
          </w:p>
        </w:tc>
        <w:tc>
          <w:tcPr>
            <w:tcW w:w="1559" w:type="dxa"/>
            <w:tcBorders>
              <w:bottom w:val="single" w:sz="6" w:space="0" w:color="auto"/>
            </w:tcBorders>
          </w:tcPr>
          <w:p w:rsidR="00973C09" w:rsidRPr="008A7629" w:rsidRDefault="00973C09">
            <w:pPr>
              <w:pStyle w:val="rtal"/>
            </w:pPr>
            <w:r w:rsidRPr="008A7629">
              <w:t>TU3y</w:t>
            </w:r>
          </w:p>
        </w:tc>
      </w:tr>
      <w:tr w:rsidR="00000000" w:rsidRPr="008A7629">
        <w:tblPrEx>
          <w:tblCellMar>
            <w:top w:w="0" w:type="dxa"/>
            <w:bottom w:w="0" w:type="dxa"/>
          </w:tblCellMar>
        </w:tblPrEx>
        <w:trPr>
          <w:cantSplit/>
          <w:trHeight w:hRule="exact" w:val="660"/>
        </w:trPr>
        <w:tc>
          <w:tcPr>
            <w:tcW w:w="3012" w:type="dxa"/>
          </w:tcPr>
          <w:p w:rsidR="00973C09" w:rsidRPr="008A7629" w:rsidRDefault="00973C09">
            <w:pPr>
              <w:pStyle w:val="StatusSida1"/>
            </w:pPr>
          </w:p>
        </w:tc>
        <w:tc>
          <w:tcPr>
            <w:tcW w:w="3012" w:type="dxa"/>
          </w:tcPr>
          <w:p w:rsidR="00973C09" w:rsidRPr="008A7629" w:rsidRDefault="00973C09">
            <w:pPr>
              <w:pStyle w:val="UtskriftsdatumSida1"/>
              <w:rPr>
                <w:b/>
                <w:sz w:val="28"/>
              </w:rPr>
            </w:pPr>
          </w:p>
        </w:tc>
        <w:tc>
          <w:tcPr>
            <w:tcW w:w="1559" w:type="dxa"/>
          </w:tcPr>
          <w:p w:rsidR="00973C09" w:rsidRPr="008A7629" w:rsidRDefault="00973C09"/>
        </w:tc>
      </w:tr>
    </w:tbl>
    <w:p w:rsidR="00973C09" w:rsidRPr="008A7629" w:rsidRDefault="00973C09">
      <w:pPr>
        <w:pStyle w:val="R1"/>
        <w:spacing w:before="123"/>
      </w:pPr>
      <w:bookmarkStart w:id="19" w:name="_Toc481392012"/>
      <w:r w:rsidRPr="008A7629">
        <w:t>Till finansutskottet</w:t>
      </w:r>
      <w:bookmarkEnd w:id="19"/>
    </w:p>
    <w:p w:rsidR="00973C09" w:rsidRPr="008A7629" w:rsidRDefault="00973C09">
      <w:bookmarkStart w:id="20" w:name="Textstart"/>
      <w:bookmarkEnd w:id="20"/>
      <w:r w:rsidRPr="008A7629">
        <w:t>Finansutskottet beslöt den 27 april 2000 att bereda övriga berörda utskott tillfälle att yttra sig över 2000 års ekonomiska vårproposition (1999/2000:100), i vad avser tilläggsbudget till statsbudgeten för budgetåret 2000 (yrkandena 7–39) jämte de motioner som kan komma att väckas, allt i de delar som berör respektive utskotts beredning</w:t>
      </w:r>
      <w:r w:rsidRPr="008A7629">
        <w:t>s</w:t>
      </w:r>
      <w:r w:rsidRPr="008A7629">
        <w:t>område.</w:t>
      </w:r>
    </w:p>
    <w:p w:rsidR="00973C09" w:rsidRPr="008A7629" w:rsidRDefault="00973C09">
      <w:r w:rsidRPr="008A7629">
        <w:t>I detta yttrande behandlar trafikutskottet yrkandena 11, 32–33 och 39 i pr</w:t>
      </w:r>
      <w:r w:rsidRPr="008A7629">
        <w:t>o</w:t>
      </w:r>
      <w:r w:rsidRPr="008A7629">
        <w:t>pos</w:t>
      </w:r>
      <w:r w:rsidRPr="008A7629">
        <w:t>i</w:t>
      </w:r>
      <w:r w:rsidRPr="008A7629">
        <w:t xml:space="preserve">tionens förslag till riksdagsbeslut, innebärande </w:t>
      </w:r>
    </w:p>
    <w:p w:rsidR="00973C09" w:rsidRPr="008A7629" w:rsidRDefault="00973C09">
      <w:pPr>
        <w:pStyle w:val="Normaltindrag"/>
      </w:pPr>
      <w:r w:rsidRPr="008A7629">
        <w:t>11. att riksdagen antar regeringens förslag till lag om ändring i telelagen (193:597),</w:t>
      </w:r>
    </w:p>
    <w:p w:rsidR="00973C09" w:rsidRPr="008A7629" w:rsidRDefault="00973C09">
      <w:pPr>
        <w:pStyle w:val="Normaltindrag"/>
      </w:pPr>
      <w:r w:rsidRPr="008A7629">
        <w:t>32. att riksdagen bemyndigar regeringen att under år 2000, såvitt avser det under utgiftsområde 22 Kommunikationer uppförda ramanslaget A2 Vä</w:t>
      </w:r>
      <w:r w:rsidRPr="008A7629">
        <w:t>g</w:t>
      </w:r>
      <w:r w:rsidRPr="008A7629">
        <w:t>hållning och statsbidrag, besluta om bidrag till enskilda vägar som inklusive tidigare gjorda åtaganden medför utgifter på högst 566 000 000 kr under år 2001,</w:t>
      </w:r>
    </w:p>
    <w:p w:rsidR="00973C09" w:rsidRPr="008A7629" w:rsidRDefault="00973C09">
      <w:pPr>
        <w:pStyle w:val="Normaltindrag"/>
      </w:pPr>
      <w:r w:rsidRPr="008A7629">
        <w:t>33. att riksdagen godkänner den föreslagna användningen av det under u</w:t>
      </w:r>
      <w:r w:rsidRPr="008A7629">
        <w:t>t</w:t>
      </w:r>
      <w:r w:rsidRPr="008A7629">
        <w:t>giftsområde 22 Kommunikationer uppförda ramanslaget C1 Post- och tel</w:t>
      </w:r>
      <w:r w:rsidRPr="008A7629">
        <w:t>e</w:t>
      </w:r>
      <w:r w:rsidRPr="008A7629">
        <w:t>styrelsen: Förval</w:t>
      </w:r>
      <w:r w:rsidRPr="008A7629">
        <w:t>t</w:t>
      </w:r>
      <w:r w:rsidRPr="008A7629">
        <w:t>ningskostnader för vissa myndighetsuppgifter,</w:t>
      </w:r>
    </w:p>
    <w:p w:rsidR="00973C09" w:rsidRPr="008A7629" w:rsidRDefault="00973C09">
      <w:pPr>
        <w:pStyle w:val="Normaltindrag"/>
      </w:pPr>
      <w:r w:rsidRPr="008A7629">
        <w:t>39. att riksdagen på tilläggsbudget till statsbudgeten för budgetåret 2000 godkänner ändrade ramar för utgiftsområden samt anvisar ändrade och nya anslag i enlighet med specifikation i tabell 2.1 i propositionen.</w:t>
      </w:r>
    </w:p>
    <w:p w:rsidR="00973C09" w:rsidRPr="008A7629" w:rsidRDefault="00973C09">
      <w:r w:rsidRPr="008A7629">
        <w:t>Vidare behandlar utskottet motionerna 1999/2000:Fi15 yrkande 20 av Lars Leijonborg m.fl. (fp), 1999/2000:Fi29 av Per-Richard Molén m.fl. (m) och 1999/2000:Fi31 av Johnny Gylling m.fl. (kd).</w:t>
      </w:r>
    </w:p>
    <w:p w:rsidR="00973C09" w:rsidRPr="008A7629" w:rsidRDefault="00973C09">
      <w:pPr>
        <w:pStyle w:val="R1"/>
      </w:pPr>
      <w:r w:rsidRPr="008A7629">
        <w:t>1 Anslagsfrågor</w:t>
      </w:r>
    </w:p>
    <w:p w:rsidR="00973C09" w:rsidRPr="008A7629" w:rsidRDefault="00973C09">
      <w:pPr>
        <w:pStyle w:val="R2"/>
        <w:spacing w:before="123"/>
      </w:pPr>
      <w:r w:rsidRPr="008A7629">
        <w:t>1.1 Ändrad ram och ändrade anslag</w:t>
      </w:r>
    </w:p>
    <w:p w:rsidR="00973C09" w:rsidRPr="008A7629" w:rsidRDefault="00973C09">
      <w:pPr>
        <w:pStyle w:val="R3"/>
        <w:spacing w:before="123"/>
      </w:pPr>
      <w:r w:rsidRPr="008A7629">
        <w:t>Regeringens förslag</w:t>
      </w:r>
    </w:p>
    <w:p w:rsidR="00973C09" w:rsidRPr="008A7629" w:rsidRDefault="00973C09">
      <w:r w:rsidRPr="008A7629">
        <w:t>Regeringen föreslår att riksdagen på tilläggsbudget till statsbudgeten för budgetåret 2000 godkänner ändrade ramar för utgiftsområden samt anvisar ändrade och nya anslag i enlighet med specifikation i tabell 2.1 i propositi</w:t>
      </w:r>
      <w:r w:rsidRPr="008A7629">
        <w:t>o</w:t>
      </w:r>
      <w:r w:rsidRPr="008A7629">
        <w:t xml:space="preserve">nen. </w:t>
      </w:r>
    </w:p>
    <w:p w:rsidR="00973C09" w:rsidRPr="008A7629" w:rsidRDefault="00973C09"/>
    <w:p w:rsidR="00973C09" w:rsidRPr="008A7629" w:rsidRDefault="00973C09">
      <w:r w:rsidRPr="008A7629">
        <w:t>I fråga om utgiftsområde 22 Kommunikationer har tabellen följande inn</w:t>
      </w:r>
      <w:r w:rsidRPr="008A7629">
        <w:t>e</w:t>
      </w:r>
      <w:r w:rsidRPr="008A7629">
        <w:t>håll.</w:t>
      </w:r>
    </w:p>
    <w:p w:rsidR="00973C09" w:rsidRPr="008A7629" w:rsidRDefault="00973C09">
      <w:pPr>
        <w:spacing w:before="0"/>
        <w:rPr>
          <w:i/>
          <w:sz w:val="16"/>
        </w:rPr>
      </w:pPr>
      <w:r w:rsidRPr="008A7629">
        <w:rPr>
          <w:i/>
          <w:sz w:val="16"/>
        </w:rPr>
        <w:t>Tusental kronor</w:t>
      </w: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680"/>
        <w:gridCol w:w="2127"/>
        <w:gridCol w:w="1066"/>
        <w:gridCol w:w="1191"/>
        <w:gridCol w:w="1361"/>
      </w:tblGrid>
      <w:tr w:rsidR="00000000" w:rsidRPr="008A7629">
        <w:tblPrEx>
          <w:tblCellMar>
            <w:top w:w="0" w:type="dxa"/>
            <w:bottom w:w="0" w:type="dxa"/>
          </w:tblCellMar>
        </w:tblPrEx>
        <w:tc>
          <w:tcPr>
            <w:tcW w:w="680" w:type="dxa"/>
            <w:tcBorders>
              <w:left w:val="nil"/>
              <w:right w:val="nil"/>
            </w:tcBorders>
          </w:tcPr>
          <w:p w:rsidR="00973C09" w:rsidRPr="008A7629" w:rsidRDefault="00973C09">
            <w:pPr>
              <w:pStyle w:val="Citat"/>
              <w:spacing w:before="0"/>
              <w:rPr>
                <w:sz w:val="16"/>
              </w:rPr>
            </w:pPr>
            <w:r w:rsidRPr="008A7629">
              <w:rPr>
                <w:sz w:val="16"/>
              </w:rPr>
              <w:t>Anslag- nu</w:t>
            </w:r>
            <w:r w:rsidRPr="008A7629">
              <w:rPr>
                <w:sz w:val="16"/>
              </w:rPr>
              <w:t>m</w:t>
            </w:r>
            <w:r w:rsidRPr="008A7629">
              <w:rPr>
                <w:sz w:val="16"/>
              </w:rPr>
              <w:t>mer</w:t>
            </w:r>
          </w:p>
        </w:tc>
        <w:tc>
          <w:tcPr>
            <w:tcW w:w="2127" w:type="dxa"/>
            <w:tcBorders>
              <w:left w:val="nil"/>
              <w:right w:val="nil"/>
            </w:tcBorders>
          </w:tcPr>
          <w:p w:rsidR="00973C09" w:rsidRPr="008A7629" w:rsidRDefault="00973C09">
            <w:pPr>
              <w:pStyle w:val="Citat"/>
              <w:spacing w:before="0"/>
              <w:rPr>
                <w:sz w:val="16"/>
              </w:rPr>
            </w:pPr>
          </w:p>
        </w:tc>
        <w:tc>
          <w:tcPr>
            <w:tcW w:w="1066" w:type="dxa"/>
            <w:tcBorders>
              <w:left w:val="nil"/>
              <w:right w:val="nil"/>
            </w:tcBorders>
          </w:tcPr>
          <w:p w:rsidR="00973C09" w:rsidRPr="008A7629" w:rsidRDefault="00973C09">
            <w:pPr>
              <w:pStyle w:val="Citat"/>
              <w:spacing w:before="0"/>
              <w:rPr>
                <w:sz w:val="16"/>
              </w:rPr>
            </w:pPr>
            <w:r w:rsidRPr="008A7629">
              <w:rPr>
                <w:sz w:val="16"/>
              </w:rPr>
              <w:t>Belopp enligt statsbudg</w:t>
            </w:r>
            <w:r w:rsidRPr="008A7629">
              <w:rPr>
                <w:sz w:val="16"/>
              </w:rPr>
              <w:t>e</w:t>
            </w:r>
            <w:r w:rsidRPr="008A7629">
              <w:rPr>
                <w:sz w:val="16"/>
              </w:rPr>
              <w:t>ten</w:t>
            </w:r>
          </w:p>
          <w:p w:rsidR="00973C09" w:rsidRPr="008A7629" w:rsidRDefault="00973C09">
            <w:pPr>
              <w:spacing w:before="0"/>
              <w:rPr>
                <w:sz w:val="16"/>
              </w:rPr>
            </w:pPr>
            <w:r w:rsidRPr="008A7629">
              <w:rPr>
                <w:sz w:val="16"/>
              </w:rPr>
              <w:t>2000</w:t>
            </w:r>
          </w:p>
        </w:tc>
        <w:tc>
          <w:tcPr>
            <w:tcW w:w="1191" w:type="dxa"/>
            <w:tcBorders>
              <w:left w:val="nil"/>
              <w:right w:val="nil"/>
            </w:tcBorders>
          </w:tcPr>
          <w:p w:rsidR="00973C09" w:rsidRPr="008A7629" w:rsidRDefault="00973C09">
            <w:pPr>
              <w:pStyle w:val="Citat"/>
              <w:spacing w:before="0"/>
              <w:rPr>
                <w:sz w:val="16"/>
              </w:rPr>
            </w:pPr>
            <w:r w:rsidRPr="008A7629">
              <w:rPr>
                <w:sz w:val="16"/>
              </w:rPr>
              <w:t xml:space="preserve">       Förändring</w:t>
            </w:r>
          </w:p>
          <w:p w:rsidR="00973C09" w:rsidRPr="008A7629" w:rsidRDefault="00973C09">
            <w:pPr>
              <w:pStyle w:val="Citat"/>
              <w:spacing w:before="0"/>
              <w:rPr>
                <w:sz w:val="16"/>
              </w:rPr>
            </w:pPr>
            <w:r w:rsidRPr="008A7629">
              <w:rPr>
                <w:sz w:val="16"/>
              </w:rPr>
              <w:t xml:space="preserve">       Ram/anslag</w:t>
            </w:r>
          </w:p>
        </w:tc>
        <w:tc>
          <w:tcPr>
            <w:tcW w:w="1361" w:type="dxa"/>
            <w:tcBorders>
              <w:left w:val="nil"/>
              <w:right w:val="nil"/>
            </w:tcBorders>
          </w:tcPr>
          <w:p w:rsidR="00973C09" w:rsidRPr="008A7629" w:rsidRDefault="00973C09">
            <w:pPr>
              <w:pStyle w:val="Citat"/>
              <w:spacing w:before="0"/>
              <w:rPr>
                <w:sz w:val="16"/>
              </w:rPr>
            </w:pPr>
            <w:r w:rsidRPr="008A7629">
              <w:rPr>
                <w:sz w:val="16"/>
              </w:rPr>
              <w:t xml:space="preserve">     Ny ram/</w:t>
            </w:r>
          </w:p>
          <w:p w:rsidR="00973C09" w:rsidRPr="008A7629" w:rsidRDefault="00973C09">
            <w:pPr>
              <w:pStyle w:val="Citat"/>
              <w:spacing w:before="0"/>
              <w:rPr>
                <w:sz w:val="16"/>
              </w:rPr>
            </w:pPr>
            <w:r w:rsidRPr="008A7629">
              <w:rPr>
                <w:sz w:val="16"/>
              </w:rPr>
              <w:t xml:space="preserve">     Ny anslagsn</w:t>
            </w:r>
            <w:r w:rsidRPr="008A7629">
              <w:rPr>
                <w:sz w:val="16"/>
              </w:rPr>
              <w:t>i</w:t>
            </w:r>
            <w:r w:rsidRPr="008A7629">
              <w:rPr>
                <w:sz w:val="16"/>
              </w:rPr>
              <w:t>vå</w:t>
            </w:r>
          </w:p>
        </w:tc>
      </w:tr>
      <w:tr w:rsidR="00000000" w:rsidRPr="008A7629">
        <w:tblPrEx>
          <w:tblCellMar>
            <w:top w:w="0" w:type="dxa"/>
            <w:bottom w:w="0" w:type="dxa"/>
          </w:tblCellMar>
        </w:tblPrEx>
        <w:tc>
          <w:tcPr>
            <w:tcW w:w="680" w:type="dxa"/>
            <w:tcBorders>
              <w:bottom w:val="nil"/>
              <w:right w:val="nil"/>
            </w:tcBorders>
          </w:tcPr>
          <w:p w:rsidR="00973C09" w:rsidRPr="008A7629" w:rsidRDefault="00973C09">
            <w:pPr>
              <w:pStyle w:val="Citat"/>
              <w:spacing w:before="0"/>
              <w:rPr>
                <w:sz w:val="16"/>
              </w:rPr>
            </w:pPr>
          </w:p>
        </w:tc>
        <w:tc>
          <w:tcPr>
            <w:tcW w:w="2127" w:type="dxa"/>
            <w:tcBorders>
              <w:left w:val="nil"/>
              <w:bottom w:val="nil"/>
              <w:right w:val="nil"/>
            </w:tcBorders>
          </w:tcPr>
          <w:p w:rsidR="00973C09" w:rsidRPr="008A7629" w:rsidRDefault="00973C09">
            <w:pPr>
              <w:pStyle w:val="Citat"/>
              <w:spacing w:before="0"/>
              <w:rPr>
                <w:b/>
                <w:sz w:val="16"/>
              </w:rPr>
            </w:pPr>
            <w:r w:rsidRPr="008A7629">
              <w:rPr>
                <w:b/>
                <w:sz w:val="16"/>
              </w:rPr>
              <w:t>22 Kommunikati</w:t>
            </w:r>
            <w:r w:rsidRPr="008A7629">
              <w:rPr>
                <w:b/>
                <w:sz w:val="16"/>
              </w:rPr>
              <w:t>o</w:t>
            </w:r>
            <w:r w:rsidRPr="008A7629">
              <w:rPr>
                <w:b/>
                <w:sz w:val="16"/>
              </w:rPr>
              <w:t>ner</w:t>
            </w:r>
          </w:p>
        </w:tc>
        <w:tc>
          <w:tcPr>
            <w:tcW w:w="1066" w:type="dxa"/>
            <w:tcBorders>
              <w:left w:val="nil"/>
              <w:bottom w:val="nil"/>
              <w:right w:val="nil"/>
            </w:tcBorders>
          </w:tcPr>
          <w:p w:rsidR="00973C09" w:rsidRPr="008A7629" w:rsidRDefault="00973C09">
            <w:pPr>
              <w:pStyle w:val="Citat"/>
              <w:spacing w:before="0"/>
              <w:rPr>
                <w:b/>
                <w:sz w:val="16"/>
              </w:rPr>
            </w:pPr>
            <w:r w:rsidRPr="008A7629">
              <w:rPr>
                <w:b/>
                <w:sz w:val="16"/>
              </w:rPr>
              <w:t xml:space="preserve">     25 532 440</w:t>
            </w:r>
          </w:p>
        </w:tc>
        <w:tc>
          <w:tcPr>
            <w:tcW w:w="1191" w:type="dxa"/>
            <w:tcBorders>
              <w:left w:val="nil"/>
              <w:bottom w:val="nil"/>
              <w:right w:val="nil"/>
            </w:tcBorders>
          </w:tcPr>
          <w:p w:rsidR="00973C09" w:rsidRPr="008A7629" w:rsidRDefault="00973C09">
            <w:pPr>
              <w:pStyle w:val="Citat"/>
              <w:spacing w:before="0"/>
              <w:rPr>
                <w:b/>
                <w:sz w:val="16"/>
              </w:rPr>
            </w:pPr>
            <w:r w:rsidRPr="008A7629">
              <w:rPr>
                <w:b/>
                <w:sz w:val="16"/>
              </w:rPr>
              <w:t xml:space="preserve">             -13 093</w:t>
            </w:r>
          </w:p>
        </w:tc>
        <w:tc>
          <w:tcPr>
            <w:tcW w:w="1361" w:type="dxa"/>
            <w:tcBorders>
              <w:left w:val="nil"/>
            </w:tcBorders>
          </w:tcPr>
          <w:p w:rsidR="00973C09" w:rsidRPr="008A7629" w:rsidRDefault="00973C09">
            <w:pPr>
              <w:pStyle w:val="Citat"/>
              <w:spacing w:before="0"/>
              <w:rPr>
                <w:b/>
                <w:sz w:val="16"/>
              </w:rPr>
            </w:pPr>
            <w:r w:rsidRPr="008A7629">
              <w:rPr>
                <w:b/>
                <w:sz w:val="16"/>
              </w:rPr>
              <w:t xml:space="preserve">            25 519 347</w:t>
            </w:r>
          </w:p>
        </w:tc>
      </w:tr>
      <w:tr w:rsidR="00000000" w:rsidRPr="008A7629">
        <w:tblPrEx>
          <w:tblCellMar>
            <w:top w:w="0" w:type="dxa"/>
            <w:bottom w:w="0" w:type="dxa"/>
          </w:tblCellMar>
        </w:tblPrEx>
        <w:tc>
          <w:tcPr>
            <w:tcW w:w="680" w:type="dxa"/>
            <w:tcBorders>
              <w:right w:val="single" w:sz="4" w:space="0" w:color="auto"/>
            </w:tcBorders>
          </w:tcPr>
          <w:p w:rsidR="00973C09" w:rsidRPr="008A7629" w:rsidRDefault="00973C09">
            <w:pPr>
              <w:pStyle w:val="Citat"/>
              <w:spacing w:before="0"/>
              <w:jc w:val="left"/>
              <w:rPr>
                <w:sz w:val="16"/>
              </w:rPr>
            </w:pPr>
            <w:r w:rsidRPr="008A7629">
              <w:rPr>
                <w:sz w:val="16"/>
              </w:rPr>
              <w:t>C2</w:t>
            </w:r>
          </w:p>
        </w:tc>
        <w:tc>
          <w:tcPr>
            <w:tcW w:w="2127" w:type="dxa"/>
            <w:tcBorders>
              <w:left w:val="nil"/>
              <w:right w:val="single" w:sz="4" w:space="0" w:color="auto"/>
            </w:tcBorders>
          </w:tcPr>
          <w:p w:rsidR="00973C09" w:rsidRPr="008A7629" w:rsidRDefault="00973C09">
            <w:pPr>
              <w:pStyle w:val="Citat"/>
              <w:spacing w:before="0"/>
              <w:jc w:val="left"/>
              <w:rPr>
                <w:sz w:val="16"/>
              </w:rPr>
            </w:pPr>
            <w:r w:rsidRPr="008A7629">
              <w:rPr>
                <w:sz w:val="16"/>
              </w:rPr>
              <w:t>Upphandling av samhällsåt</w:t>
            </w:r>
            <w:r w:rsidRPr="008A7629">
              <w:rPr>
                <w:sz w:val="16"/>
              </w:rPr>
              <w:t>a</w:t>
            </w:r>
            <w:r w:rsidRPr="008A7629">
              <w:rPr>
                <w:sz w:val="16"/>
              </w:rPr>
              <w:t>ganden, ramanslag</w:t>
            </w:r>
          </w:p>
        </w:tc>
        <w:tc>
          <w:tcPr>
            <w:tcW w:w="1066" w:type="dxa"/>
            <w:tcBorders>
              <w:left w:val="nil"/>
              <w:right w:val="single" w:sz="4" w:space="0" w:color="auto"/>
            </w:tcBorders>
          </w:tcPr>
          <w:p w:rsidR="00973C09" w:rsidRPr="008A7629" w:rsidRDefault="00973C09">
            <w:pPr>
              <w:pStyle w:val="Citat"/>
              <w:spacing w:before="0"/>
              <w:jc w:val="left"/>
              <w:rPr>
                <w:sz w:val="16"/>
              </w:rPr>
            </w:pPr>
            <w:r w:rsidRPr="008A7629">
              <w:rPr>
                <w:sz w:val="16"/>
              </w:rPr>
              <w:t xml:space="preserve">          157 484</w:t>
            </w:r>
          </w:p>
        </w:tc>
        <w:tc>
          <w:tcPr>
            <w:tcW w:w="1191" w:type="dxa"/>
            <w:tcBorders>
              <w:left w:val="nil"/>
              <w:right w:val="single" w:sz="4" w:space="0" w:color="auto"/>
            </w:tcBorders>
          </w:tcPr>
          <w:p w:rsidR="00973C09" w:rsidRPr="008A7629" w:rsidRDefault="00973C09">
            <w:pPr>
              <w:pStyle w:val="Citat"/>
              <w:spacing w:before="0"/>
              <w:jc w:val="left"/>
              <w:rPr>
                <w:sz w:val="16"/>
              </w:rPr>
            </w:pPr>
            <w:r w:rsidRPr="008A7629">
              <w:rPr>
                <w:sz w:val="16"/>
              </w:rPr>
              <w:t xml:space="preserve">               -4 000</w:t>
            </w:r>
          </w:p>
        </w:tc>
        <w:tc>
          <w:tcPr>
            <w:tcW w:w="1361" w:type="dxa"/>
            <w:tcBorders>
              <w:left w:val="nil"/>
            </w:tcBorders>
          </w:tcPr>
          <w:p w:rsidR="00973C09" w:rsidRPr="008A7629" w:rsidRDefault="00973C09">
            <w:pPr>
              <w:pStyle w:val="Citat"/>
              <w:spacing w:before="0"/>
              <w:jc w:val="left"/>
              <w:rPr>
                <w:sz w:val="16"/>
              </w:rPr>
            </w:pPr>
            <w:r w:rsidRPr="008A7629">
              <w:rPr>
                <w:sz w:val="16"/>
              </w:rPr>
              <w:t xml:space="preserve">                 153 484</w:t>
            </w:r>
          </w:p>
        </w:tc>
      </w:tr>
      <w:tr w:rsidR="00000000" w:rsidRPr="008A7629">
        <w:tblPrEx>
          <w:tblCellMar>
            <w:top w:w="0" w:type="dxa"/>
            <w:bottom w:w="0" w:type="dxa"/>
          </w:tblCellMar>
        </w:tblPrEx>
        <w:tc>
          <w:tcPr>
            <w:tcW w:w="680" w:type="dxa"/>
            <w:tcBorders>
              <w:right w:val="single" w:sz="4" w:space="0" w:color="auto"/>
            </w:tcBorders>
          </w:tcPr>
          <w:p w:rsidR="00973C09" w:rsidRPr="008A7629" w:rsidRDefault="00973C09">
            <w:pPr>
              <w:pStyle w:val="Citat"/>
              <w:spacing w:before="0"/>
              <w:jc w:val="left"/>
              <w:rPr>
                <w:sz w:val="16"/>
              </w:rPr>
            </w:pPr>
            <w:r w:rsidRPr="008A7629">
              <w:rPr>
                <w:sz w:val="16"/>
              </w:rPr>
              <w:t>C4</w:t>
            </w:r>
          </w:p>
        </w:tc>
        <w:tc>
          <w:tcPr>
            <w:tcW w:w="2127" w:type="dxa"/>
            <w:tcBorders>
              <w:left w:val="nil"/>
              <w:right w:val="single" w:sz="4" w:space="0" w:color="auto"/>
            </w:tcBorders>
          </w:tcPr>
          <w:p w:rsidR="00973C09" w:rsidRPr="008A7629" w:rsidRDefault="00973C09">
            <w:pPr>
              <w:pStyle w:val="Citat"/>
              <w:spacing w:before="0"/>
              <w:jc w:val="left"/>
              <w:rPr>
                <w:sz w:val="16"/>
              </w:rPr>
            </w:pPr>
            <w:r w:rsidRPr="008A7629">
              <w:rPr>
                <w:sz w:val="16"/>
              </w:rPr>
              <w:t>Ersättning till SOS Alarm Sverige AB för alarm</w:t>
            </w:r>
            <w:r w:rsidRPr="008A7629">
              <w:rPr>
                <w:sz w:val="16"/>
              </w:rPr>
              <w:t>e</w:t>
            </w:r>
            <w:r w:rsidRPr="008A7629">
              <w:rPr>
                <w:sz w:val="16"/>
              </w:rPr>
              <w:t>rings-tjänst enligt avtal, rama</w:t>
            </w:r>
            <w:r w:rsidRPr="008A7629">
              <w:rPr>
                <w:sz w:val="16"/>
              </w:rPr>
              <w:t>n</w:t>
            </w:r>
            <w:r w:rsidRPr="008A7629">
              <w:rPr>
                <w:sz w:val="16"/>
              </w:rPr>
              <w:t>slag</w:t>
            </w:r>
          </w:p>
        </w:tc>
        <w:tc>
          <w:tcPr>
            <w:tcW w:w="1066" w:type="dxa"/>
            <w:tcBorders>
              <w:left w:val="nil"/>
              <w:right w:val="single" w:sz="4" w:space="0" w:color="auto"/>
            </w:tcBorders>
          </w:tcPr>
          <w:p w:rsidR="00973C09" w:rsidRPr="008A7629" w:rsidRDefault="00973C09">
            <w:pPr>
              <w:pStyle w:val="Citat"/>
              <w:spacing w:before="0"/>
              <w:jc w:val="left"/>
              <w:rPr>
                <w:sz w:val="16"/>
              </w:rPr>
            </w:pPr>
            <w:r w:rsidRPr="008A7629">
              <w:rPr>
                <w:sz w:val="16"/>
              </w:rPr>
              <w:t xml:space="preserve">          140 000</w:t>
            </w:r>
          </w:p>
        </w:tc>
        <w:tc>
          <w:tcPr>
            <w:tcW w:w="1191" w:type="dxa"/>
            <w:tcBorders>
              <w:left w:val="nil"/>
              <w:right w:val="single" w:sz="4" w:space="0" w:color="auto"/>
            </w:tcBorders>
          </w:tcPr>
          <w:p w:rsidR="00973C09" w:rsidRPr="008A7629" w:rsidRDefault="00973C09">
            <w:pPr>
              <w:pStyle w:val="Citat"/>
              <w:spacing w:before="0"/>
              <w:jc w:val="left"/>
              <w:rPr>
                <w:sz w:val="16"/>
              </w:rPr>
            </w:pPr>
            <w:r w:rsidRPr="008A7629">
              <w:rPr>
                <w:sz w:val="16"/>
              </w:rPr>
              <w:t xml:space="preserve">                 4 000</w:t>
            </w:r>
          </w:p>
        </w:tc>
        <w:tc>
          <w:tcPr>
            <w:tcW w:w="1361" w:type="dxa"/>
            <w:tcBorders>
              <w:left w:val="nil"/>
            </w:tcBorders>
          </w:tcPr>
          <w:p w:rsidR="00973C09" w:rsidRPr="008A7629" w:rsidRDefault="00973C09">
            <w:pPr>
              <w:pStyle w:val="Citat"/>
              <w:spacing w:before="0"/>
              <w:jc w:val="left"/>
              <w:rPr>
                <w:sz w:val="16"/>
              </w:rPr>
            </w:pPr>
            <w:r w:rsidRPr="008A7629">
              <w:rPr>
                <w:sz w:val="16"/>
              </w:rPr>
              <w:t xml:space="preserve">                 144 000</w:t>
            </w:r>
          </w:p>
        </w:tc>
      </w:tr>
      <w:tr w:rsidR="00000000" w:rsidRPr="008A7629">
        <w:tblPrEx>
          <w:tblCellMar>
            <w:top w:w="0" w:type="dxa"/>
            <w:bottom w:w="0" w:type="dxa"/>
          </w:tblCellMar>
        </w:tblPrEx>
        <w:tc>
          <w:tcPr>
            <w:tcW w:w="680" w:type="dxa"/>
            <w:tcBorders>
              <w:right w:val="single" w:sz="4" w:space="0" w:color="auto"/>
            </w:tcBorders>
          </w:tcPr>
          <w:p w:rsidR="00973C09" w:rsidRPr="008A7629" w:rsidRDefault="00973C09">
            <w:pPr>
              <w:pStyle w:val="Citat"/>
              <w:spacing w:before="0"/>
              <w:jc w:val="left"/>
              <w:rPr>
                <w:sz w:val="16"/>
              </w:rPr>
            </w:pPr>
            <w:r w:rsidRPr="008A7629">
              <w:rPr>
                <w:sz w:val="16"/>
              </w:rPr>
              <w:t>D1</w:t>
            </w:r>
          </w:p>
        </w:tc>
        <w:tc>
          <w:tcPr>
            <w:tcW w:w="2127" w:type="dxa"/>
            <w:tcBorders>
              <w:left w:val="nil"/>
              <w:right w:val="single" w:sz="4" w:space="0" w:color="auto"/>
            </w:tcBorders>
          </w:tcPr>
          <w:p w:rsidR="00973C09" w:rsidRPr="008A7629" w:rsidRDefault="00973C09">
            <w:pPr>
              <w:pStyle w:val="Citat"/>
              <w:spacing w:before="0"/>
              <w:jc w:val="left"/>
              <w:rPr>
                <w:sz w:val="16"/>
              </w:rPr>
            </w:pPr>
            <w:r w:rsidRPr="008A7629">
              <w:rPr>
                <w:sz w:val="16"/>
              </w:rPr>
              <w:t>Ersättning till statens järnv</w:t>
            </w:r>
            <w:r w:rsidRPr="008A7629">
              <w:rPr>
                <w:sz w:val="16"/>
              </w:rPr>
              <w:t>ä</w:t>
            </w:r>
            <w:r w:rsidRPr="008A7629">
              <w:rPr>
                <w:sz w:val="16"/>
              </w:rPr>
              <w:t xml:space="preserve">gar i samband med utdelning från AB Swedcarrier, </w:t>
            </w:r>
          </w:p>
          <w:p w:rsidR="00973C09" w:rsidRPr="008A7629" w:rsidRDefault="00973C09">
            <w:pPr>
              <w:pStyle w:val="Citat"/>
              <w:spacing w:before="0"/>
              <w:jc w:val="left"/>
              <w:rPr>
                <w:sz w:val="16"/>
              </w:rPr>
            </w:pPr>
            <w:r w:rsidRPr="008A7629">
              <w:rPr>
                <w:sz w:val="16"/>
              </w:rPr>
              <w:t>r</w:t>
            </w:r>
            <w:r w:rsidRPr="008A7629">
              <w:rPr>
                <w:sz w:val="16"/>
              </w:rPr>
              <w:t>a</w:t>
            </w:r>
            <w:r w:rsidRPr="008A7629">
              <w:rPr>
                <w:sz w:val="16"/>
              </w:rPr>
              <w:t>manslag</w:t>
            </w:r>
          </w:p>
        </w:tc>
        <w:tc>
          <w:tcPr>
            <w:tcW w:w="1066" w:type="dxa"/>
            <w:tcBorders>
              <w:left w:val="nil"/>
              <w:right w:val="single" w:sz="4" w:space="0" w:color="auto"/>
            </w:tcBorders>
          </w:tcPr>
          <w:p w:rsidR="00973C09" w:rsidRPr="008A7629" w:rsidRDefault="00973C09">
            <w:pPr>
              <w:pStyle w:val="Citat"/>
              <w:spacing w:before="0"/>
              <w:jc w:val="left"/>
              <w:rPr>
                <w:sz w:val="16"/>
              </w:rPr>
            </w:pPr>
            <w:r w:rsidRPr="008A7629">
              <w:rPr>
                <w:sz w:val="16"/>
              </w:rPr>
              <w:t xml:space="preserve">            50 000</w:t>
            </w:r>
          </w:p>
        </w:tc>
        <w:tc>
          <w:tcPr>
            <w:tcW w:w="1191" w:type="dxa"/>
            <w:tcBorders>
              <w:left w:val="nil"/>
              <w:right w:val="single" w:sz="4" w:space="0" w:color="auto"/>
            </w:tcBorders>
          </w:tcPr>
          <w:p w:rsidR="00973C09" w:rsidRPr="008A7629" w:rsidRDefault="00973C09">
            <w:pPr>
              <w:pStyle w:val="Citat"/>
              <w:spacing w:before="0"/>
              <w:jc w:val="left"/>
              <w:rPr>
                <w:sz w:val="16"/>
              </w:rPr>
            </w:pPr>
            <w:r w:rsidRPr="008A7629">
              <w:rPr>
                <w:sz w:val="16"/>
              </w:rPr>
              <w:t xml:space="preserve">             -17 000</w:t>
            </w:r>
          </w:p>
        </w:tc>
        <w:tc>
          <w:tcPr>
            <w:tcW w:w="1361" w:type="dxa"/>
            <w:tcBorders>
              <w:left w:val="nil"/>
            </w:tcBorders>
          </w:tcPr>
          <w:p w:rsidR="00973C09" w:rsidRPr="008A7629" w:rsidRDefault="00973C09">
            <w:pPr>
              <w:pStyle w:val="Citat"/>
              <w:spacing w:before="0"/>
              <w:jc w:val="left"/>
              <w:rPr>
                <w:sz w:val="16"/>
              </w:rPr>
            </w:pPr>
            <w:r w:rsidRPr="008A7629">
              <w:rPr>
                <w:sz w:val="16"/>
              </w:rPr>
              <w:t xml:space="preserve">                   33 000</w:t>
            </w:r>
          </w:p>
        </w:tc>
      </w:tr>
      <w:tr w:rsidR="00000000" w:rsidRPr="008A7629">
        <w:tblPrEx>
          <w:tblCellMar>
            <w:top w:w="0" w:type="dxa"/>
            <w:bottom w:w="0" w:type="dxa"/>
          </w:tblCellMar>
        </w:tblPrEx>
        <w:tc>
          <w:tcPr>
            <w:tcW w:w="680" w:type="dxa"/>
            <w:tcBorders>
              <w:right w:val="single" w:sz="4" w:space="0" w:color="auto"/>
            </w:tcBorders>
          </w:tcPr>
          <w:p w:rsidR="00973C09" w:rsidRPr="008A7629" w:rsidRDefault="00973C09">
            <w:pPr>
              <w:pStyle w:val="Citat"/>
              <w:spacing w:before="0"/>
              <w:jc w:val="left"/>
              <w:rPr>
                <w:sz w:val="16"/>
              </w:rPr>
            </w:pPr>
            <w:r w:rsidRPr="008A7629">
              <w:rPr>
                <w:sz w:val="16"/>
              </w:rPr>
              <w:t>D2</w:t>
            </w:r>
          </w:p>
        </w:tc>
        <w:tc>
          <w:tcPr>
            <w:tcW w:w="2127" w:type="dxa"/>
            <w:tcBorders>
              <w:left w:val="nil"/>
              <w:right w:val="single" w:sz="4" w:space="0" w:color="auto"/>
            </w:tcBorders>
          </w:tcPr>
          <w:p w:rsidR="00973C09" w:rsidRPr="008A7629" w:rsidRDefault="00973C09">
            <w:pPr>
              <w:pStyle w:val="Citat"/>
              <w:spacing w:before="0"/>
              <w:jc w:val="left"/>
              <w:rPr>
                <w:sz w:val="16"/>
              </w:rPr>
            </w:pPr>
            <w:r w:rsidRPr="008A7629">
              <w:rPr>
                <w:sz w:val="16"/>
              </w:rPr>
              <w:t>Rikstrafiken: Administration, ramanslag</w:t>
            </w:r>
          </w:p>
        </w:tc>
        <w:tc>
          <w:tcPr>
            <w:tcW w:w="1066" w:type="dxa"/>
            <w:tcBorders>
              <w:left w:val="nil"/>
              <w:right w:val="single" w:sz="4" w:space="0" w:color="auto"/>
            </w:tcBorders>
          </w:tcPr>
          <w:p w:rsidR="00973C09" w:rsidRPr="008A7629" w:rsidRDefault="00973C09">
            <w:pPr>
              <w:pStyle w:val="Citat"/>
              <w:spacing w:before="0"/>
              <w:jc w:val="left"/>
              <w:rPr>
                <w:sz w:val="16"/>
              </w:rPr>
            </w:pPr>
            <w:r w:rsidRPr="008A7629">
              <w:rPr>
                <w:sz w:val="16"/>
              </w:rPr>
              <w:t xml:space="preserve">            10 000</w:t>
            </w:r>
          </w:p>
        </w:tc>
        <w:tc>
          <w:tcPr>
            <w:tcW w:w="1191" w:type="dxa"/>
            <w:tcBorders>
              <w:left w:val="nil"/>
              <w:right w:val="single" w:sz="4" w:space="0" w:color="auto"/>
            </w:tcBorders>
          </w:tcPr>
          <w:p w:rsidR="00973C09" w:rsidRPr="008A7629" w:rsidRDefault="00973C09">
            <w:pPr>
              <w:pStyle w:val="Citat"/>
              <w:spacing w:before="0"/>
              <w:jc w:val="left"/>
              <w:rPr>
                <w:sz w:val="16"/>
              </w:rPr>
            </w:pPr>
            <w:r w:rsidRPr="008A7629">
              <w:rPr>
                <w:sz w:val="16"/>
              </w:rPr>
              <w:t xml:space="preserve">                    542</w:t>
            </w:r>
          </w:p>
        </w:tc>
        <w:tc>
          <w:tcPr>
            <w:tcW w:w="1361" w:type="dxa"/>
            <w:tcBorders>
              <w:left w:val="nil"/>
            </w:tcBorders>
          </w:tcPr>
          <w:p w:rsidR="00973C09" w:rsidRPr="008A7629" w:rsidRDefault="00973C09">
            <w:pPr>
              <w:pStyle w:val="Citat"/>
              <w:spacing w:before="0"/>
              <w:jc w:val="left"/>
              <w:rPr>
                <w:sz w:val="16"/>
              </w:rPr>
            </w:pPr>
            <w:r w:rsidRPr="008A7629">
              <w:rPr>
                <w:sz w:val="16"/>
              </w:rPr>
              <w:t xml:space="preserve">                   10 542</w:t>
            </w:r>
          </w:p>
        </w:tc>
      </w:tr>
      <w:tr w:rsidR="00000000" w:rsidRPr="008A7629">
        <w:tblPrEx>
          <w:tblCellMar>
            <w:top w:w="0" w:type="dxa"/>
            <w:bottom w:w="0" w:type="dxa"/>
          </w:tblCellMar>
        </w:tblPrEx>
        <w:tc>
          <w:tcPr>
            <w:tcW w:w="680" w:type="dxa"/>
            <w:tcBorders>
              <w:right w:val="single" w:sz="4" w:space="0" w:color="auto"/>
            </w:tcBorders>
          </w:tcPr>
          <w:p w:rsidR="00973C09" w:rsidRPr="008A7629" w:rsidRDefault="00973C09">
            <w:pPr>
              <w:pStyle w:val="Citat"/>
              <w:spacing w:before="0"/>
              <w:jc w:val="left"/>
              <w:rPr>
                <w:sz w:val="16"/>
              </w:rPr>
            </w:pPr>
            <w:r w:rsidRPr="008A7629">
              <w:rPr>
                <w:sz w:val="16"/>
              </w:rPr>
              <w:t>E1</w:t>
            </w:r>
          </w:p>
        </w:tc>
        <w:tc>
          <w:tcPr>
            <w:tcW w:w="2127" w:type="dxa"/>
            <w:tcBorders>
              <w:left w:val="nil"/>
              <w:right w:val="single" w:sz="4" w:space="0" w:color="auto"/>
            </w:tcBorders>
          </w:tcPr>
          <w:p w:rsidR="00973C09" w:rsidRPr="008A7629" w:rsidRDefault="00973C09">
            <w:pPr>
              <w:pStyle w:val="Citat"/>
              <w:spacing w:before="0"/>
              <w:jc w:val="left"/>
              <w:rPr>
                <w:sz w:val="16"/>
              </w:rPr>
            </w:pPr>
            <w:r w:rsidRPr="008A7629">
              <w:rPr>
                <w:sz w:val="16"/>
              </w:rPr>
              <w:t>Statens väg- och transpor</w:t>
            </w:r>
            <w:r w:rsidRPr="008A7629">
              <w:rPr>
                <w:sz w:val="16"/>
              </w:rPr>
              <w:t>t</w:t>
            </w:r>
            <w:r w:rsidRPr="008A7629">
              <w:rPr>
                <w:sz w:val="16"/>
              </w:rPr>
              <w:t>forskningsinstitut, rama</w:t>
            </w:r>
            <w:r w:rsidRPr="008A7629">
              <w:rPr>
                <w:sz w:val="16"/>
              </w:rPr>
              <w:t>n</w:t>
            </w:r>
            <w:r w:rsidRPr="008A7629">
              <w:rPr>
                <w:sz w:val="16"/>
              </w:rPr>
              <w:t>slag</w:t>
            </w:r>
          </w:p>
        </w:tc>
        <w:tc>
          <w:tcPr>
            <w:tcW w:w="1066" w:type="dxa"/>
            <w:tcBorders>
              <w:left w:val="nil"/>
              <w:right w:val="single" w:sz="4" w:space="0" w:color="auto"/>
            </w:tcBorders>
          </w:tcPr>
          <w:p w:rsidR="00973C09" w:rsidRPr="008A7629" w:rsidRDefault="00973C09">
            <w:pPr>
              <w:pStyle w:val="Citat"/>
              <w:spacing w:before="0"/>
              <w:jc w:val="left"/>
              <w:rPr>
                <w:sz w:val="16"/>
              </w:rPr>
            </w:pPr>
            <w:r w:rsidRPr="008A7629">
              <w:rPr>
                <w:sz w:val="16"/>
              </w:rPr>
              <w:t xml:space="preserve">            30 099</w:t>
            </w:r>
          </w:p>
        </w:tc>
        <w:tc>
          <w:tcPr>
            <w:tcW w:w="1191" w:type="dxa"/>
            <w:tcBorders>
              <w:left w:val="nil"/>
              <w:right w:val="single" w:sz="4" w:space="0" w:color="auto"/>
            </w:tcBorders>
          </w:tcPr>
          <w:p w:rsidR="00973C09" w:rsidRPr="008A7629" w:rsidRDefault="00973C09">
            <w:pPr>
              <w:pStyle w:val="Citat"/>
              <w:spacing w:before="0"/>
              <w:jc w:val="left"/>
              <w:rPr>
                <w:sz w:val="16"/>
              </w:rPr>
            </w:pPr>
            <w:r w:rsidRPr="008A7629">
              <w:rPr>
                <w:sz w:val="16"/>
              </w:rPr>
              <w:t xml:space="preserve">                 2 000</w:t>
            </w:r>
          </w:p>
        </w:tc>
        <w:tc>
          <w:tcPr>
            <w:tcW w:w="1361" w:type="dxa"/>
            <w:tcBorders>
              <w:left w:val="nil"/>
            </w:tcBorders>
          </w:tcPr>
          <w:p w:rsidR="00973C09" w:rsidRPr="008A7629" w:rsidRDefault="00973C09">
            <w:pPr>
              <w:pStyle w:val="Citat"/>
              <w:spacing w:before="0"/>
              <w:jc w:val="left"/>
              <w:rPr>
                <w:sz w:val="16"/>
              </w:rPr>
            </w:pPr>
            <w:r w:rsidRPr="008A7629">
              <w:rPr>
                <w:sz w:val="16"/>
              </w:rPr>
              <w:t xml:space="preserve">                   32 099</w:t>
            </w:r>
          </w:p>
        </w:tc>
      </w:tr>
      <w:tr w:rsidR="00000000" w:rsidRPr="008A7629">
        <w:tblPrEx>
          <w:tblCellMar>
            <w:top w:w="0" w:type="dxa"/>
            <w:bottom w:w="0" w:type="dxa"/>
          </w:tblCellMar>
        </w:tblPrEx>
        <w:tc>
          <w:tcPr>
            <w:tcW w:w="680" w:type="dxa"/>
            <w:tcBorders>
              <w:right w:val="single" w:sz="4" w:space="0" w:color="auto"/>
            </w:tcBorders>
          </w:tcPr>
          <w:p w:rsidR="00973C09" w:rsidRPr="008A7629" w:rsidRDefault="00973C09">
            <w:pPr>
              <w:pStyle w:val="Citat"/>
              <w:spacing w:before="0"/>
              <w:jc w:val="left"/>
              <w:rPr>
                <w:sz w:val="16"/>
              </w:rPr>
            </w:pPr>
            <w:r w:rsidRPr="008A7629">
              <w:rPr>
                <w:sz w:val="16"/>
              </w:rPr>
              <w:t>E2</w:t>
            </w:r>
          </w:p>
        </w:tc>
        <w:tc>
          <w:tcPr>
            <w:tcW w:w="2127" w:type="dxa"/>
            <w:tcBorders>
              <w:left w:val="nil"/>
              <w:right w:val="single" w:sz="4" w:space="0" w:color="auto"/>
            </w:tcBorders>
          </w:tcPr>
          <w:p w:rsidR="00973C09" w:rsidRPr="008A7629" w:rsidRDefault="00973C09">
            <w:pPr>
              <w:pStyle w:val="Citat"/>
              <w:spacing w:before="0"/>
              <w:jc w:val="left"/>
              <w:rPr>
                <w:sz w:val="16"/>
              </w:rPr>
            </w:pPr>
            <w:r w:rsidRPr="008A7629">
              <w:rPr>
                <w:sz w:val="16"/>
              </w:rPr>
              <w:t>Kommunikationsforskning</w:t>
            </w:r>
            <w:r w:rsidRPr="008A7629">
              <w:rPr>
                <w:sz w:val="16"/>
              </w:rPr>
              <w:t>s</w:t>
            </w:r>
            <w:r w:rsidRPr="008A7629">
              <w:rPr>
                <w:sz w:val="16"/>
              </w:rPr>
              <w:t>beredningen</w:t>
            </w:r>
          </w:p>
        </w:tc>
        <w:tc>
          <w:tcPr>
            <w:tcW w:w="1066" w:type="dxa"/>
            <w:tcBorders>
              <w:left w:val="nil"/>
              <w:right w:val="single" w:sz="4" w:space="0" w:color="auto"/>
            </w:tcBorders>
          </w:tcPr>
          <w:p w:rsidR="00973C09" w:rsidRPr="008A7629" w:rsidRDefault="00973C09">
            <w:pPr>
              <w:pStyle w:val="Citat"/>
              <w:spacing w:before="0"/>
              <w:jc w:val="left"/>
              <w:rPr>
                <w:sz w:val="16"/>
              </w:rPr>
            </w:pPr>
            <w:r w:rsidRPr="008A7629">
              <w:rPr>
                <w:sz w:val="16"/>
              </w:rPr>
              <w:t xml:space="preserve">          155 851</w:t>
            </w:r>
          </w:p>
        </w:tc>
        <w:tc>
          <w:tcPr>
            <w:tcW w:w="1191" w:type="dxa"/>
            <w:tcBorders>
              <w:left w:val="nil"/>
              <w:right w:val="single" w:sz="4" w:space="0" w:color="auto"/>
            </w:tcBorders>
          </w:tcPr>
          <w:p w:rsidR="00973C09" w:rsidRPr="008A7629" w:rsidRDefault="00973C09">
            <w:pPr>
              <w:pStyle w:val="Citat"/>
              <w:spacing w:before="0"/>
              <w:jc w:val="left"/>
              <w:rPr>
                <w:sz w:val="16"/>
              </w:rPr>
            </w:pPr>
            <w:r w:rsidRPr="008A7629">
              <w:rPr>
                <w:sz w:val="16"/>
              </w:rPr>
              <w:t xml:space="preserve">                 1 365</w:t>
            </w:r>
          </w:p>
        </w:tc>
        <w:tc>
          <w:tcPr>
            <w:tcW w:w="1361" w:type="dxa"/>
            <w:tcBorders>
              <w:left w:val="nil"/>
            </w:tcBorders>
          </w:tcPr>
          <w:p w:rsidR="00973C09" w:rsidRPr="008A7629" w:rsidRDefault="00973C09">
            <w:pPr>
              <w:pStyle w:val="Citat"/>
              <w:spacing w:before="0"/>
              <w:jc w:val="left"/>
              <w:rPr>
                <w:sz w:val="16"/>
              </w:rPr>
            </w:pPr>
            <w:r w:rsidRPr="008A7629">
              <w:rPr>
                <w:sz w:val="16"/>
              </w:rPr>
              <w:t xml:space="preserve">                 157 216</w:t>
            </w:r>
          </w:p>
        </w:tc>
      </w:tr>
    </w:tbl>
    <w:p w:rsidR="00973C09" w:rsidRPr="008A7629" w:rsidRDefault="00973C09">
      <w:pPr>
        <w:pStyle w:val="Normaltindrag"/>
      </w:pPr>
    </w:p>
    <w:p w:rsidR="00973C09" w:rsidRPr="008A7629" w:rsidRDefault="00973C09">
      <w:pPr>
        <w:spacing w:before="0"/>
      </w:pPr>
      <w:r w:rsidRPr="008A7629">
        <w:t>Som framgår av tabellen innebär regeringens förslag att ramen för utgiftso</w:t>
      </w:r>
      <w:r w:rsidRPr="008A7629">
        <w:t>m</w:t>
      </w:r>
      <w:r w:rsidRPr="008A7629">
        <w:t>rådet minskar med 13,1 miljoner kronor.</w:t>
      </w:r>
    </w:p>
    <w:p w:rsidR="00973C09" w:rsidRPr="008A7629" w:rsidRDefault="00973C09">
      <w:pPr>
        <w:pStyle w:val="Normaltindrag"/>
        <w:rPr>
          <w:i/>
        </w:rPr>
      </w:pPr>
      <w:r w:rsidRPr="008A7629">
        <w:t>När det gäller anslaget</w:t>
      </w:r>
      <w:r w:rsidRPr="008A7629">
        <w:rPr>
          <w:i/>
        </w:rPr>
        <w:t xml:space="preserve"> SOS Alarm Sverige AB</w:t>
      </w:r>
      <w:r w:rsidRPr="008A7629">
        <w:t xml:space="preserve"> är enligt regeringen en fö</w:t>
      </w:r>
      <w:r w:rsidRPr="008A7629">
        <w:t>r</w:t>
      </w:r>
      <w:r w:rsidRPr="008A7629">
        <w:t xml:space="preserve">stärkning nödvändig för att alarmfunktionen i samhället skall kunna fungera tillfredsställande. Finansiering sker genom en minskning av anslaget </w:t>
      </w:r>
      <w:r w:rsidRPr="008A7629">
        <w:rPr>
          <w:i/>
        </w:rPr>
        <w:t>Up</w:t>
      </w:r>
      <w:r w:rsidRPr="008A7629">
        <w:rPr>
          <w:i/>
        </w:rPr>
        <w:t>p</w:t>
      </w:r>
      <w:r w:rsidRPr="008A7629">
        <w:rPr>
          <w:i/>
        </w:rPr>
        <w:t>handling av samhällsåtaga</w:t>
      </w:r>
      <w:r w:rsidRPr="008A7629">
        <w:rPr>
          <w:i/>
        </w:rPr>
        <w:t>n</w:t>
      </w:r>
      <w:r w:rsidRPr="008A7629">
        <w:rPr>
          <w:i/>
        </w:rPr>
        <w:t>den.</w:t>
      </w:r>
    </w:p>
    <w:p w:rsidR="00973C09" w:rsidRPr="008A7629" w:rsidRDefault="00973C09">
      <w:pPr>
        <w:pStyle w:val="Normaltindrag"/>
      </w:pPr>
      <w:r w:rsidRPr="008A7629">
        <w:t xml:space="preserve">Anslaget </w:t>
      </w:r>
      <w:r w:rsidRPr="008A7629">
        <w:rPr>
          <w:i/>
        </w:rPr>
        <w:t xml:space="preserve">Ersättning till Statens järnvägar i samband med utdelning från AB Swedcarrier </w:t>
      </w:r>
      <w:r w:rsidRPr="008A7629">
        <w:t>minskas för att finansiera ökade utgifter för Sveriges geol</w:t>
      </w:r>
      <w:r w:rsidRPr="008A7629">
        <w:t>o</w:t>
      </w:r>
      <w:r w:rsidRPr="008A7629">
        <w:t>giska undersökning under utgiftsområde 24 Näringsliv.</w:t>
      </w:r>
    </w:p>
    <w:p w:rsidR="00973C09" w:rsidRPr="008A7629" w:rsidRDefault="00973C09">
      <w:pPr>
        <w:pStyle w:val="Normaltindrag"/>
      </w:pPr>
      <w:r w:rsidRPr="008A7629">
        <w:t xml:space="preserve">Övriga förslag till anslagsförändringar avser endast tekniska justeringar föranledda av förändrad finansiering av avtalsförsäkringarna på det statliga området. </w:t>
      </w:r>
    </w:p>
    <w:p w:rsidR="00973C09" w:rsidRPr="008A7629" w:rsidRDefault="00973C09">
      <w:pPr>
        <w:pStyle w:val="R3"/>
      </w:pPr>
      <w:r w:rsidRPr="008A7629">
        <w:t>Motionsförslag</w:t>
      </w:r>
    </w:p>
    <w:p w:rsidR="00973C09" w:rsidRPr="008A7629" w:rsidRDefault="00973C09">
      <w:r w:rsidRPr="008A7629">
        <w:t>Per-Richard Molén m.fl. (m) framhåller i motion Fi29 (yrkande 2) att reg</w:t>
      </w:r>
      <w:r w:rsidRPr="008A7629">
        <w:t>e</w:t>
      </w:r>
      <w:r w:rsidRPr="008A7629">
        <w:t>ringen bör återkomma till riksdagen med mer information om hur anslaget D2 Rikstrafiken: Administration skall användas.</w:t>
      </w:r>
    </w:p>
    <w:p w:rsidR="00973C09" w:rsidRPr="008A7629" w:rsidRDefault="00973C09">
      <w:pPr>
        <w:pStyle w:val="R3"/>
      </w:pPr>
      <w:r w:rsidRPr="008A7629">
        <w:t>Trafikutskottets ställningstagande</w:t>
      </w:r>
    </w:p>
    <w:p w:rsidR="00973C09" w:rsidRPr="008A7629" w:rsidRDefault="00973C09">
      <w:r w:rsidRPr="008A7629">
        <w:t xml:space="preserve">Trafikutskottet ställer sig för sin del bakom regeringens förslag till ändrad ram och ändrade anslag för budgetåret 2000. </w:t>
      </w:r>
    </w:p>
    <w:p w:rsidR="00973C09" w:rsidRPr="008A7629" w:rsidRDefault="00973C09">
      <w:pPr>
        <w:pStyle w:val="Normaltindrag"/>
      </w:pPr>
      <w:r w:rsidRPr="008A7629">
        <w:t>Den föreslagna ökningen beträffande anslaget D2 Rikstrafiken: Admini-stration avser endast som redovisats ovan en teknisk justering. Något skäl att av regeringen begära ytterligare information om hur anslaget skall användas anser trafikutskottet inte föreligga. Riksdagen bör därför avslå motionsy</w:t>
      </w:r>
      <w:r w:rsidRPr="008A7629">
        <w:t>r</w:t>
      </w:r>
      <w:r w:rsidRPr="008A7629">
        <w:t>kandet härom.</w:t>
      </w:r>
    </w:p>
    <w:p w:rsidR="00973C09" w:rsidRPr="008A7629" w:rsidRDefault="00973C09">
      <w:pPr>
        <w:pStyle w:val="R2"/>
      </w:pPr>
      <w:r w:rsidRPr="008A7629">
        <w:t>1.2 Anslaget A2 Väghållning och statsbidrag</w:t>
      </w:r>
    </w:p>
    <w:p w:rsidR="00973C09" w:rsidRPr="008A7629" w:rsidRDefault="00973C09">
      <w:r w:rsidRPr="008A7629">
        <w:t>Trafikutskottet tillstyrker regeringens förslag (yrkande 32) att regeringen bemyndigas att under år 2000, i fråga om ramanslaget A2 Väghållning och statsbidrag, fatta beslut om bidrag till enskilda vägar som medför utgifter på högst 566 miljoner kronor under år 2000.</w:t>
      </w:r>
    </w:p>
    <w:p w:rsidR="00973C09" w:rsidRPr="008A7629" w:rsidRDefault="00973C09">
      <w:pPr>
        <w:pStyle w:val="R2"/>
      </w:pPr>
      <w:r w:rsidRPr="008A7629">
        <w:t>1.3 Anslaget Post- och telestyrelsen: Förvaltningskostnader för vissa myndighetsuppgifter</w:t>
      </w:r>
    </w:p>
    <w:p w:rsidR="00973C09" w:rsidRPr="008A7629" w:rsidRDefault="00973C09">
      <w:pPr>
        <w:pStyle w:val="R3"/>
        <w:spacing w:before="123"/>
      </w:pPr>
      <w:r w:rsidRPr="008A7629">
        <w:t>Regeringens förslag</w:t>
      </w:r>
    </w:p>
    <w:p w:rsidR="00973C09" w:rsidRPr="008A7629" w:rsidRDefault="00973C09">
      <w:r w:rsidRPr="008A7629">
        <w:t>Regeringen föreslår att anslaget Post- och telestyrelsen: Förvaltningskostn</w:t>
      </w:r>
      <w:r w:rsidRPr="008A7629">
        <w:t>a</w:t>
      </w:r>
      <w:r w:rsidRPr="008A7629">
        <w:t>der för vissa myndighetsuppgifter skall kunna användas till att finansiera vissa av de projekt och delar av utbyggnaden av IT-infrastrukturen i enlighet med vad som redovisas i proposition 1999/2000 Ett informationssamhälle för alla.</w:t>
      </w:r>
    </w:p>
    <w:p w:rsidR="00973C09" w:rsidRPr="008A7629" w:rsidRDefault="00973C09">
      <w:pPr>
        <w:pStyle w:val="R3"/>
      </w:pPr>
      <w:r w:rsidRPr="008A7629">
        <w:t>Motionsförslag</w:t>
      </w:r>
    </w:p>
    <w:p w:rsidR="00973C09" w:rsidRPr="008A7629" w:rsidRDefault="00973C09">
      <w:r w:rsidRPr="008A7629">
        <w:t>Per Richard Molén m.fl. (m) framhåller i motion Fi29 yrkande 1 att riksd</w:t>
      </w:r>
      <w:r w:rsidRPr="008A7629">
        <w:t>a</w:t>
      </w:r>
      <w:r w:rsidRPr="008A7629">
        <w:t>gen bör avslå försl</w:t>
      </w:r>
      <w:r w:rsidRPr="008A7629">
        <w:t>a</w:t>
      </w:r>
      <w:r w:rsidRPr="008A7629">
        <w:t>get eftersom marknaden kan stå för dessa kostnader.</w:t>
      </w:r>
    </w:p>
    <w:p w:rsidR="00973C09" w:rsidRPr="008A7629" w:rsidRDefault="00973C09">
      <w:pPr>
        <w:pStyle w:val="R3"/>
      </w:pPr>
      <w:r w:rsidRPr="008A7629">
        <w:t>Trafikutskottets ställningstagande</w:t>
      </w:r>
    </w:p>
    <w:p w:rsidR="00973C09" w:rsidRPr="008A7629" w:rsidRDefault="00973C09">
      <w:r w:rsidRPr="008A7629">
        <w:t xml:space="preserve"> Trafikutskottet behandlar för närvarande propositionen 1999/2000:86 Ett informatiossamhälle för alla. Trafikutskottet har ingen erinran mot regerin</w:t>
      </w:r>
      <w:r w:rsidRPr="008A7629">
        <w:t>g</w:t>
      </w:r>
      <w:r w:rsidRPr="008A7629">
        <w:t>ens fö</w:t>
      </w:r>
      <w:r w:rsidRPr="008A7629">
        <w:t>r</w:t>
      </w:r>
      <w:r w:rsidRPr="008A7629">
        <w:t xml:space="preserve">slag. Riksdagen bör därför avslå motionsyrkandet. </w:t>
      </w:r>
    </w:p>
    <w:p w:rsidR="00973C09" w:rsidRPr="008A7629" w:rsidRDefault="00973C09">
      <w:pPr>
        <w:pStyle w:val="R1"/>
      </w:pPr>
      <w:r w:rsidRPr="008A7629">
        <w:t>2 Telelagen</w:t>
      </w:r>
    </w:p>
    <w:p w:rsidR="00973C09" w:rsidRPr="008A7629" w:rsidRDefault="00973C09">
      <w:pPr>
        <w:pStyle w:val="R2"/>
        <w:spacing w:before="123"/>
      </w:pPr>
      <w:r w:rsidRPr="008A7629">
        <w:t>2.1 Ändringar i telelagen</w:t>
      </w:r>
    </w:p>
    <w:p w:rsidR="00973C09" w:rsidRPr="008A7629" w:rsidRDefault="00973C09">
      <w:pPr>
        <w:pStyle w:val="R3"/>
        <w:spacing w:before="123"/>
      </w:pPr>
      <w:r w:rsidRPr="008A7629">
        <w:t>Regeringens förslag i korthet</w:t>
      </w:r>
    </w:p>
    <w:p w:rsidR="00973C09" w:rsidRPr="008A7629" w:rsidRDefault="00973C09">
      <w:r w:rsidRPr="008A7629">
        <w:t>Regeringen har i vårpropositionen (yrkande 11) föreslagit ändringar i telel</w:t>
      </w:r>
      <w:r w:rsidRPr="008A7629">
        <w:t>a</w:t>
      </w:r>
      <w:r w:rsidRPr="008A7629">
        <w:t>gen som innebär krav på s.k. nationell roaming. Härmed avses en skyldighet för vissa operatörer på mobiltelemarknaden att låta abonnenter hos andra operatörer sända och ta emot telemeddelanden via sitt nät. Syftet med försl</w:t>
      </w:r>
      <w:r w:rsidRPr="008A7629">
        <w:t>a</w:t>
      </w:r>
      <w:r w:rsidRPr="008A7629">
        <w:t>get är att utjämna den konkurrens</w:t>
      </w:r>
      <w:r w:rsidRPr="008A7629">
        <w:softHyphen/>
        <w:t>nackdel som nya nätoperatörer har gent</w:t>
      </w:r>
      <w:r w:rsidRPr="008A7629">
        <w:t>e</w:t>
      </w:r>
      <w:r w:rsidRPr="008A7629">
        <w:t>mot de etablerade nätoperat</w:t>
      </w:r>
      <w:r w:rsidRPr="008A7629">
        <w:t>ö</w:t>
      </w:r>
      <w:r w:rsidRPr="008A7629">
        <w:t xml:space="preserve">rerna. </w:t>
      </w:r>
    </w:p>
    <w:p w:rsidR="00973C09" w:rsidRPr="008A7629" w:rsidRDefault="00973C09">
      <w:r w:rsidRPr="008A7629">
        <w:t>Riksdagen har nyligen beslutat om en annan ändring i telelagen i syfte att öka konkurrensen på mobil</w:t>
      </w:r>
      <w:r w:rsidRPr="008A7629">
        <w:softHyphen/>
        <w:t>telemarknaden (prop. 1999/2000:57, bet. 1999/2000:TU8, rskr. 1999/2000:189). Beslutet innebar att nätkapacitet för mobil kommunikation på begäran skall upplåtas till före</w:t>
      </w:r>
      <w:r w:rsidRPr="008A7629">
        <w:softHyphen/>
        <w:t>tag som helt saknar egna nät. Under regeringens beredning av denna lagändring framkom att det fanns behov av kompletterande regler avsedda för nya nätoperatörer. Efter förslag från Post- och tele</w:t>
      </w:r>
      <w:r w:rsidRPr="008A7629">
        <w:softHyphen/>
        <w:t>sty</w:t>
      </w:r>
      <w:r w:rsidRPr="008A7629">
        <w:softHyphen/>
        <w:t>relsen och remissbehandling utarbetades ett lagförslag som remitterades till Lagrådet. Lag</w:t>
      </w:r>
      <w:r w:rsidRPr="008A7629">
        <w:softHyphen/>
        <w:t>rådet lämnade lagförslaget utan eri</w:t>
      </w:r>
      <w:r w:rsidRPr="008A7629">
        <w:t>n</w:t>
      </w:r>
      <w:r w:rsidRPr="008A7629">
        <w:t>ran.</w:t>
      </w:r>
    </w:p>
    <w:p w:rsidR="00973C09" w:rsidRPr="008A7629" w:rsidRDefault="00973C09">
      <w:pPr>
        <w:pStyle w:val="R3"/>
      </w:pPr>
      <w:r w:rsidRPr="008A7629">
        <w:t xml:space="preserve">Motiven </w:t>
      </w:r>
      <w:r w:rsidRPr="008A7629">
        <w:t>till regeringens förslag</w:t>
      </w:r>
    </w:p>
    <w:p w:rsidR="00973C09" w:rsidRPr="008A7629" w:rsidRDefault="00973C09">
      <w:r w:rsidRPr="008A7629">
        <w:t>Marknaden för mobiltelefoni präglas bl.a. av att tillgången på radiofrekve</w:t>
      </w:r>
      <w:r w:rsidRPr="008A7629">
        <w:t>n</w:t>
      </w:r>
      <w:r w:rsidRPr="008A7629">
        <w:t>ser för mobi</w:t>
      </w:r>
      <w:r w:rsidRPr="008A7629">
        <w:softHyphen/>
        <w:t>la nät är begränsad. Detta är ett viktigt skäl till att det endast finns tre mobilopera</w:t>
      </w:r>
      <w:r w:rsidRPr="008A7629">
        <w:softHyphen/>
        <w:t>törer i Sverige – Telia Mobile AB, Tele2 AB och Eur</w:t>
      </w:r>
      <w:r w:rsidRPr="008A7629">
        <w:t>o</w:t>
      </w:r>
      <w:r w:rsidRPr="008A7629">
        <w:t>politan AB. Behovet av ökad konkur</w:t>
      </w:r>
      <w:r w:rsidRPr="008A7629">
        <w:softHyphen/>
        <w:t>rens på mobiltelemarknaden har beskr</w:t>
      </w:r>
      <w:r w:rsidRPr="008A7629">
        <w:t>i</w:t>
      </w:r>
      <w:r w:rsidRPr="008A7629">
        <w:t>vits i den tidigare behandlade pro</w:t>
      </w:r>
      <w:r w:rsidRPr="008A7629">
        <w:softHyphen/>
        <w:t>po</w:t>
      </w:r>
      <w:r w:rsidRPr="008A7629">
        <w:softHyphen/>
        <w:t xml:space="preserve">sitionen. Det nu aktuella förslaget om nationell roaming har samma motiv som den tidigare propositionen men tar sikte på andra aspekter av frågan. Det gäller här framför allt övergången till den tredje generationens mobiltelefoni samt konkurrensen </w:t>
      </w:r>
      <w:r w:rsidRPr="008A7629">
        <w:t>mellan nya och gamla nätoperatörer.</w:t>
      </w:r>
    </w:p>
    <w:p w:rsidR="00973C09" w:rsidRPr="008A7629" w:rsidRDefault="00973C09">
      <w:pPr>
        <w:pStyle w:val="R4"/>
      </w:pPr>
      <w:r w:rsidRPr="008A7629">
        <w:t>Övergången till den tredje generationens mobiltel</w:t>
      </w:r>
      <w:r w:rsidRPr="008A7629">
        <w:t>e</w:t>
      </w:r>
      <w:r w:rsidRPr="008A7629">
        <w:t>foni (UMTS)</w:t>
      </w:r>
    </w:p>
    <w:p w:rsidR="00973C09" w:rsidRPr="008A7629" w:rsidRDefault="00973C09">
      <w:r w:rsidRPr="008A7629">
        <w:t>Det kraftiga genomslaget för mobiltelefonin i Sverige kom i samband med att de digi</w:t>
      </w:r>
      <w:r w:rsidRPr="008A7629">
        <w:softHyphen/>
        <w:t>ta</w:t>
      </w:r>
      <w:r w:rsidRPr="008A7629">
        <w:softHyphen/>
        <w:t>la GSM-näten introducerades hösten 1992. Vid årsskiftet 1999/2000 fanns över 5,1 miljoner svenska mobilabonnemang. Sverige är därmed ett av vär</w:t>
      </w:r>
      <w:r w:rsidRPr="008A7629">
        <w:t>l</w:t>
      </w:r>
      <w:r w:rsidRPr="008A7629">
        <w:t>dens mest mobil</w:t>
      </w:r>
      <w:r w:rsidRPr="008A7629">
        <w:softHyphen/>
        <w:t>tele</w:t>
      </w:r>
      <w:r w:rsidRPr="008A7629">
        <w:softHyphen/>
        <w:t>fon</w:t>
      </w:r>
      <w:r w:rsidRPr="008A7629">
        <w:softHyphen/>
        <w:t xml:space="preserve">täta länder. </w:t>
      </w:r>
    </w:p>
    <w:p w:rsidR="00973C09" w:rsidRPr="008A7629" w:rsidRDefault="00973C09">
      <w:pPr>
        <w:pStyle w:val="Normaltindrag"/>
      </w:pPr>
      <w:r w:rsidRPr="008A7629">
        <w:t>Ett nytt system för mobil och trådlös kommu</w:t>
      </w:r>
      <w:r w:rsidRPr="008A7629">
        <w:softHyphen/>
        <w:t>nikation (UMTS – Universal Mobile Telecommunications System) möjliggör högre överföringshastigheter i mobilnäten och ökad tillgång till mobilt Internet och multimediatjänster. Ett samordnat införande av detta system har i december 1998 beslutats inom EU. Tillstånd för UMTS kommer att utfärdas i Sverige senare i år. Post- och telestyrelsen har beslutat att högst fyra nya tillstånd för UMTS skall utfärdas. Det finns också fre</w:t>
      </w:r>
      <w:r w:rsidRPr="008A7629">
        <w:softHyphen/>
        <w:t>kvensutrymme för att tilldela ytterligare tillstånd i GSM 900- och 1800-banden. Hög</w:t>
      </w:r>
      <w:r w:rsidRPr="008A7629">
        <w:t>st två av de fyra tillstånden för UMTS skall även ge möjlighet till GSM-verksamhet.</w:t>
      </w:r>
    </w:p>
    <w:p w:rsidR="00973C09" w:rsidRPr="008A7629" w:rsidRDefault="00973C09">
      <w:r w:rsidRPr="008A7629">
        <w:t>Nätets geografiska täckning är en viktig konkurrensfaktor för nya mobilop</w:t>
      </w:r>
      <w:r w:rsidRPr="008A7629">
        <w:t>e</w:t>
      </w:r>
      <w:r w:rsidRPr="008A7629">
        <w:t>ratörer. Att etablera ett mobilt telenät är emellertid kostsamt och tidskräva</w:t>
      </w:r>
      <w:r w:rsidRPr="008A7629">
        <w:t>n</w:t>
      </w:r>
      <w:r w:rsidRPr="008A7629">
        <w:t>de. Fysikaliska orsaker (radiobärvågens utbredningsförmåga) gör också att en utbyggnad för att uppnå god geografisk täckning blir flera gånger dyrare för de operatörer som skall bygga UMTS-nät där frekvenserna är i 2000 MHz-bandet, i jämförelse med de operatörer som tidigare byggt de etabler</w:t>
      </w:r>
      <w:r w:rsidRPr="008A7629">
        <w:t>a</w:t>
      </w:r>
      <w:r w:rsidRPr="008A7629">
        <w:t xml:space="preserve">de GSM-näten i 900- och 1800 MHz-bandet. Betydande investeringar görs också för att öka överföringshastigheterna i de etablerade GSM-näten. </w:t>
      </w:r>
      <w:r w:rsidRPr="008A7629">
        <w:t>Öve</w:t>
      </w:r>
      <w:r w:rsidRPr="008A7629">
        <w:t>r</w:t>
      </w:r>
      <w:r w:rsidRPr="008A7629">
        <w:t>gången till den tredje generationens mobiltelefoni kommer sannolikt att ske gradvis. De befintliga GSM-operatörer som erhåller UMTS-licenser kommer att ha en betydande konkurrensfördel i förhållandet till nytillkommande UMTS-operatörer genom sin starka ställning på marknaden och sina redan utbyggda GSM-nät.</w:t>
      </w:r>
    </w:p>
    <w:p w:rsidR="00973C09" w:rsidRPr="008A7629" w:rsidRDefault="00973C09"/>
    <w:p w:rsidR="00973C09" w:rsidRPr="008A7629" w:rsidRDefault="00973C09">
      <w:pPr>
        <w:pStyle w:val="R4"/>
        <w:spacing w:before="123"/>
      </w:pPr>
      <w:r w:rsidRPr="008A7629">
        <w:t>Roaming – en metod att dela nätkapacitet</w:t>
      </w:r>
    </w:p>
    <w:p w:rsidR="00973C09" w:rsidRPr="008A7629" w:rsidRDefault="00973C09">
      <w:r w:rsidRPr="008A7629">
        <w:t>Roaming innebär att två operatörer avtalar om att respektive operatörs abo</w:t>
      </w:r>
      <w:r w:rsidRPr="008A7629">
        <w:t>n</w:t>
      </w:r>
      <w:r w:rsidRPr="008A7629">
        <w:t xml:space="preserve">nenter skall få möjlighet att nyttja den andre operatörens nät då det egna nätet inte är tillgängligt. </w:t>
      </w:r>
      <w:r w:rsidRPr="008A7629">
        <w:rPr>
          <w:i/>
        </w:rPr>
        <w:t>In</w:t>
      </w:r>
      <w:r w:rsidRPr="008A7629">
        <w:rPr>
          <w:i/>
        </w:rPr>
        <w:softHyphen/>
        <w:t>ter</w:t>
      </w:r>
      <w:r w:rsidRPr="008A7629">
        <w:rPr>
          <w:i/>
        </w:rPr>
        <w:softHyphen/>
        <w:t>nationell roaming</w:t>
      </w:r>
      <w:r w:rsidRPr="008A7629">
        <w:t xml:space="preserve"> – dvs. avtal mellan operat</w:t>
      </w:r>
      <w:r w:rsidRPr="008A7629">
        <w:t>ö</w:t>
      </w:r>
      <w:r w:rsidRPr="008A7629">
        <w:t>rer i olika länder – möjliggör mobil</w:t>
      </w:r>
      <w:r w:rsidRPr="008A7629">
        <w:softHyphen/>
        <w:t>samtal över nationsgränser. Internationell roaming har föreko</w:t>
      </w:r>
      <w:r w:rsidRPr="008A7629">
        <w:t>m</w:t>
      </w:r>
      <w:r w:rsidRPr="008A7629">
        <w:t xml:space="preserve">mit länge och anses vara en bidragande orsak till GSM-standardens framgång. Genom </w:t>
      </w:r>
      <w:r w:rsidRPr="008A7629">
        <w:rPr>
          <w:i/>
        </w:rPr>
        <w:t>nationell roaming</w:t>
      </w:r>
      <w:r w:rsidRPr="008A7629">
        <w:t xml:space="preserve"> kan en ny operatör – oa</w:t>
      </w:r>
      <w:r w:rsidRPr="008A7629">
        <w:t>v</w:t>
      </w:r>
      <w:r w:rsidRPr="008A7629">
        <w:t>sett om det är på GSM- eller UMTS-marknaden – snabbt etablera sig på marknaden och övervinna den konkurrensnackdel det innebär att in</w:t>
      </w:r>
      <w:r w:rsidRPr="008A7629">
        <w:t>te om</w:t>
      </w:r>
      <w:r w:rsidRPr="008A7629">
        <w:t>e</w:t>
      </w:r>
      <w:r w:rsidRPr="008A7629">
        <w:t>delbart ha ett fullt utbyggt nät.</w:t>
      </w:r>
    </w:p>
    <w:p w:rsidR="00973C09" w:rsidRPr="008A7629" w:rsidRDefault="00973C09">
      <w:pPr>
        <w:pStyle w:val="R3"/>
      </w:pPr>
      <w:r w:rsidRPr="008A7629">
        <w:t>Förslagets närmare innebörd</w:t>
      </w:r>
    </w:p>
    <w:p w:rsidR="00973C09" w:rsidRPr="008A7629" w:rsidRDefault="00973C09">
      <w:r w:rsidRPr="008A7629">
        <w:t>Regeringens förslag till nationell roaming riktar sig till nätoperatörer vars nät är under uppbyggnad. Förslaget innehåller ett antal begränsningar. Syftet med förslaget är att utjämna den konkurrensnackdel nya nätoperatörer har gentemot de etablerade nät</w:t>
      </w:r>
      <w:r w:rsidRPr="008A7629">
        <w:softHyphen/>
        <w:t>operatörerna. Syftet är inte att försvåra eller för</w:t>
      </w:r>
      <w:r w:rsidRPr="008A7629">
        <w:softHyphen/>
        <w:t>dröja en fortsatt utbyggnad av mobil</w:t>
      </w:r>
      <w:r w:rsidRPr="008A7629">
        <w:softHyphen/>
        <w:t xml:space="preserve">telenäten.  Huvuddragen i regeringens förslag kan beskrivas i följande punkter. </w:t>
      </w:r>
    </w:p>
    <w:p w:rsidR="00973C09" w:rsidRPr="008A7629" w:rsidRDefault="00973C09">
      <w:r w:rsidRPr="008A7629">
        <w:t>1.  Rätten till roaming gäller bara i områden där den nya nätoperatören sa</w:t>
      </w:r>
      <w:r w:rsidRPr="008A7629">
        <w:t>k</w:t>
      </w:r>
      <w:r w:rsidRPr="008A7629">
        <w:t>nar egen täckning. En operatör skulle annars kunna använda möjligheten till roaming enbart för att förbättra kapaciteten i det egna nätet.</w:t>
      </w:r>
    </w:p>
    <w:p w:rsidR="00973C09" w:rsidRPr="008A7629" w:rsidRDefault="00973C09">
      <w:r w:rsidRPr="008A7629">
        <w:t>2. Rätten till roaming är tidsbegränsad till sju år. Tids</w:t>
      </w:r>
      <w:r w:rsidRPr="008A7629">
        <w:softHyphen/>
        <w:t>gränsen skall ses i samband med Post- och telestyrelsens tillståndsvillkor som innehåller vissa krav på geografisk täckning. Ett krav på geografisk täckning innebär i sig ett eta</w:t>
      </w:r>
      <w:r w:rsidRPr="008A7629">
        <w:softHyphen/>
        <w:t>ble</w:t>
      </w:r>
      <w:r w:rsidRPr="008A7629">
        <w:softHyphen/>
        <w:t>ringshinder. Etableringshindret motverkas av rätten till nationell ro</w:t>
      </w:r>
      <w:r w:rsidRPr="008A7629">
        <w:t>a</w:t>
      </w:r>
      <w:r w:rsidRPr="008A7629">
        <w:t xml:space="preserve">ming. </w:t>
      </w:r>
    </w:p>
    <w:p w:rsidR="00973C09" w:rsidRPr="008A7629" w:rsidRDefault="00973C09">
      <w:pPr>
        <w:pStyle w:val="Normaltindrag"/>
      </w:pPr>
      <w:r w:rsidRPr="008A7629">
        <w:t>En tidsmässigt obegränsad rätt till roaming har nackdelen att den inte i</w:t>
      </w:r>
      <w:r w:rsidRPr="008A7629">
        <w:t>n</w:t>
      </w:r>
      <w:r w:rsidRPr="008A7629">
        <w:t>nebär något incitament till utbyggnad av de mobila näten, medan däremot en snävt tilltagen tidsgräns för rätten till nationell roaming innebär höga krav på snabb nätutbyggnad. Tids</w:t>
      </w:r>
      <w:r w:rsidRPr="008A7629">
        <w:softHyphen/>
        <w:t>gränsen på sju år har av regeringen valts för att uppnå en lämplig avvägning mellan intresset av att inte åstadkom</w:t>
      </w:r>
      <w:r w:rsidRPr="008A7629">
        <w:softHyphen/>
        <w:t>ma alltför höga etableringshinder och intresset av att skapa incitament till en snabb nät</w:t>
      </w:r>
      <w:r w:rsidRPr="008A7629">
        <w:softHyphen/>
        <w:t>utbyggnad.</w:t>
      </w:r>
    </w:p>
    <w:p w:rsidR="00973C09" w:rsidRPr="008A7629" w:rsidRDefault="00973C09">
      <w:r w:rsidRPr="008A7629">
        <w:t>3.  Den besökta operatören är endast skyldig att erbjuda etablerade tjänster. Rätten till roaming gäller bara tjän</w:t>
      </w:r>
      <w:r w:rsidRPr="008A7629">
        <w:t>ster som bägge operatörerna tillhandahå</w:t>
      </w:r>
      <w:r w:rsidRPr="008A7629">
        <w:t>l</w:t>
      </w:r>
      <w:r w:rsidRPr="008A7629">
        <w:t>ler. En tjänst som en operatör erbjuder i sitt hemmanät skall normalt kunna användas också vid besök av ett annat nät, dock endast i den mån motsv</w:t>
      </w:r>
      <w:r w:rsidRPr="008A7629">
        <w:t>a</w:t>
      </w:r>
      <w:r w:rsidRPr="008A7629">
        <w:t>rande tjänst också erbjuds i det besökta nätet enligt ett tillstånd som innehafts i mer än fem år. Avsikten är att en operatör under utbyggnad av ett nytt m</w:t>
      </w:r>
      <w:r w:rsidRPr="008A7629">
        <w:t>o</w:t>
      </w:r>
      <w:r w:rsidRPr="008A7629">
        <w:t>bilsystem skall vara fredad från skyldigheten till roaming under utbyggnad</w:t>
      </w:r>
      <w:r w:rsidRPr="008A7629">
        <w:t>s</w:t>
      </w:r>
      <w:r w:rsidRPr="008A7629">
        <w:t>tiden. Det inn</w:t>
      </w:r>
      <w:r w:rsidRPr="008A7629">
        <w:t>e</w:t>
      </w:r>
      <w:r w:rsidRPr="008A7629">
        <w:t>bär att tjänster som till</w:t>
      </w:r>
      <w:r w:rsidRPr="008A7629">
        <w:softHyphen/>
        <w:t>han</w:t>
      </w:r>
      <w:r w:rsidRPr="008A7629">
        <w:softHyphen/>
        <w:t>dahålls enligt kommande UMTS-tillstånd under fem</w:t>
      </w:r>
      <w:r w:rsidRPr="008A7629">
        <w:t xml:space="preserve"> år inte omfattas av roaming. </w:t>
      </w:r>
    </w:p>
    <w:p w:rsidR="00973C09" w:rsidRPr="008A7629" w:rsidRDefault="00973C09">
      <w:r w:rsidRPr="008A7629">
        <w:t>4.  Förslaget om nationell roaming innebär inte upplåtelse av en viss kvant</w:t>
      </w:r>
      <w:r w:rsidRPr="008A7629">
        <w:t>i</w:t>
      </w:r>
      <w:r w:rsidRPr="008A7629">
        <w:t>tet nätkapacitet utan att en operatör, liksom vid samtrafik, ställer sitt nät till förfogande för förmedling av telemeddelanden. I den mån till</w:t>
      </w:r>
      <w:r w:rsidRPr="008A7629">
        <w:softHyphen/>
        <w:t>gänglig kap</w:t>
      </w:r>
      <w:r w:rsidRPr="008A7629">
        <w:t>a</w:t>
      </w:r>
      <w:r w:rsidRPr="008A7629">
        <w:t>citet i nätet inte antas vara tillräcklig för att möta den ökade trafikmängd som kan bli följden blir detta föremål för förhandlingar mellan parterna.</w:t>
      </w:r>
    </w:p>
    <w:p w:rsidR="00973C09" w:rsidRPr="008A7629" w:rsidRDefault="00973C09">
      <w:r w:rsidRPr="008A7629">
        <w:t>5.  Priser och andra villkor för nationell roaming skall bestäm</w:t>
      </w:r>
      <w:r w:rsidRPr="008A7629">
        <w:softHyphen/>
        <w:t>mas på mar</w:t>
      </w:r>
      <w:r w:rsidRPr="008A7629">
        <w:t>k</w:t>
      </w:r>
      <w:r w:rsidRPr="008A7629">
        <w:t>nadsmässig grund. Överenskommelser om roaming bör så långt möjligt  ingås utan ingripande av tillsynsmyndigheten. Skyldigheten till roaming skall inte utgöra en ekonomisk börda för de etablerade nät</w:t>
      </w:r>
      <w:r w:rsidRPr="008A7629">
        <w:softHyphen/>
        <w:t>ope</w:t>
      </w:r>
      <w:r w:rsidRPr="008A7629">
        <w:softHyphen/>
        <w:t>ratörerna. Om den besökta operatören kan visa att kraven på roaming innebär att investering</w:t>
      </w:r>
      <w:r w:rsidRPr="008A7629">
        <w:t>s</w:t>
      </w:r>
      <w:r w:rsidRPr="008A7629">
        <w:t>kostnaderna ökar bör dessa kostnader återspeglas i de villkor parterna ko</w:t>
      </w:r>
      <w:r w:rsidRPr="008A7629">
        <w:t>m</w:t>
      </w:r>
      <w:r w:rsidRPr="008A7629">
        <w:t xml:space="preserve">mer överens om. </w:t>
      </w:r>
    </w:p>
    <w:p w:rsidR="00973C09" w:rsidRPr="008A7629" w:rsidRDefault="00973C09">
      <w:r w:rsidRPr="008A7629">
        <w:t>6.  Villkoren skall vara konkurrensneutrala. En begäran om nationell ro</w:t>
      </w:r>
      <w:r w:rsidRPr="008A7629">
        <w:t>a</w:t>
      </w:r>
      <w:r w:rsidRPr="008A7629">
        <w:t>ming skall tillgodoses på villkor som är icke-dis</w:t>
      </w:r>
      <w:r w:rsidRPr="008A7629">
        <w:softHyphen/>
        <w:t>kri</w:t>
      </w:r>
      <w:r w:rsidRPr="008A7629">
        <w:softHyphen/>
        <w:t>mi</w:t>
      </w:r>
      <w:r w:rsidRPr="008A7629">
        <w:softHyphen/>
        <w:t>ne</w:t>
      </w:r>
      <w:r w:rsidRPr="008A7629">
        <w:softHyphen/>
        <w:t>ran</w:t>
      </w:r>
      <w:r w:rsidRPr="008A7629">
        <w:softHyphen/>
        <w:t>de i förhållande till vad nätinnehavaren tillämpar för sin egen verksamhet och konkurren</w:t>
      </w:r>
      <w:r w:rsidRPr="008A7629">
        <w:t>s</w:t>
      </w:r>
      <w:r w:rsidRPr="008A7629">
        <w:t xml:space="preserve">neutrala mellan olika operatörer som utnyttjar sin rätt till roaming i samma operatörs nät. </w:t>
      </w:r>
    </w:p>
    <w:p w:rsidR="00973C09" w:rsidRPr="008A7629" w:rsidRDefault="00973C09">
      <w:pPr>
        <w:pStyle w:val="Brdtext"/>
      </w:pPr>
      <w:r w:rsidRPr="008A7629">
        <w:t>7.  Post- och telestyrelsen skall inte ha rätt till tvistlösning mellan parterna. Vid oenighet mellan parterna i frågor om nationell roaming skall tvisten lösas i allmän domstol. Regeringen kan emellertid återkomma till denna fråga efter ytterligare överväga</w:t>
      </w:r>
      <w:r w:rsidRPr="008A7629">
        <w:t>n</w:t>
      </w:r>
      <w:r w:rsidRPr="008A7629">
        <w:t>den.</w:t>
      </w:r>
    </w:p>
    <w:p w:rsidR="00973C09" w:rsidRPr="008A7629" w:rsidRDefault="00973C09">
      <w:r w:rsidRPr="008A7629">
        <w:t>8. Undantag från skyldigheten till roaming bör kunna medges av tillsyns</w:t>
      </w:r>
      <w:r w:rsidRPr="008A7629">
        <w:softHyphen/>
        <w:t>myn</w:t>
      </w:r>
      <w:r w:rsidRPr="008A7629">
        <w:softHyphen/>
        <w:t>digheten om det finns sär</w:t>
      </w:r>
      <w:r w:rsidRPr="008A7629">
        <w:softHyphen/>
        <w:t xml:space="preserve">skilda skäl. </w:t>
      </w:r>
    </w:p>
    <w:p w:rsidR="00973C09" w:rsidRPr="008A7629" w:rsidRDefault="00973C09">
      <w:pPr>
        <w:pStyle w:val="R3"/>
      </w:pPr>
      <w:r w:rsidRPr="008A7629">
        <w:t>Trafikutskottets ställningstagande</w:t>
      </w:r>
    </w:p>
    <w:p w:rsidR="00973C09" w:rsidRPr="008A7629" w:rsidRDefault="00973C09">
      <w:r w:rsidRPr="008A7629">
        <w:t>Utskottet anser, i likhet med regeringen, att det är angeläget med en ökad konkurrens på mobiltelemarknaden. Nationell roaming är en viktig åtgärd för att underlätta etablering av nya nätoperatörer. Utskottet tillstyrker således regeringens förslag till ändringar av telelagen enligt proposition 1999/2000:100 (yrka</w:t>
      </w:r>
      <w:r w:rsidRPr="008A7629">
        <w:t>n</w:t>
      </w:r>
      <w:r w:rsidRPr="008A7629">
        <w:t xml:space="preserve">de 11). </w:t>
      </w:r>
    </w:p>
    <w:p w:rsidR="00973C09" w:rsidRPr="008A7629" w:rsidRDefault="00973C09">
      <w:pPr>
        <w:pStyle w:val="R2"/>
      </w:pPr>
      <w:r w:rsidRPr="008A7629">
        <w:t>2.2 Risker för överreglering</w:t>
      </w:r>
    </w:p>
    <w:p w:rsidR="00973C09" w:rsidRPr="008A7629" w:rsidRDefault="00973C09">
      <w:pPr>
        <w:pStyle w:val="R3"/>
        <w:spacing w:before="123"/>
      </w:pPr>
      <w:r w:rsidRPr="008A7629">
        <w:t>Motionsförslag</w:t>
      </w:r>
    </w:p>
    <w:p w:rsidR="00973C09" w:rsidRPr="008A7629" w:rsidRDefault="00973C09">
      <w:r w:rsidRPr="008A7629">
        <w:t>Johnny Gylling m.fl. (kd) framför i motion Fi31 kritik mot regeringens ha</w:t>
      </w:r>
      <w:r w:rsidRPr="008A7629">
        <w:t>n</w:t>
      </w:r>
      <w:r w:rsidRPr="008A7629">
        <w:t>tering av UMTS-licenserna. För att påskynda UMTS-introduktionen är m</w:t>
      </w:r>
      <w:r w:rsidRPr="008A7629">
        <w:t>o</w:t>
      </w:r>
      <w:r w:rsidRPr="008A7629">
        <w:t>tionärerna beredda att tillstyrka regeringens förslag om att införa nationell roaming. Samtidigt menar man att det nu finns risk för att Sverige börjar reglera för mycket  på teleområdet. Avregleringen av telemarknaden och bolagiseringen av Telia 1993 anses ha bidragit till att Sverige i dag är en av världens främsta nationer på IT-området. De senaste regleringarna på omr</w:t>
      </w:r>
      <w:r w:rsidRPr="008A7629">
        <w:t>å</w:t>
      </w:r>
      <w:r w:rsidRPr="008A7629">
        <w:t>det – den nyligen beslutade lagändringen om tvingande nätupplåtelse</w:t>
      </w:r>
      <w:r w:rsidRPr="008A7629">
        <w:t xml:space="preserve"> och de nya bestämmelserna om nationell roaming – medför enligt motionärerna en risk för ökade transaktionskostnader för företagen och sämre investering</w:t>
      </w:r>
      <w:r w:rsidRPr="008A7629">
        <w:t>s</w:t>
      </w:r>
      <w:r w:rsidRPr="008A7629">
        <w:t>vilja. Motionärerna vill göra regeringen uppmärksam på att telemarknaden inte får överregleras så att Sverige tappar sin tätposition inom IT.</w:t>
      </w:r>
    </w:p>
    <w:p w:rsidR="00973C09" w:rsidRPr="008A7629" w:rsidRDefault="00973C09">
      <w:pPr>
        <w:pStyle w:val="R3"/>
      </w:pPr>
      <w:r w:rsidRPr="008A7629">
        <w:t>Trafikutskottets ställningstagande</w:t>
      </w:r>
    </w:p>
    <w:p w:rsidR="00973C09" w:rsidRPr="008A7629" w:rsidRDefault="00973C09">
      <w:r w:rsidRPr="008A7629">
        <w:t>Utskottet anser självfallet att det är angeläget att bevara och utveckla Sver</w:t>
      </w:r>
      <w:r w:rsidRPr="008A7629">
        <w:t>i</w:t>
      </w:r>
      <w:r w:rsidRPr="008A7629">
        <w:t>ges position som IT-land.  Utskottets uppfattning är att regeringens politik på teleområdet avser att understödja denna position. De åtgärder som motion</w:t>
      </w:r>
      <w:r w:rsidRPr="008A7629">
        <w:t>ä</w:t>
      </w:r>
      <w:r w:rsidRPr="008A7629">
        <w:t>rerna nämner har syftet att främja konkurrensen och dynamiken på  mobilt</w:t>
      </w:r>
      <w:r w:rsidRPr="008A7629">
        <w:t>e</w:t>
      </w:r>
      <w:r w:rsidRPr="008A7629">
        <w:t>lemarknaden. Utskottet anser därför inte att motionen bör föranleda någon åtgärd från riksdagens sida.</w:t>
      </w:r>
    </w:p>
    <w:p w:rsidR="00973C09" w:rsidRPr="008A7629" w:rsidRDefault="00973C09">
      <w:pPr>
        <w:pStyle w:val="R2"/>
      </w:pPr>
      <w:r w:rsidRPr="008A7629">
        <w:t>2.3 Fördelning av UMTS-tillstånd</w:t>
      </w:r>
    </w:p>
    <w:p w:rsidR="00973C09" w:rsidRPr="008A7629" w:rsidRDefault="00973C09">
      <w:pPr>
        <w:pStyle w:val="R3"/>
        <w:spacing w:before="123"/>
      </w:pPr>
      <w:r w:rsidRPr="008A7629">
        <w:t>Motionsförslag</w:t>
      </w:r>
    </w:p>
    <w:p w:rsidR="00973C09" w:rsidRPr="008A7629" w:rsidRDefault="00973C09">
      <w:r w:rsidRPr="008A7629">
        <w:t>Lars Leijonborg m.fl. (fp) har i motion Fi15 (yrkande 20) tagit  upp frågan om metoden för fördelning av UMTS-tillstånd. Motionärerna hänvisar till det system med auktioner av tillgängliga frekvenser för privat lokalradio som infördes under den borgerliga regeringens tid. Enligt motionärerna var detta system en stor framgång. Utauktionering borde, enligt motionärernas up</w:t>
      </w:r>
      <w:r w:rsidRPr="008A7629">
        <w:t>p</w:t>
      </w:r>
      <w:r w:rsidRPr="008A7629">
        <w:t>fattning, användas även för Post- och telestyrelsens fördelning av UMTS-tillstånden. Licenserna bör gå till de företag som er</w:t>
      </w:r>
      <w:r w:rsidRPr="008A7629">
        <w:softHyphen/>
        <w:t>bju</w:t>
      </w:r>
      <w:r w:rsidRPr="008A7629">
        <w:softHyphen/>
        <w:t>der sig att betala högst årlig avgift. Därmed skulle 2–2,5 miljarder kronor årligen kunna tillföras till statska</w:t>
      </w:r>
      <w:r w:rsidRPr="008A7629">
        <w:t>s</w:t>
      </w:r>
      <w:r w:rsidRPr="008A7629">
        <w:t xml:space="preserve">san. </w:t>
      </w:r>
    </w:p>
    <w:p w:rsidR="00973C09" w:rsidRPr="008A7629" w:rsidRDefault="00973C09">
      <w:pPr>
        <w:pStyle w:val="R3"/>
      </w:pPr>
      <w:r w:rsidRPr="008A7629">
        <w:t>Trafikutskottets ställningstagande</w:t>
      </w:r>
    </w:p>
    <w:p w:rsidR="00973C09" w:rsidRPr="008A7629" w:rsidRDefault="00973C09">
      <w:r w:rsidRPr="008A7629">
        <w:t>Frågan om utauktionering av UMTS-tillstånden har behandlats av utskottet tidigare i vår. Utskottet ansåg då inte att det fanns skäl till något initiativ från riksdagens sida (bet. 1999/2000:TU8). Det statsfinansiella intresset måste enligt utskottets mening vägas mot konsumentintresset och mot önskemålet om en dynamisk utveckling på mobiltelemarknaden. Utskottet håller fast vid sin tidigare uppfattning och anser att riksdagen bör avslå m</w:t>
      </w:r>
      <w:r w:rsidRPr="008A7629">
        <w:t>o</w:t>
      </w:r>
      <w:r w:rsidRPr="008A7629">
        <w:t>tions</w:t>
      </w:r>
      <w:r w:rsidRPr="008A7629">
        <w:softHyphen/>
        <w:t xml:space="preserve">yrkandet. </w:t>
      </w:r>
    </w:p>
    <w:p w:rsidR="00973C09" w:rsidRPr="008A7629" w:rsidRDefault="00973C09">
      <w:pPr>
        <w:pStyle w:val="Normaltindrag"/>
      </w:pPr>
    </w:p>
    <w:p w:rsidR="00973C09" w:rsidRPr="008A7629" w:rsidRDefault="00973C09">
      <w:r w:rsidRPr="008A7629">
        <w:t>Stockholm den 11 maj 2000</w:t>
      </w:r>
    </w:p>
    <w:p w:rsidR="00973C09" w:rsidRPr="008A7629" w:rsidRDefault="00973C09">
      <w:pPr>
        <w:pStyle w:val="Vgnar"/>
      </w:pPr>
      <w:r w:rsidRPr="008A7629">
        <w:t>På trafikutskottets vägnar</w:t>
      </w:r>
    </w:p>
    <w:p w:rsidR="00973C09" w:rsidRPr="008A7629" w:rsidRDefault="00973C09">
      <w:pPr>
        <w:pStyle w:val="Ordfnamn"/>
      </w:pPr>
      <w:bookmarkStart w:id="21" w:name="Ordförande"/>
      <w:bookmarkEnd w:id="21"/>
      <w:r w:rsidRPr="008A7629">
        <w:t xml:space="preserve">Monica Öhman </w:t>
      </w:r>
    </w:p>
    <w:p w:rsidR="00973C09" w:rsidRPr="008A7629" w:rsidRDefault="00973C09">
      <w:pPr>
        <w:pStyle w:val="Deltagare"/>
      </w:pPr>
      <w:bookmarkStart w:id="22" w:name="Deltagare"/>
      <w:bookmarkEnd w:id="22"/>
      <w:r w:rsidRPr="008A7629">
        <w:t>I beslutet har deltagit: Monica Öhman (s), Sven Bergström (c), Per-Richard Molén (m), Jarl Lander (s), Hans Stenberg (s), Johnny Gylling (kd), Tom Heyman (m), Krister Örnfjäder (s), Lars Björkman (m), Monica Green (s), Inger Segelström (s), Stig Eriksson (v), Birgitta Wistrand (m), Mikael J</w:t>
      </w:r>
      <w:r w:rsidRPr="008A7629">
        <w:t>o</w:t>
      </w:r>
      <w:r w:rsidRPr="008A7629">
        <w:t>hansson (mp), Sture Arnesson (v) och Eva Flyborg (fp).</w:t>
      </w:r>
    </w:p>
    <w:p w:rsidR="00973C09" w:rsidRPr="008A7629" w:rsidRDefault="00973C09">
      <w:pPr>
        <w:pStyle w:val="R1"/>
      </w:pPr>
      <w:r w:rsidRPr="008A7629">
        <w:t>Avvikande meningar</w:t>
      </w:r>
    </w:p>
    <w:p w:rsidR="00973C09" w:rsidRPr="008A7629" w:rsidRDefault="00973C09">
      <w:pPr>
        <w:pStyle w:val="R2"/>
        <w:spacing w:before="123"/>
      </w:pPr>
      <w:r w:rsidRPr="008A7629">
        <w:t>1. Ändrad ram och ändrade anslag (avsnitt 1)</w:t>
      </w:r>
    </w:p>
    <w:p w:rsidR="00973C09" w:rsidRPr="008A7629" w:rsidRDefault="00973C09">
      <w:r w:rsidRPr="008A7629">
        <w:t>Per-Richard Molén, Tom Heyman, Lars Björkman och Birgitta Wistrand (alla m) anför:</w:t>
      </w:r>
    </w:p>
    <w:p w:rsidR="00973C09" w:rsidRPr="008A7629" w:rsidRDefault="00973C09">
      <w:r w:rsidRPr="008A7629">
        <w:t>Vi anser att riksdagen bör bifalla motion Fi29 (m) yrkande 2. Det betyder att regeringen bör återkomma till riksdagen med mer information om hur ansl</w:t>
      </w:r>
      <w:r w:rsidRPr="008A7629">
        <w:t>a</w:t>
      </w:r>
      <w:r w:rsidRPr="008A7629">
        <w:t xml:space="preserve">get D2 Rikstrafiken: Administration skall användas. Vi har ingen erinran mot regeringens förslag för innevarande budgetår beträffande ändringar av ramen för utgiftsområde 22 Kommunikationer och anslagen. </w:t>
      </w:r>
    </w:p>
    <w:p w:rsidR="00973C09" w:rsidRPr="008A7629" w:rsidRDefault="00973C09">
      <w:pPr>
        <w:pStyle w:val="R2"/>
      </w:pPr>
      <w:r w:rsidRPr="008A7629">
        <w:t>2. Anslaget Post- och telestyrelsen: Förvaltningskostnader för vissa myndighetsuppgifter (avsnitt 1)</w:t>
      </w:r>
    </w:p>
    <w:p w:rsidR="00973C09" w:rsidRPr="008A7629" w:rsidRDefault="00973C09">
      <w:r w:rsidRPr="008A7629">
        <w:t>Per-Richard Molén, Tom Heyman, Lars Björkman och Birgitta Wistrand (alla m) anför:</w:t>
      </w:r>
    </w:p>
    <w:p w:rsidR="00973C09" w:rsidRPr="008A7629" w:rsidRDefault="00973C09">
      <w:r w:rsidRPr="008A7629">
        <w:t>Vi anser att riksdagen bör avslå regeringens förslag att anslaget skall kunna användas till vissa projekt och utbyggnad av IT-infrastrukturen enligt IT-propositionen eftersom marknaden kan stå för dessa kostnader. Riksdagen bör således bifalla motion Fi29 (m) yrkande 1.</w:t>
      </w:r>
    </w:p>
    <w:p w:rsidR="00973C09" w:rsidRPr="008A7629" w:rsidRDefault="00973C09">
      <w:pPr>
        <w:pStyle w:val="R2"/>
      </w:pPr>
      <w:r w:rsidRPr="008A7629">
        <w:t>3. Risker för överreglering (avsnitt 2)</w:t>
      </w:r>
    </w:p>
    <w:p w:rsidR="00973C09" w:rsidRPr="008A7629" w:rsidRDefault="00973C09">
      <w:r w:rsidRPr="008A7629">
        <w:t xml:space="preserve">Johnny Gylling (kd) anför: </w:t>
      </w:r>
    </w:p>
    <w:p w:rsidR="00973C09" w:rsidRPr="008A7629" w:rsidRDefault="00973C09">
      <w:r w:rsidRPr="008A7629">
        <w:t>Kristdemokraterna anser det vara mycket viktigt att den tredje generationens mobiltelefoni (UMTS) kommer i gång i Sverige. Genom regeringens sak</w:t>
      </w:r>
      <w:r w:rsidRPr="008A7629">
        <w:t>t</w:t>
      </w:r>
      <w:r w:rsidRPr="008A7629">
        <w:t xml:space="preserve">färdiga hantering av denna fråga riskerar svenska företag att förlora en del av det försprång som de tidigare haft på mobilteleområdet. För att påskynda UMTS-introduktionen är vi beredda att tillstyrka regeringens förslag om nationell roaming. </w:t>
      </w:r>
    </w:p>
    <w:p w:rsidR="00973C09" w:rsidRPr="008A7629" w:rsidRDefault="00973C09">
      <w:pPr>
        <w:pStyle w:val="Normaltindrag"/>
      </w:pPr>
      <w:r w:rsidRPr="008A7629">
        <w:t>Avregleringen av telemarknaden och bolagiseringen av Telia 1993 har e</w:t>
      </w:r>
      <w:r w:rsidRPr="008A7629">
        <w:t>n</w:t>
      </w:r>
      <w:r w:rsidRPr="008A7629">
        <w:t>ligt många bedömare bidragit till att Sverige i dag är en av världens främsta nationer på IT-området. Nu finns emellertid en risk för att Sverige börjar reglera för mycket  på teleområdet. Den nyligen beslutade lagändringen om tvingande nätupplåtelse och de nya bestämmelserna om nationell roaming  kan leda till ökade transaktionskostnader för företagen och sämre invest</w:t>
      </w:r>
      <w:r w:rsidRPr="008A7629">
        <w:t>e</w:t>
      </w:r>
      <w:r w:rsidRPr="008A7629">
        <w:t>ringsvilja. På sikt kan detta även medföra högre konsumentpriser. Vi vill göra regeringen uppmärksam på att telemarknaden inte får överregl</w:t>
      </w:r>
      <w:r w:rsidRPr="008A7629">
        <w:t>eras så att Sverige tappar sin tätposition inom IT.</w:t>
      </w:r>
    </w:p>
    <w:p w:rsidR="00973C09" w:rsidRPr="008A7629" w:rsidRDefault="00973C09">
      <w:pPr>
        <w:pStyle w:val="Normaltindrag"/>
      </w:pPr>
      <w:r w:rsidRPr="008A7629">
        <w:t>Vi anser sålunda att riksdagen bör bifalla motion Fi31 (kd).</w:t>
      </w:r>
    </w:p>
    <w:p w:rsidR="00973C09" w:rsidRPr="008A7629" w:rsidRDefault="00973C09">
      <w:pPr>
        <w:pStyle w:val="R2"/>
      </w:pPr>
      <w:r w:rsidRPr="008A7629">
        <w:br w:type="page"/>
        <w:t>4. Fördelning av UMTS-tillstånd (avsnitt 2)</w:t>
      </w:r>
    </w:p>
    <w:p w:rsidR="00973C09" w:rsidRPr="008A7629" w:rsidRDefault="00973C09">
      <w:r w:rsidRPr="008A7629">
        <w:t xml:space="preserve">Eva Flyborg (fp) anför: </w:t>
      </w:r>
    </w:p>
    <w:p w:rsidR="00973C09" w:rsidRPr="008A7629" w:rsidRDefault="00973C09">
      <w:r w:rsidRPr="008A7629">
        <w:t>Under den borgerliga regeringens tid infördes ett system med auktioner av tillgängliga frekvenser för privat lokalradio. Systemet blev en stor succé och tillför årligen statsverket mer än hundra miljoner kronor. Den privata mar</w:t>
      </w:r>
      <w:r w:rsidRPr="008A7629">
        <w:t>k</w:t>
      </w:r>
      <w:r w:rsidRPr="008A7629">
        <w:t xml:space="preserve">sända TV-kanalen betalar ännu mera för sitt sändningstillstånd. </w:t>
      </w:r>
    </w:p>
    <w:p w:rsidR="00973C09" w:rsidRPr="008A7629" w:rsidRDefault="00973C09">
      <w:pPr>
        <w:pStyle w:val="Normaltindrag"/>
      </w:pPr>
      <w:r w:rsidRPr="008A7629">
        <w:t>Poängen med auktioner – eller någon typ av anbudsförfarande vid förde</w:t>
      </w:r>
      <w:r w:rsidRPr="008A7629">
        <w:t>l</w:t>
      </w:r>
      <w:r w:rsidRPr="008A7629">
        <w:t>ningen av nyttigheter som radiofrekvenser – är att ett marknadsekonomiskt element från början byggs in i verksamheten. Den som tror sig kunna driva verksamheten mest effektivt är redo att bjuda mest för tillgången. Genom auktionssystemet kan man upprätthålla goda konkurrensvillkor även i en situation med ett begränsat antal aktörer.</w:t>
      </w:r>
    </w:p>
    <w:p w:rsidR="00973C09" w:rsidRPr="008A7629" w:rsidRDefault="00973C09">
      <w:pPr>
        <w:pStyle w:val="Normaltindrag"/>
      </w:pPr>
      <w:r w:rsidRPr="008A7629">
        <w:t>Post- och telestyrelsen (PTS) avser att fördela fyra UMTS-tillstånd genom en s.k. skönhetstävling där de ansökande operatörerna bedöms efter hur väl de uppfyller de kriterier s</w:t>
      </w:r>
      <w:r w:rsidRPr="008A7629">
        <w:t>om PTS har ställt upp. Vi anser att tillstånden i stället borde fördelas genom auktionering. Ett sådant förfarande används i flera andra länder, bl.a. Storbritannien, Nederländerna, Österrike och Tys</w:t>
      </w:r>
      <w:r w:rsidRPr="008A7629">
        <w:t>k</w:t>
      </w:r>
      <w:r w:rsidRPr="008A7629">
        <w:t>land. För att få vara med och bjuda för ett tillstånd kan staten sätta upp krav som skall uppfyllas av företaget, t.ex. krav på viss täckning och service, nummerportabilitet etc. Licenserna bör gå till  de företag som erbjuder sig att betala högst årlig avgift. Därmed skulle 2–2,5 miljarder kronor årligen kunna</w:t>
      </w:r>
      <w:r w:rsidRPr="008A7629">
        <w:t xml:space="preserve"> tillföras till stat</w:t>
      </w:r>
      <w:r w:rsidRPr="008A7629">
        <w:t>s</w:t>
      </w:r>
      <w:r w:rsidRPr="008A7629">
        <w:t xml:space="preserve">kassan. </w:t>
      </w:r>
    </w:p>
    <w:p w:rsidR="00973C09" w:rsidRPr="008A7629" w:rsidRDefault="00973C09">
      <w:pPr>
        <w:pStyle w:val="Normaltindrag"/>
      </w:pPr>
      <w:r w:rsidRPr="008A7629">
        <w:t>Vi anser sålunda att riksdagen bör bifalla motion Fi15 (fp) yrkande 20.</w:t>
      </w:r>
    </w:p>
    <w:p w:rsidR="00973C09" w:rsidRPr="008A7629" w:rsidRDefault="00973C09">
      <w:pPr>
        <w:pStyle w:val="R1"/>
      </w:pPr>
      <w:r w:rsidRPr="008A7629">
        <w:t>Särskilt yttrande</w:t>
      </w:r>
    </w:p>
    <w:p w:rsidR="00973C09" w:rsidRPr="008A7629" w:rsidRDefault="00973C09">
      <w:pPr>
        <w:pStyle w:val="R2"/>
        <w:spacing w:before="123"/>
      </w:pPr>
      <w:r w:rsidRPr="008A7629">
        <w:t>Fördelning av UMTS-tillstånd (avsnitt 2)</w:t>
      </w:r>
    </w:p>
    <w:p w:rsidR="00973C09" w:rsidRPr="008A7629" w:rsidRDefault="00973C09">
      <w:r w:rsidRPr="008A7629">
        <w:t>Per-Richard Molén, Tom Heyman, Lars Björkman och Birgitta Wistrand (alla m) anför:</w:t>
      </w:r>
    </w:p>
    <w:p w:rsidR="00973C09" w:rsidRPr="008A7629" w:rsidRDefault="00973C09">
      <w:pPr>
        <w:rPr>
          <w:color w:val="000000"/>
        </w:rPr>
      </w:pPr>
      <w:r w:rsidRPr="008A7629">
        <w:rPr>
          <w:color w:val="000000"/>
        </w:rPr>
        <w:t>Post- och telestyrelsen avser att fördela fyra UMTS-tillstånd genom en s.k. skönhetstävling där de ansökande operatörerna bedöms efter hur väl de up</w:t>
      </w:r>
      <w:r w:rsidRPr="008A7629">
        <w:rPr>
          <w:color w:val="000000"/>
        </w:rPr>
        <w:t>p</w:t>
      </w:r>
      <w:r w:rsidRPr="008A7629">
        <w:rPr>
          <w:color w:val="000000"/>
        </w:rPr>
        <w:t>fyller de kriterier som PTS har ställt upp.</w:t>
      </w:r>
    </w:p>
    <w:p w:rsidR="00973C09" w:rsidRPr="008A7629" w:rsidRDefault="00973C09">
      <w:pPr>
        <w:pStyle w:val="Normaltindrag"/>
      </w:pPr>
      <w:r w:rsidRPr="008A7629">
        <w:t>I andra europeiska länder har under senare tid de tillgängliga frekvenserna för UMTS utauktionerats. De högstbjudande har vunnit, samtidigt som stat</w:t>
      </w:r>
      <w:r w:rsidRPr="008A7629">
        <w:t>s</w:t>
      </w:r>
      <w:r w:rsidRPr="008A7629">
        <w:t>kassan tillförts betydande belopp.</w:t>
      </w:r>
    </w:p>
    <w:p w:rsidR="00973C09" w:rsidRPr="008A7629" w:rsidRDefault="00973C09">
      <w:pPr>
        <w:pStyle w:val="Normaltindrag"/>
      </w:pPr>
      <w:r w:rsidRPr="008A7629">
        <w:t>Sverige har haft stora framgångar på mobilteleområdet och ligger i dag i utvecklingens framkant. De stora dröjsmål, som regeringens hantering av licenserna redan har förorsakat, har på sannolika skäl bidragit till att en del av det tekniska och marknadsmässiga försprånget i Sverige gått förlorat.</w:t>
      </w:r>
    </w:p>
    <w:p w:rsidR="00973C09" w:rsidRPr="008A7629" w:rsidRDefault="00973C09">
      <w:pPr>
        <w:pStyle w:val="Normaltindrag"/>
      </w:pPr>
      <w:r w:rsidRPr="008A7629">
        <w:t>Den förändrade form av fördelning av UMTS-tillstånden som en utaukti</w:t>
      </w:r>
      <w:r w:rsidRPr="008A7629">
        <w:t>o</w:t>
      </w:r>
      <w:r w:rsidRPr="008A7629">
        <w:t>nering innebär, skulle ytterligare fördröja utbyggnaden av de svenska mobi</w:t>
      </w:r>
      <w:r w:rsidRPr="008A7629">
        <w:t>l</w:t>
      </w:r>
      <w:r w:rsidRPr="008A7629">
        <w:t>näten med UMTS-teknik. Ett auktionsförfarande kräver nämligen en ändring av telelagen. En sådan ändring ger upphov till lagrådsremiss, proposition, riksdagsbehandling och därefter slutligen utformning av tillämpningsför</w:t>
      </w:r>
      <w:r w:rsidRPr="008A7629">
        <w:t>e</w:t>
      </w:r>
      <w:r w:rsidRPr="008A7629">
        <w:t>skrifter och andra mera praktiska förberedelser från PTS:s sida.</w:t>
      </w:r>
    </w:p>
    <w:p w:rsidR="00973C09" w:rsidRPr="008A7629" w:rsidRDefault="00973C09">
      <w:pPr>
        <w:pStyle w:val="Normaltindrag"/>
      </w:pPr>
      <w:r w:rsidRPr="008A7629">
        <w:t>En auktionering är att föredra men får enligt moderat mening inte leda till någon väsentlig försening av fördelningen av UMTS-licenserna.</w:t>
      </w:r>
    </w:p>
    <w:p w:rsidR="00973C09" w:rsidRPr="008A7629" w:rsidRDefault="00973C09">
      <w:pPr>
        <w:rPr>
          <w:color w:val="000000"/>
        </w:rPr>
      </w:pPr>
    </w:p>
    <w:p w:rsidR="00973C09" w:rsidRPr="008A7629" w:rsidRDefault="00973C09">
      <w:pPr>
        <w:rPr>
          <w:color w:val="000000"/>
        </w:rPr>
      </w:pPr>
    </w:p>
    <w:p w:rsidR="00973C09" w:rsidRPr="008A7629" w:rsidRDefault="00973C09"/>
    <w:p w:rsidR="00973C09" w:rsidRPr="008A7629" w:rsidRDefault="00973C09">
      <w:pPr>
        <w:pStyle w:val="Tryckort"/>
        <w:framePr w:wrap="around"/>
      </w:pPr>
      <w:r w:rsidRPr="008A7629">
        <w:t>Elanders Gotab, Stockholm  2000</w:t>
      </w:r>
    </w:p>
    <w:p w:rsidR="00973C09" w:rsidRPr="008A7629" w:rsidRDefault="00973C09">
      <w:pPr>
        <w:pStyle w:val="Normaltindrag"/>
      </w:pPr>
    </w:p>
    <w:sectPr w:rsidR="00973C09" w:rsidRPr="008A7629">
      <w:headerReference w:type="default" r:id="rId9"/>
      <w:footerReference w:type="default" r:id="rId10"/>
      <w:pgSz w:w="11906" w:h="16838" w:code="9"/>
      <w:pgMar w:top="567" w:right="4876" w:bottom="4508" w:left="1134" w:header="227" w:footer="22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73C09" w:rsidRPr="008A7629" w:rsidRDefault="00973C09">
      <w:pPr>
        <w:spacing w:before="0" w:line="240" w:lineRule="auto"/>
      </w:pPr>
      <w:r w:rsidRPr="008A7629">
        <w:separator/>
      </w:r>
    </w:p>
  </w:endnote>
  <w:endnote w:type="continuationSeparator" w:id="0">
    <w:p w:rsidR="00973C09" w:rsidRPr="008A7629" w:rsidRDefault="00973C09">
      <w:pPr>
        <w:spacing w:before="0" w:line="240" w:lineRule="auto"/>
      </w:pPr>
      <w:r w:rsidRPr="008A7629">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73C09" w:rsidRPr="008A7629" w:rsidRDefault="00973C09">
    <w:pPr>
      <w:pStyle w:val="SidfotH"/>
      <w:framePr w:wrap="around"/>
    </w:pPr>
    <w:r w:rsidRPr="008A7629">
      <w:fldChar w:fldCharType="begin" w:fldLock="1"/>
    </w:r>
    <w:r w:rsidRPr="008A7629">
      <w:instrText xml:space="preserve"> PAGE </w:instrText>
    </w:r>
    <w:r w:rsidRPr="008A7629">
      <w:fldChar w:fldCharType="separate"/>
    </w:r>
    <w:r w:rsidRPr="008A7629">
      <w:t>1</w:t>
    </w:r>
    <w:r w:rsidRPr="008A7629">
      <w:fldChar w:fldCharType="end"/>
    </w:r>
  </w:p>
  <w:p w:rsidR="00973C09" w:rsidRPr="008A7629" w:rsidRDefault="00973C09">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73C09" w:rsidRPr="008A7629" w:rsidRDefault="00973C09">
      <w:pPr>
        <w:pStyle w:val="Sidfot"/>
      </w:pPr>
    </w:p>
  </w:footnote>
  <w:footnote w:type="continuationSeparator" w:id="0">
    <w:p w:rsidR="00973C09" w:rsidRPr="008A7629" w:rsidRDefault="00973C09">
      <w:pPr>
        <w:spacing w:before="0" w:line="240" w:lineRule="auto"/>
      </w:pPr>
      <w:r w:rsidRPr="008A7629">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73C09" w:rsidRPr="008A7629" w:rsidRDefault="00973C09">
    <w:pPr>
      <w:pStyle w:val="SidhuvudKant"/>
      <w:framePr w:w="1758" w:h="2744" w:hRule="exact" w:wrap="around" w:vAnchor="page" w:hAnchor="page" w:x="7372" w:y="568" w:anchorLock="0"/>
    </w:pPr>
  </w:p>
  <w:p w:rsidR="00973C09" w:rsidRPr="008A7629" w:rsidRDefault="00973C09">
    <w:pPr>
      <w:pStyle w:val="Sidhuvud"/>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defaultTabStop w:val="1304"/>
  <w:autoHyphenation/>
  <w:hyphenationZone w:val="40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vUtskottsNamn" w:val="trafikutskottets"/>
    <w:docVar w:name="Skapår" w:val="9900"/>
  </w:docVars>
  <w:rsids>
    <w:rsidRoot w:val="00833934"/>
    <w:rsid w:val="00833934"/>
    <w:rsid w:val="008A7629"/>
    <w:rsid w:val="00973C09"/>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D091C607-C5DA-4047-991C-334479161F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rmaltindrag"/>
    <w:qFormat/>
    <w:pPr>
      <w:spacing w:before="122" w:line="245" w:lineRule="exact"/>
      <w:jc w:val="both"/>
    </w:pPr>
    <w:rPr>
      <w:sz w:val="19"/>
      <w:lang w:val="sv-SE"/>
    </w:rPr>
  </w:style>
  <w:style w:type="paragraph" w:styleId="Rubrik1">
    <w:name w:val="heading 1"/>
    <w:basedOn w:val="Normal"/>
    <w:next w:val="Normal"/>
    <w:qFormat/>
    <w:pPr>
      <w:keepNext/>
      <w:keepLines/>
      <w:suppressAutoHyphens/>
      <w:spacing w:before="313" w:line="300" w:lineRule="exact"/>
      <w:jc w:val="left"/>
      <w:outlineLvl w:val="0"/>
    </w:pPr>
    <w:rPr>
      <w:sz w:val="28"/>
    </w:rPr>
  </w:style>
  <w:style w:type="paragraph" w:styleId="Rubrik2">
    <w:name w:val="heading 2"/>
    <w:basedOn w:val="Rubrik1"/>
    <w:next w:val="Normal"/>
    <w:qFormat/>
    <w:pPr>
      <w:spacing w:before="360" w:line="256" w:lineRule="exact"/>
      <w:outlineLvl w:val="1"/>
    </w:pPr>
    <w:rPr>
      <w:sz w:val="23"/>
    </w:rPr>
  </w:style>
  <w:style w:type="paragraph" w:styleId="Rubrik3">
    <w:name w:val="heading 3"/>
    <w:basedOn w:val="Rubrik1"/>
    <w:next w:val="Normal"/>
    <w:qFormat/>
    <w:pPr>
      <w:spacing w:before="398" w:line="214" w:lineRule="exact"/>
      <w:outlineLvl w:val="2"/>
    </w:pPr>
    <w:rPr>
      <w:b/>
      <w:sz w:val="19"/>
    </w:rPr>
  </w:style>
  <w:style w:type="paragraph" w:styleId="Rubrik4">
    <w:name w:val="heading 4"/>
    <w:basedOn w:val="Rubrik3"/>
    <w:next w:val="Normal"/>
    <w:qFormat/>
    <w:pPr>
      <w:outlineLvl w:val="3"/>
    </w:pPr>
    <w:rPr>
      <w:b w:val="0"/>
      <w:i/>
    </w:rPr>
  </w:style>
  <w:style w:type="paragraph" w:styleId="Rubrik5">
    <w:name w:val="heading 5"/>
    <w:basedOn w:val="Rubrik3"/>
    <w:next w:val="Normal"/>
    <w:qFormat/>
    <w:pPr>
      <w:outlineLvl w:val="4"/>
    </w:pPr>
    <w:rPr>
      <w:b w:val="0"/>
    </w:rPr>
  </w:style>
  <w:style w:type="paragraph" w:styleId="Rubrik6">
    <w:name w:val="heading 6"/>
    <w:basedOn w:val="Normal"/>
    <w:next w:val="Normal"/>
    <w:qFormat/>
    <w:pPr>
      <w:keepNext/>
      <w:spacing w:before="240" w:after="60"/>
      <w:outlineLvl w:val="5"/>
    </w:pPr>
    <w:rPr>
      <w:sz w:val="16"/>
    </w:rPr>
  </w:style>
  <w:style w:type="character" w:default="1" w:styleId="Standardstycketeckensnitt">
    <w:name w:val="Default Paragraph Font"/>
    <w:semiHidden/>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HuvudRubrik">
    <w:name w:val="HuvudRubrik"/>
    <w:basedOn w:val="Normal"/>
    <w:pPr>
      <w:suppressAutoHyphens/>
      <w:spacing w:before="0" w:line="400" w:lineRule="exact"/>
      <w:jc w:val="left"/>
    </w:pPr>
    <w:rPr>
      <w:sz w:val="36"/>
    </w:rPr>
  </w:style>
  <w:style w:type="paragraph" w:customStyle="1" w:styleId="BetnkandeRubrik">
    <w:name w:val="BetänkandeRubrik"/>
    <w:basedOn w:val="Normal"/>
    <w:pPr>
      <w:spacing w:before="40" w:after="720" w:line="280" w:lineRule="exact"/>
      <w:jc w:val="left"/>
    </w:pPr>
    <w:rPr>
      <w:sz w:val="28"/>
    </w:rPr>
  </w:style>
  <w:style w:type="paragraph" w:customStyle="1" w:styleId="rtal">
    <w:name w:val="Årtal"/>
    <w:basedOn w:val="Normal"/>
    <w:pPr>
      <w:spacing w:before="0" w:line="240" w:lineRule="auto"/>
      <w:ind w:left="113"/>
      <w:jc w:val="left"/>
    </w:pPr>
    <w:rPr>
      <w:sz w:val="24"/>
    </w:rPr>
  </w:style>
  <w:style w:type="paragraph" w:customStyle="1" w:styleId="StatusSida1">
    <w:name w:val="Status Sida1"/>
    <w:basedOn w:val="rtal"/>
    <w:pPr>
      <w:ind w:left="0"/>
    </w:pPr>
    <w:rPr>
      <w:b/>
      <w:sz w:val="28"/>
    </w:rPr>
  </w:style>
  <w:style w:type="paragraph" w:customStyle="1" w:styleId="UtskriftsdatumSida1">
    <w:name w:val="Utskriftsdatum Sida1"/>
    <w:basedOn w:val="SidhuvudKant"/>
    <w:pPr>
      <w:spacing w:line="240" w:lineRule="auto"/>
    </w:pPr>
  </w:style>
  <w:style w:type="paragraph" w:customStyle="1" w:styleId="BetRubrik">
    <w:name w:val="BetRubrik"/>
    <w:basedOn w:val="Rubrik1"/>
    <w:pPr>
      <w:spacing w:line="480" w:lineRule="exact"/>
      <w:outlineLvl w:val="9"/>
    </w:pPr>
    <w:rPr>
      <w:sz w:val="36"/>
    </w:rPr>
  </w:style>
  <w:style w:type="paragraph" w:styleId="Brdtext">
    <w:name w:val="Body Text"/>
    <w:basedOn w:val="Normal"/>
    <w:next w:val="Brdtextmedindrag"/>
    <w:semiHidden/>
  </w:style>
  <w:style w:type="paragraph" w:styleId="Brdtextmedindrag">
    <w:name w:val="Body Text Indent"/>
    <w:basedOn w:val="Normal"/>
    <w:semiHidden/>
    <w:pPr>
      <w:ind w:firstLine="284"/>
    </w:pPr>
  </w:style>
  <w:style w:type="paragraph" w:styleId="Citat">
    <w:name w:val="Quote"/>
    <w:basedOn w:val="Normal"/>
    <w:next w:val="Normal"/>
    <w:qFormat/>
    <w:pPr>
      <w:spacing w:before="125" w:line="214" w:lineRule="exact"/>
    </w:pPr>
  </w:style>
  <w:style w:type="paragraph" w:customStyle="1" w:styleId="CitatIndrag">
    <w:name w:val="CitatIndrag"/>
    <w:basedOn w:val="Citat"/>
    <w:pPr>
      <w:spacing w:before="0"/>
      <w:ind w:firstLine="170"/>
    </w:pPr>
  </w:style>
  <w:style w:type="paragraph" w:customStyle="1" w:styleId="Deltagare">
    <w:name w:val="Deltagare"/>
    <w:basedOn w:val="Citat"/>
    <w:next w:val="Normal"/>
    <w:pPr>
      <w:spacing w:before="612"/>
    </w:pPr>
  </w:style>
  <w:style w:type="paragraph" w:styleId="Fotnotstext">
    <w:name w:val="footnote text"/>
    <w:basedOn w:val="Normal"/>
    <w:semiHidden/>
    <w:pPr>
      <w:spacing w:line="170" w:lineRule="exact"/>
    </w:pPr>
    <w:rPr>
      <w:sz w:val="17"/>
    </w:rPr>
  </w:style>
  <w:style w:type="paragraph" w:styleId="Normaltindrag">
    <w:name w:val="Normal Indent"/>
    <w:basedOn w:val="Normal"/>
    <w:semiHidden/>
    <w:pPr>
      <w:spacing w:before="0"/>
      <w:ind w:firstLine="170"/>
    </w:pPr>
  </w:style>
  <w:style w:type="paragraph" w:customStyle="1" w:styleId="hembetr">
    <w:name w:val="hembetr"/>
    <w:basedOn w:val="Normaltindrag"/>
    <w:next w:val="Normal"/>
    <w:pPr>
      <w:ind w:left="510"/>
    </w:pPr>
    <w:rPr>
      <w:color w:val="000000"/>
    </w:rPr>
  </w:style>
  <w:style w:type="paragraph" w:customStyle="1" w:styleId="hemtext">
    <w:name w:val="hemtext"/>
    <w:basedOn w:val="Normaltindrag"/>
    <w:pPr>
      <w:ind w:left="510" w:firstLine="0"/>
    </w:pPr>
  </w:style>
  <w:style w:type="paragraph" w:customStyle="1" w:styleId="Innehll">
    <w:name w:val="Innehåll"/>
    <w:basedOn w:val="Rubrik1"/>
    <w:next w:val="Normal"/>
    <w:pPr>
      <w:spacing w:before="0" w:after="245"/>
      <w:outlineLvl w:val="9"/>
    </w:pPr>
  </w:style>
  <w:style w:type="paragraph" w:styleId="Innehll1">
    <w:name w:val="toc 1"/>
    <w:basedOn w:val="Normal"/>
    <w:autoRedefine/>
    <w:semiHidden/>
    <w:pPr>
      <w:tabs>
        <w:tab w:val="right" w:leader="dot" w:pos="5670"/>
      </w:tabs>
      <w:spacing w:before="0"/>
      <w:ind w:right="567"/>
    </w:pPr>
  </w:style>
  <w:style w:type="paragraph" w:styleId="Innehll2">
    <w:name w:val="toc 2"/>
    <w:basedOn w:val="Innehll1"/>
    <w:autoRedefine/>
    <w:semiHidden/>
    <w:pPr>
      <w:ind w:left="227"/>
    </w:pPr>
  </w:style>
  <w:style w:type="paragraph" w:styleId="Innehll3">
    <w:name w:val="toc 3"/>
    <w:basedOn w:val="Innehll1"/>
    <w:autoRedefine/>
    <w:semiHidden/>
    <w:pPr>
      <w:ind w:left="454" w:right="680"/>
    </w:pPr>
  </w:style>
  <w:style w:type="paragraph" w:styleId="Innehll4">
    <w:name w:val="toc 4"/>
    <w:basedOn w:val="Innehll1"/>
    <w:autoRedefine/>
    <w:semiHidden/>
    <w:pPr>
      <w:ind w:left="680"/>
    </w:pPr>
  </w:style>
  <w:style w:type="paragraph" w:styleId="Innehll5">
    <w:name w:val="toc 5"/>
    <w:basedOn w:val="Innehll4"/>
    <w:next w:val="Normal"/>
    <w:autoRedefine/>
    <w:semiHidden/>
    <w:pPr>
      <w:ind w:left="907"/>
    </w:pPr>
  </w:style>
  <w:style w:type="paragraph" w:styleId="Innehll6">
    <w:name w:val="toc 6"/>
    <w:basedOn w:val="Innehll5"/>
    <w:next w:val="Normal"/>
    <w:autoRedefine/>
    <w:semiHidden/>
    <w:pPr>
      <w:ind w:left="1134"/>
    </w:pPr>
  </w:style>
  <w:style w:type="paragraph" w:styleId="Innehll7">
    <w:name w:val="toc 7"/>
    <w:basedOn w:val="Innehll6"/>
    <w:next w:val="Normal"/>
    <w:autoRedefine/>
    <w:semiHidden/>
    <w:pPr>
      <w:ind w:left="1361"/>
    </w:pPr>
  </w:style>
  <w:style w:type="paragraph" w:styleId="Innehll8">
    <w:name w:val="toc 8"/>
    <w:basedOn w:val="Innehll7"/>
    <w:next w:val="Normal"/>
    <w:autoRedefine/>
    <w:semiHidden/>
    <w:pPr>
      <w:ind w:left="1588"/>
    </w:pPr>
  </w:style>
  <w:style w:type="paragraph" w:styleId="Innehll9">
    <w:name w:val="toc 9"/>
    <w:basedOn w:val="Normal"/>
    <w:next w:val="Normal"/>
    <w:autoRedefine/>
    <w:semiHidden/>
    <w:pPr>
      <w:tabs>
        <w:tab w:val="right" w:leader="dot" w:pos="5896"/>
      </w:tabs>
      <w:ind w:left="1814"/>
    </w:pPr>
  </w:style>
  <w:style w:type="paragraph" w:customStyle="1" w:styleId="Kantrubrik">
    <w:name w:val="Kantrubrik"/>
    <w:basedOn w:val="Normal"/>
    <w:pPr>
      <w:framePr w:w="1701" w:hSpace="284" w:wrap="around" w:vAnchor="text" w:hAnchor="page" w:xAlign="right" w:y="-231"/>
    </w:pPr>
    <w:rPr>
      <w:i/>
    </w:rPr>
  </w:style>
  <w:style w:type="character" w:styleId="Kommentarsreferens">
    <w:name w:val="annotation reference"/>
    <w:basedOn w:val="Standardstycketeckensnitt"/>
    <w:semiHidden/>
    <w:rPr>
      <w:sz w:val="16"/>
    </w:rPr>
  </w:style>
  <w:style w:type="paragraph" w:customStyle="1" w:styleId="Lagtext">
    <w:name w:val="Lagtext"/>
    <w:basedOn w:val="Normal"/>
    <w:next w:val="Normal"/>
    <w:pPr>
      <w:spacing w:before="0" w:line="214" w:lineRule="exact"/>
    </w:pPr>
  </w:style>
  <w:style w:type="paragraph" w:customStyle="1" w:styleId="LagtextIndrag">
    <w:name w:val="LagtextIndrag"/>
    <w:basedOn w:val="Lagtext"/>
    <w:pPr>
      <w:ind w:firstLine="170"/>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rPr>
  </w:style>
  <w:style w:type="paragraph" w:customStyle="1" w:styleId="NormalRam">
    <w:name w:val="NormalRam"/>
    <w:basedOn w:val="Normal"/>
    <w:pPr>
      <w:framePr w:hSpace="142" w:wrap="around" w:vAnchor="page" w:hAnchor="text" w:y="1" w:anchorLock="1"/>
    </w:pPr>
  </w:style>
  <w:style w:type="paragraph" w:customStyle="1" w:styleId="Odefinierat">
    <w:name w:val="Odefinierat"/>
    <w:basedOn w:val="Normal"/>
  </w:style>
  <w:style w:type="paragraph" w:customStyle="1" w:styleId="Ordfnamn">
    <w:name w:val="Ordfnamn"/>
    <w:basedOn w:val="Normal"/>
    <w:next w:val="Normal"/>
    <w:pPr>
      <w:spacing w:before="490"/>
    </w:pPr>
    <w:rPr>
      <w:i/>
      <w:sz w:val="21"/>
    </w:rPr>
  </w:style>
  <w:style w:type="paragraph" w:customStyle="1" w:styleId="Resklmb">
    <w:name w:val="Resklämb"/>
    <w:basedOn w:val="hembetr"/>
  </w:style>
  <w:style w:type="paragraph" w:customStyle="1" w:styleId="PropMot">
    <w:name w:val="PropMot"/>
    <w:basedOn w:val="Resklmb"/>
    <w:pPr>
      <w:ind w:left="0"/>
    </w:pPr>
  </w:style>
  <w:style w:type="paragraph" w:customStyle="1" w:styleId="R1">
    <w:name w:val="R1"/>
    <w:basedOn w:val="Rubrik1"/>
    <w:next w:val="Normal"/>
    <w:pPr>
      <w:outlineLvl w:val="9"/>
    </w:pPr>
  </w:style>
  <w:style w:type="paragraph" w:customStyle="1" w:styleId="R2">
    <w:name w:val="R2"/>
    <w:basedOn w:val="Rubrik2"/>
    <w:next w:val="Normal"/>
    <w:pPr>
      <w:outlineLvl w:val="9"/>
    </w:pPr>
  </w:style>
  <w:style w:type="paragraph" w:customStyle="1" w:styleId="R3">
    <w:name w:val="R3"/>
    <w:basedOn w:val="Rubrik3"/>
    <w:next w:val="Normal"/>
    <w:pPr>
      <w:outlineLvl w:val="9"/>
    </w:pPr>
  </w:style>
  <w:style w:type="paragraph" w:customStyle="1" w:styleId="R4">
    <w:name w:val="R4"/>
    <w:basedOn w:val="Rubrik4"/>
    <w:next w:val="Normal"/>
    <w:pPr>
      <w:outlineLvl w:val="9"/>
    </w:pPr>
  </w:style>
  <w:style w:type="paragraph" w:customStyle="1" w:styleId="Reseftermom">
    <w:name w:val="Reseftermom"/>
    <w:basedOn w:val="Normal"/>
    <w:next w:val="Normal"/>
    <w:pPr>
      <w:spacing w:before="0"/>
      <w:ind w:left="2835"/>
    </w:pPr>
    <w:rPr>
      <w:i/>
      <w:color w:val="000000"/>
    </w:rPr>
  </w:style>
  <w:style w:type="paragraph" w:customStyle="1" w:styleId="Resklm">
    <w:name w:val="Reskläm"/>
    <w:basedOn w:val="hemtext"/>
  </w:style>
  <w:style w:type="paragraph" w:customStyle="1" w:styleId="SakregAlfa">
    <w:name w:val="SakregAlfa"/>
    <w:basedOn w:val="Innehll"/>
    <w:pPr>
      <w:tabs>
        <w:tab w:val="right" w:leader="dot" w:pos="5897"/>
      </w:tabs>
      <w:spacing w:after="0" w:line="245" w:lineRule="exact"/>
      <w:ind w:left="284" w:right="1134" w:hanging="284"/>
    </w:pPr>
    <w:rPr>
      <w:sz w:val="19"/>
    </w:rPr>
  </w:style>
  <w:style w:type="paragraph" w:customStyle="1" w:styleId="SakregBetRub">
    <w:name w:val="SakregBetRub"/>
    <w:basedOn w:val="Rubrik3"/>
    <w:pPr>
      <w:spacing w:before="0"/>
      <w:outlineLvl w:val="9"/>
    </w:pPr>
  </w:style>
  <w:style w:type="paragraph" w:customStyle="1" w:styleId="SakregBetText">
    <w:name w:val="SakregBetText"/>
    <w:basedOn w:val="SakregAlfa"/>
    <w:pPr>
      <w:tabs>
        <w:tab w:val="right" w:pos="5897"/>
      </w:tabs>
      <w:ind w:left="0" w:right="1418" w:firstLine="0"/>
    </w:pPr>
  </w:style>
  <w:style w:type="paragraph" w:customStyle="1" w:styleId="Sakregister">
    <w:name w:val="Sakregister"/>
    <w:basedOn w:val="Normal"/>
    <w:pPr>
      <w:tabs>
        <w:tab w:val="right" w:leader="dot" w:pos="5897"/>
      </w:tabs>
      <w:ind w:left="284" w:right="851" w:hanging="284"/>
    </w:pPr>
  </w:style>
  <w:style w:type="paragraph" w:customStyle="1" w:styleId="SBTabell">
    <w:name w:val="SB_Tabell"/>
    <w:basedOn w:val="Normal"/>
    <w:pPr>
      <w:spacing w:before="0" w:line="214" w:lineRule="exact"/>
    </w:pPr>
  </w:style>
  <w:style w:type="paragraph" w:styleId="Sidfot">
    <w:name w:val="footer"/>
    <w:basedOn w:val="Normal"/>
    <w:semiHidden/>
    <w:pPr>
      <w:tabs>
        <w:tab w:val="center" w:pos="4703"/>
        <w:tab w:val="right" w:pos="9406"/>
      </w:tabs>
    </w:pPr>
  </w:style>
  <w:style w:type="paragraph" w:styleId="Sidhuvud">
    <w:name w:val="header"/>
    <w:basedOn w:val="Normal"/>
    <w:semiHidden/>
    <w:pPr>
      <w:tabs>
        <w:tab w:val="center" w:pos="4252"/>
        <w:tab w:val="right" w:pos="8504"/>
      </w:tabs>
      <w:spacing w:before="0"/>
      <w:ind w:left="-851"/>
      <w:jc w:val="left"/>
    </w:pPr>
  </w:style>
  <w:style w:type="paragraph" w:customStyle="1" w:styleId="SidhuvudH">
    <w:name w:val="SidhuvudH"/>
    <w:basedOn w:val="Sidhuvud"/>
    <w:pPr>
      <w:framePr w:w="1701" w:hSpace="284" w:wrap="notBeside" w:hAnchor="page" w:xAlign="right" w:yAlign="top" w:anchorLock="1"/>
      <w:spacing w:line="240" w:lineRule="auto"/>
      <w:ind w:left="0" w:right="113"/>
    </w:pPr>
    <w:rPr>
      <w:sz w:val="21"/>
    </w:rPr>
  </w:style>
  <w:style w:type="paragraph" w:customStyle="1" w:styleId="SidhuvudF">
    <w:name w:val="SidhuvudF"/>
    <w:basedOn w:val="SidhuvudH"/>
    <w:pPr>
      <w:framePr w:wrap="notBeside"/>
    </w:pPr>
  </w:style>
  <w:style w:type="paragraph" w:customStyle="1" w:styleId="SidfotH">
    <w:name w:val="SidfotH"/>
    <w:basedOn w:val="SidhuvudF"/>
    <w:pPr>
      <w:framePr w:w="567" w:hSpace="142" w:vSpace="142" w:wrap="around" w:yAlign="bottom"/>
      <w:jc w:val="right"/>
    </w:pPr>
    <w:rPr>
      <w:sz w:val="18"/>
    </w:rPr>
  </w:style>
  <w:style w:type="paragraph" w:customStyle="1" w:styleId="SidfotV">
    <w:name w:val="SidfotV"/>
    <w:basedOn w:val="SidfotH"/>
    <w:pPr>
      <w:framePr w:wrap="around" w:xAlign="inside"/>
    </w:pPr>
  </w:style>
  <w:style w:type="paragraph" w:customStyle="1" w:styleId="SidhuvudFText">
    <w:name w:val="SidhuvudFText"/>
    <w:basedOn w:val="Normal"/>
    <w:pPr>
      <w:framePr w:hSpace="284" w:wrap="notBeside" w:vAnchor="page" w:hAnchor="text" w:y="3970" w:anchorLock="1"/>
      <w:tabs>
        <w:tab w:val="center" w:pos="4252"/>
        <w:tab w:val="right" w:pos="8504"/>
      </w:tabs>
      <w:suppressAutoHyphens/>
      <w:spacing w:before="0" w:line="240" w:lineRule="exact"/>
      <w:ind w:right="113"/>
      <w:jc w:val="left"/>
    </w:pPr>
    <w:rPr>
      <w:sz w:val="22"/>
    </w:rPr>
  </w:style>
  <w:style w:type="paragraph" w:customStyle="1" w:styleId="SidhuvudFVapen">
    <w:name w:val="SidhuvudFVapen"/>
    <w:basedOn w:val="SidhuvudH"/>
    <w:pPr>
      <w:framePr w:wrap="notBeside" w:vAnchor="page" w:y="3573"/>
      <w:spacing w:line="230" w:lineRule="exact"/>
    </w:pPr>
  </w:style>
  <w:style w:type="paragraph" w:customStyle="1" w:styleId="SidhuvudKant">
    <w:name w:val="SidhuvudKant"/>
    <w:basedOn w:val="Sidhuvud"/>
    <w:pPr>
      <w:ind w:left="0"/>
    </w:pPr>
    <w:rPr>
      <w:sz w:val="21"/>
    </w:rPr>
  </w:style>
  <w:style w:type="paragraph" w:customStyle="1" w:styleId="SidhuvudKantBilaga">
    <w:name w:val="SidhuvudKantBilaga"/>
    <w:basedOn w:val="SidhuvudKant"/>
  </w:style>
  <w:style w:type="paragraph" w:customStyle="1" w:styleId="SidhuvudV">
    <w:name w:val="SidhuvudV"/>
    <w:basedOn w:val="SidhuvudH"/>
    <w:pPr>
      <w:framePr w:wrap="notBeside"/>
    </w:pPr>
  </w:style>
  <w:style w:type="character" w:styleId="Sidnummer">
    <w:name w:val="page number"/>
    <w:basedOn w:val="Standardstycketeckensnitt"/>
    <w:semiHidden/>
    <w:rPr>
      <w:rFonts w:ascii="Times New Roman" w:hAnsi="Times New Roman"/>
      <w:sz w:val="19"/>
    </w:rPr>
  </w:style>
  <w:style w:type="paragraph" w:customStyle="1" w:styleId="Stockholm">
    <w:name w:val="Stockholm"/>
    <w:basedOn w:val="Normal"/>
    <w:pPr>
      <w:spacing w:before="245"/>
    </w:pPr>
  </w:style>
  <w:style w:type="paragraph" w:customStyle="1" w:styleId="Tabell">
    <w:name w:val="Tabell"/>
    <w:basedOn w:val="Normal"/>
    <w:pPr>
      <w:spacing w:before="0" w:line="170" w:lineRule="exact"/>
    </w:pPr>
    <w:rPr>
      <w:sz w:val="17"/>
    </w:rPr>
  </w:style>
  <w:style w:type="paragraph" w:customStyle="1" w:styleId="Tabellrubrik">
    <w:name w:val="Tabellrubrik"/>
    <w:basedOn w:val="Tabell"/>
    <w:next w:val="Tabell"/>
    <w:rPr>
      <w:b/>
    </w:rPr>
  </w:style>
  <w:style w:type="paragraph" w:customStyle="1" w:styleId="tabnormal">
    <w:name w:val="tabnormal"/>
    <w:basedOn w:val="Normaltindrag"/>
  </w:style>
  <w:style w:type="paragraph" w:customStyle="1" w:styleId="Tryckort">
    <w:name w:val="Tryckort"/>
    <w:basedOn w:val="Normal"/>
    <w:pPr>
      <w:framePr w:wrap="around" w:hAnchor="text" w:yAlign="bottom"/>
      <w:spacing w:before="0" w:line="160" w:lineRule="exact"/>
    </w:pPr>
    <w:rPr>
      <w:sz w:val="16"/>
    </w:rPr>
  </w:style>
  <w:style w:type="paragraph" w:customStyle="1" w:styleId="Vinkela">
    <w:name w:val="Vinkela"/>
    <w:basedOn w:val="Normal"/>
    <w:next w:val="Normal"/>
    <w:pPr>
      <w:spacing w:before="123"/>
    </w:pPr>
  </w:style>
  <w:style w:type="paragraph" w:customStyle="1" w:styleId="Vinkelkoder">
    <w:name w:val="Vinkelkoder"/>
    <w:basedOn w:val="Normal"/>
    <w:pPr>
      <w:spacing w:before="0"/>
    </w:pPr>
  </w:style>
  <w:style w:type="paragraph" w:customStyle="1" w:styleId="Vgnar">
    <w:name w:val="Vägnar"/>
    <w:basedOn w:val="Normal"/>
    <w:next w:val="Normal"/>
    <w:pPr>
      <w:spacing w:before="183"/>
    </w:pPr>
  </w:style>
  <w:style w:type="paragraph" w:customStyle="1" w:styleId="HuvudRubrikRad2">
    <w:name w:val="HuvudRubrikRad2"/>
    <w:basedOn w:val="HuvudRubrik"/>
  </w:style>
  <w:style w:type="paragraph" w:customStyle="1" w:styleId="Logo">
    <w:name w:val="Logo"/>
    <w:basedOn w:val="Normal"/>
    <w:pPr>
      <w:spacing w:before="0" w:line="240" w:lineRule="auto"/>
      <w:jc w:val="left"/>
    </w:pPr>
  </w:style>
  <w:style w:type="paragraph" w:customStyle="1" w:styleId="LagtextRubrik">
    <w:name w:val="LagtextRubrik"/>
    <w:basedOn w:val="Normal"/>
    <w:next w:val="LagtextIndrag"/>
    <w:pPr>
      <w:spacing w:before="0" w:after="120"/>
    </w:pPr>
  </w:style>
  <w:style w:type="character" w:styleId="Fotnotsreferens">
    <w:name w:val="footnote reference"/>
    <w:basedOn w:val="Standardstycketeckensnitt"/>
    <w:semiHidden/>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2.bin"/><Relationship Id="rId3" Type="http://schemas.openxmlformats.org/officeDocument/2006/relationships/webSettings" Target="webSettings.xml"/><Relationship Id="rId7" Type="http://schemas.openxmlformats.org/officeDocument/2006/relationships/oleObject" Target="embeddings/oleObject1.bin"/><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wmf"/><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3026</Words>
  <Characters>18824</Characters>
  <Application>Microsoft Office Word</Application>
  <DocSecurity>4</DocSecurity>
  <Lines>418</Lines>
  <Paragraphs>172</Paragraphs>
  <ScaleCrop>false</ScaleCrop>
  <HeadingPairs>
    <vt:vector size="2" baseType="variant">
      <vt:variant>
        <vt:lpstr>Title</vt:lpstr>
      </vt:variant>
      <vt:variant>
        <vt:i4>1</vt:i4>
      </vt:variant>
    </vt:vector>
  </HeadingPairs>
  <TitlesOfParts>
    <vt:vector size="1" baseType="lpstr">
      <vt:lpstr>Trafikutskottets yttrande</vt:lpstr>
    </vt:vector>
  </TitlesOfParts>
  <Company>Riksdagen</Company>
  <LinksUpToDate>false</LinksUpToDate>
  <CharactersWithSpaces>21678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Trafikutskottets yttrande</dc:title>
  <dc:subject>Trafikutskottets yttrande</dc:subject>
  <dc:creator>Riksdagen</dc:creator>
  <cp:keywords>Riksdagen</cp:keywords>
  <cp:lastModifiedBy>Lars Brink</cp:lastModifiedBy>
  <cp:revision>2</cp:revision>
  <cp:lastPrinted>2000-05-15T11:31:00Z</cp:lastPrinted>
  <dcterms:created xsi:type="dcterms:W3CDTF">2025-12-15T22:34:00Z</dcterms:created>
  <dcterms:modified xsi:type="dcterms:W3CDTF">2025-12-15T22:34:00Z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etänkandeNr">
    <vt:lpwstr>3y</vt:lpwstr>
  </property>
  <property fmtid="{D5CDD505-2E9C-101B-9397-08002B2CF9AE}" pid="3" name="Utskott">
    <vt:lpwstr>TU</vt:lpwstr>
  </property>
  <property fmtid="{D5CDD505-2E9C-101B-9397-08002B2CF9AE}" pid="4" name="BetänkandeÅr">
    <vt:lpwstr>1999/2000</vt:lpwstr>
  </property>
  <property fmtid="{D5CDD505-2E9C-101B-9397-08002B2CF9AE}" pid="5" name="UtkastDatum">
    <vt:lpwstr>Ja</vt:lpwstr>
  </property>
  <property fmtid="{D5CDD505-2E9C-101B-9397-08002B2CF9AE}" pid="6" name="Status">
    <vt:lpwstr/>
  </property>
  <property fmtid="{D5CDD505-2E9C-101B-9397-08002B2CF9AE}" pid="7" name="Numrering">
    <vt:lpwstr>NotUpdated</vt:lpwstr>
  </property>
</Properties>
</file>