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F85C6A" w:rsidTr="001A5329">
        <w:tc>
          <w:tcPr>
            <w:tcW w:w="2268" w:type="dxa"/>
          </w:tcPr>
          <w:p w:rsidR="00F85C6A" w:rsidRDefault="00F85C6A" w:rsidP="001A5329">
            <w:pPr>
              <w:framePr w:w="4400" w:h="1644" w:wrap="notBeside" w:vAnchor="page" w:hAnchor="page" w:x="6573" w:y="721"/>
              <w:rPr>
                <w:rFonts w:ascii="TradeGothic" w:hAnsi="TradeGothic"/>
                <w:i/>
                <w:sz w:val="18"/>
              </w:rPr>
            </w:pPr>
            <w:r>
              <w:rPr>
                <w:rFonts w:ascii="TradeGothic" w:hAnsi="TradeGothic"/>
                <w:i/>
                <w:sz w:val="18"/>
              </w:rPr>
              <w:t>SLUTLIG</w:t>
            </w:r>
          </w:p>
        </w:tc>
        <w:tc>
          <w:tcPr>
            <w:tcW w:w="2347" w:type="dxa"/>
            <w:gridSpan w:val="2"/>
          </w:tcPr>
          <w:p w:rsidR="00F85C6A" w:rsidRPr="00DB1E1C" w:rsidRDefault="00F85C6A" w:rsidP="00DB1E1C">
            <w:pPr>
              <w:framePr w:w="4400" w:h="1644" w:wrap="notBeside" w:vAnchor="page" w:hAnchor="page" w:x="6573" w:y="721"/>
              <w:jc w:val="right"/>
              <w:rPr>
                <w:rFonts w:ascii="TradeGothic" w:hAnsi="TradeGothic"/>
                <w:sz w:val="18"/>
              </w:rPr>
            </w:pPr>
          </w:p>
        </w:tc>
      </w:tr>
      <w:tr w:rsidR="00F85C6A" w:rsidTr="001A5329">
        <w:tc>
          <w:tcPr>
            <w:tcW w:w="2268" w:type="dxa"/>
          </w:tcPr>
          <w:p w:rsidR="00F85C6A" w:rsidRDefault="00F85C6A" w:rsidP="001A5329">
            <w:pPr>
              <w:framePr w:w="4400" w:h="1644" w:wrap="notBeside" w:vAnchor="page" w:hAnchor="page" w:x="6573" w:y="721"/>
              <w:rPr>
                <w:rFonts w:ascii="TradeGothic" w:hAnsi="TradeGothic"/>
                <w:b/>
                <w:sz w:val="22"/>
              </w:rPr>
            </w:pPr>
            <w:r>
              <w:rPr>
                <w:rFonts w:ascii="TradeGothic" w:hAnsi="TradeGothic"/>
                <w:b/>
                <w:sz w:val="22"/>
              </w:rPr>
              <w:t xml:space="preserve">Kommenterad dagordning </w:t>
            </w:r>
          </w:p>
        </w:tc>
        <w:tc>
          <w:tcPr>
            <w:tcW w:w="2347" w:type="dxa"/>
            <w:gridSpan w:val="2"/>
          </w:tcPr>
          <w:p w:rsidR="00F85C6A" w:rsidRDefault="00F85C6A" w:rsidP="001A5329">
            <w:pPr>
              <w:framePr w:w="4400" w:h="1644" w:wrap="notBeside" w:vAnchor="page" w:hAnchor="page" w:x="6573" w:y="721"/>
              <w:rPr>
                <w:rFonts w:ascii="TradeGothic" w:hAnsi="TradeGothic"/>
                <w:b/>
                <w:sz w:val="22"/>
              </w:rPr>
            </w:pPr>
          </w:p>
        </w:tc>
      </w:tr>
      <w:tr w:rsidR="00F85C6A" w:rsidTr="001A5329">
        <w:tc>
          <w:tcPr>
            <w:tcW w:w="3402" w:type="dxa"/>
            <w:gridSpan w:val="2"/>
          </w:tcPr>
          <w:p w:rsidR="00F85C6A" w:rsidRDefault="00F85C6A" w:rsidP="001A5329">
            <w:pPr>
              <w:framePr w:w="4400" w:h="1644" w:wrap="notBeside" w:vAnchor="page" w:hAnchor="page" w:x="6573" w:y="721"/>
            </w:pPr>
          </w:p>
          <w:p w:rsidR="00F85C6A" w:rsidRDefault="00F85C6A" w:rsidP="001A5329">
            <w:pPr>
              <w:framePr w:w="4400" w:h="1644" w:wrap="notBeside" w:vAnchor="page" w:hAnchor="page" w:x="6573" w:y="721"/>
            </w:pPr>
          </w:p>
        </w:tc>
        <w:tc>
          <w:tcPr>
            <w:tcW w:w="1213" w:type="dxa"/>
          </w:tcPr>
          <w:p w:rsidR="00F85C6A" w:rsidRDefault="00F85C6A" w:rsidP="001A5329">
            <w:pPr>
              <w:framePr w:w="4400" w:h="1644" w:wrap="notBeside" w:vAnchor="page" w:hAnchor="page" w:x="6573" w:y="721"/>
            </w:pPr>
          </w:p>
        </w:tc>
      </w:tr>
      <w:tr w:rsidR="00F85C6A" w:rsidTr="001A5329">
        <w:tc>
          <w:tcPr>
            <w:tcW w:w="2268" w:type="dxa"/>
          </w:tcPr>
          <w:p w:rsidR="00F85C6A" w:rsidRDefault="00F85C6A" w:rsidP="001A5329">
            <w:pPr>
              <w:framePr w:w="4400" w:h="1644" w:wrap="notBeside" w:vAnchor="page" w:hAnchor="page" w:x="6573" w:y="721"/>
            </w:pPr>
          </w:p>
        </w:tc>
        <w:tc>
          <w:tcPr>
            <w:tcW w:w="2347" w:type="dxa"/>
            <w:gridSpan w:val="2"/>
          </w:tcPr>
          <w:p w:rsidR="00F85C6A" w:rsidRDefault="00F85C6A" w:rsidP="001A5329">
            <w:pPr>
              <w:framePr w:w="4400" w:h="1644" w:wrap="notBeside" w:vAnchor="page" w:hAnchor="page" w:x="6573" w:y="721"/>
            </w:pPr>
          </w:p>
        </w:tc>
      </w:tr>
      <w:tr w:rsidR="00F85C6A" w:rsidTr="001A5329">
        <w:tc>
          <w:tcPr>
            <w:tcW w:w="2268" w:type="dxa"/>
          </w:tcPr>
          <w:p w:rsidR="00F85C6A" w:rsidRDefault="00F85C6A" w:rsidP="001A5329">
            <w:pPr>
              <w:framePr w:w="4400" w:h="1644" w:wrap="notBeside" w:vAnchor="page" w:hAnchor="page" w:x="6573" w:y="721"/>
            </w:pPr>
          </w:p>
        </w:tc>
        <w:tc>
          <w:tcPr>
            <w:tcW w:w="2347" w:type="dxa"/>
            <w:gridSpan w:val="2"/>
          </w:tcPr>
          <w:p w:rsidR="00F85C6A" w:rsidRDefault="00F85C6A" w:rsidP="001A5329">
            <w:pPr>
              <w:framePr w:w="4400" w:h="1644" w:wrap="notBeside" w:vAnchor="page" w:hAnchor="page" w:x="6573" w:y="721"/>
            </w:pPr>
          </w:p>
        </w:tc>
      </w:tr>
    </w:tbl>
    <w:p w:rsidR="00F85C6A" w:rsidRPr="00FF4B4B" w:rsidRDefault="00F85C6A" w:rsidP="00FF4B4B">
      <w:pPr>
        <w:rPr>
          <w:vanish/>
        </w:rPr>
      </w:pPr>
    </w:p>
    <w:tbl>
      <w:tblPr>
        <w:tblW w:w="0" w:type="auto"/>
        <w:tblLayout w:type="fixed"/>
        <w:tblLook w:val="0000"/>
      </w:tblPr>
      <w:tblGrid>
        <w:gridCol w:w="4911"/>
      </w:tblGrid>
      <w:tr w:rsidR="00F85C6A" w:rsidTr="001A5329">
        <w:trPr>
          <w:trHeight w:val="284"/>
        </w:trPr>
        <w:tc>
          <w:tcPr>
            <w:tcW w:w="4911" w:type="dxa"/>
          </w:tcPr>
          <w:p w:rsidR="00F85C6A" w:rsidRDefault="00F85C6A" w:rsidP="001A5329">
            <w:pPr>
              <w:pStyle w:val="Avsndare"/>
              <w:framePr w:h="2483" w:wrap="notBeside" w:x="1504"/>
              <w:rPr>
                <w:b/>
                <w:i w:val="0"/>
                <w:sz w:val="22"/>
              </w:rPr>
            </w:pPr>
            <w:r>
              <w:rPr>
                <w:b/>
                <w:i w:val="0"/>
                <w:sz w:val="22"/>
              </w:rPr>
              <w:t>Landsbygdsdepartementet</w:t>
            </w:r>
          </w:p>
        </w:tc>
      </w:tr>
      <w:tr w:rsidR="00F85C6A" w:rsidTr="001A5329">
        <w:trPr>
          <w:trHeight w:val="284"/>
        </w:trPr>
        <w:tc>
          <w:tcPr>
            <w:tcW w:w="4911" w:type="dxa"/>
          </w:tcPr>
          <w:p w:rsidR="00F85C6A" w:rsidRDefault="00F85C6A" w:rsidP="001A5329">
            <w:pPr>
              <w:pStyle w:val="Avsndare"/>
              <w:framePr w:h="2483" w:wrap="notBeside" w:x="1504"/>
              <w:rPr>
                <w:bCs/>
                <w:iCs/>
              </w:rPr>
            </w:pPr>
          </w:p>
        </w:tc>
      </w:tr>
      <w:tr w:rsidR="00F85C6A" w:rsidTr="001A5329">
        <w:trPr>
          <w:trHeight w:val="284"/>
        </w:trPr>
        <w:tc>
          <w:tcPr>
            <w:tcW w:w="4911" w:type="dxa"/>
          </w:tcPr>
          <w:p w:rsidR="00F85C6A" w:rsidRDefault="00F85C6A" w:rsidP="001A5329">
            <w:pPr>
              <w:pStyle w:val="Avsndare"/>
              <w:framePr w:h="2483" w:wrap="notBeside" w:x="1504"/>
              <w:rPr>
                <w:bCs/>
                <w:iCs/>
              </w:rPr>
            </w:pPr>
          </w:p>
        </w:tc>
      </w:tr>
    </w:tbl>
    <w:p w:rsidR="00F85C6A" w:rsidRDefault="00F85C6A" w:rsidP="00A33AC0">
      <w:pPr>
        <w:framePr w:w="4400" w:h="2523" w:wrap="notBeside" w:vAnchor="page" w:hAnchor="page" w:x="6453" w:y="2445"/>
        <w:ind w:firstLine="720"/>
      </w:pPr>
    </w:p>
    <w:p w:rsidR="00F85C6A" w:rsidRDefault="00F85C6A" w:rsidP="00A33AC0">
      <w:pPr>
        <w:framePr w:w="4400" w:h="2523" w:wrap="notBeside" w:vAnchor="page" w:hAnchor="page" w:x="6453" w:y="2445"/>
        <w:ind w:left="142"/>
      </w:pPr>
    </w:p>
    <w:p w:rsidR="00F85C6A" w:rsidRDefault="00F85C6A" w:rsidP="00A33AC0">
      <w:pPr>
        <w:pStyle w:val="RKrubrik"/>
        <w:pBdr>
          <w:bottom w:val="single" w:sz="4" w:space="1" w:color="000000"/>
        </w:pBdr>
        <w:spacing w:before="0" w:after="0"/>
      </w:pPr>
      <w:r>
        <w:t>Kommenterad dagordning inför Jordbruks- och fiskerådet den 17 oktober 2013</w:t>
      </w:r>
    </w:p>
    <w:p w:rsidR="00F85C6A" w:rsidRDefault="00F85C6A" w:rsidP="00A33AC0">
      <w:pPr>
        <w:pStyle w:val="RKnormal"/>
      </w:pPr>
    </w:p>
    <w:p w:rsidR="00F85C6A" w:rsidRPr="00F70B0D" w:rsidRDefault="00F85C6A" w:rsidP="00F70B0D">
      <w:pPr>
        <w:rPr>
          <w:rFonts w:ascii="TradeGothic" w:hAnsi="TradeGothic"/>
          <w:b/>
          <w:sz w:val="22"/>
        </w:rPr>
      </w:pPr>
      <w:r w:rsidRPr="00F70B0D">
        <w:rPr>
          <w:rFonts w:ascii="TradeGothic" w:hAnsi="TradeGothic"/>
          <w:b/>
          <w:sz w:val="22"/>
        </w:rPr>
        <w:t>FISKE</w:t>
      </w:r>
    </w:p>
    <w:p w:rsidR="00F85C6A" w:rsidRDefault="00F85C6A" w:rsidP="00F70B0D">
      <w:pPr>
        <w:pStyle w:val="PointManual"/>
        <w:rPr>
          <w:rFonts w:ascii="TradeGothic" w:hAnsi="TradeGothic"/>
          <w:b/>
          <w:sz w:val="22"/>
          <w:szCs w:val="20"/>
          <w:lang w:eastAsia="en-US"/>
        </w:rPr>
      </w:pPr>
      <w:r w:rsidRPr="00F70B0D">
        <w:rPr>
          <w:rFonts w:ascii="TradeGothic" w:hAnsi="TradeGothic"/>
          <w:b/>
          <w:sz w:val="22"/>
          <w:szCs w:val="20"/>
          <w:lang w:eastAsia="en-US"/>
        </w:rPr>
        <w:t>3.</w:t>
      </w:r>
      <w:r w:rsidRPr="00F70B0D">
        <w:rPr>
          <w:rFonts w:ascii="TradeGothic" w:hAnsi="TradeGothic"/>
          <w:b/>
          <w:sz w:val="22"/>
          <w:szCs w:val="20"/>
          <w:lang w:eastAsia="en-US"/>
        </w:rPr>
        <w:tab/>
        <w:t>Förslag till rådets förordning om fastställande för 2014 av f</w:t>
      </w:r>
      <w:r>
        <w:rPr>
          <w:rFonts w:ascii="TradeGothic" w:hAnsi="TradeGothic"/>
          <w:b/>
          <w:sz w:val="22"/>
          <w:szCs w:val="20"/>
          <w:lang w:eastAsia="en-US"/>
        </w:rPr>
        <w:t>iskemöjligheter</w:t>
      </w:r>
      <w:r w:rsidRPr="00F70B0D">
        <w:rPr>
          <w:rFonts w:ascii="TradeGothic" w:hAnsi="TradeGothic"/>
          <w:b/>
          <w:sz w:val="22"/>
          <w:szCs w:val="20"/>
          <w:lang w:eastAsia="en-US"/>
        </w:rPr>
        <w:t xml:space="preserve"> i Östersjön</w:t>
      </w:r>
    </w:p>
    <w:p w:rsidR="00F85C6A" w:rsidRPr="00F70B0D" w:rsidRDefault="00F85C6A" w:rsidP="00F70B0D">
      <w:pPr>
        <w:pStyle w:val="PointManual"/>
        <w:rPr>
          <w:rFonts w:ascii="TradeGothic" w:hAnsi="TradeGothic"/>
          <w:b/>
          <w:sz w:val="22"/>
          <w:szCs w:val="20"/>
          <w:lang w:eastAsia="en-US"/>
        </w:rPr>
      </w:pPr>
    </w:p>
    <w:p w:rsidR="00F85C6A" w:rsidRPr="00F70B0D" w:rsidRDefault="00F85C6A" w:rsidP="00F70B0D">
      <w:pPr>
        <w:pStyle w:val="Dash1"/>
        <w:numPr>
          <w:ilvl w:val="0"/>
          <w:numId w:val="0"/>
        </w:numPr>
        <w:ind w:left="1134" w:hanging="567"/>
        <w:rPr>
          <w:rFonts w:ascii="OrigGarmnd BT" w:hAnsi="OrigGarmnd BT"/>
          <w:b/>
          <w:bCs/>
          <w:i/>
          <w:iCs/>
          <w:szCs w:val="20"/>
          <w:lang w:eastAsia="en-US"/>
        </w:rPr>
      </w:pPr>
      <w:r w:rsidRPr="00F70B0D">
        <w:rPr>
          <w:rFonts w:ascii="OrigGarmnd BT" w:hAnsi="OrigGarmnd BT"/>
          <w:b/>
          <w:bCs/>
          <w:i/>
          <w:iCs/>
          <w:szCs w:val="20"/>
          <w:lang w:eastAsia="en-US"/>
        </w:rPr>
        <w:t>- Politisk överenskommelse</w:t>
      </w:r>
    </w:p>
    <w:p w:rsidR="00F85C6A" w:rsidRDefault="00F85C6A" w:rsidP="00D8554E">
      <w:pPr>
        <w:pStyle w:val="RKnormal"/>
        <w:rPr>
          <w:b/>
          <w:bCs/>
          <w:i/>
          <w:iCs/>
        </w:rPr>
      </w:pPr>
    </w:p>
    <w:p w:rsidR="00F85C6A" w:rsidRDefault="00F85C6A" w:rsidP="00D8554E">
      <w:pPr>
        <w:pStyle w:val="RKnormal"/>
        <w:rPr>
          <w:i/>
          <w:iCs/>
        </w:rPr>
      </w:pPr>
      <w:r>
        <w:rPr>
          <w:i/>
          <w:iCs/>
        </w:rPr>
        <w:t>Dokumentbeteckning</w:t>
      </w:r>
    </w:p>
    <w:p w:rsidR="00F85C6A" w:rsidRPr="009C2725" w:rsidRDefault="00F85C6A" w:rsidP="00D8554E">
      <w:pPr>
        <w:pStyle w:val="RKnormal"/>
        <w:rPr>
          <w:lang w:eastAsia="sv-SE"/>
        </w:rPr>
      </w:pPr>
      <w:r w:rsidRPr="009C2725">
        <w:rPr>
          <w:lang w:eastAsia="sv-SE"/>
        </w:rPr>
        <w:t xml:space="preserve">KOM(2013) 598 Förslag till rådets förordning om fastställande av fiskemöjligheter i Östersjön för 2014.   </w:t>
      </w:r>
    </w:p>
    <w:p w:rsidR="00F85C6A" w:rsidRDefault="00F85C6A" w:rsidP="00D8554E">
      <w:pPr>
        <w:pStyle w:val="RKnormal"/>
        <w:rPr>
          <w:i/>
          <w:iCs/>
        </w:rPr>
      </w:pPr>
    </w:p>
    <w:p w:rsidR="00F85C6A" w:rsidRDefault="00F85C6A" w:rsidP="00D8554E">
      <w:pPr>
        <w:pStyle w:val="RKnormal"/>
        <w:rPr>
          <w:i/>
          <w:iCs/>
        </w:rPr>
      </w:pPr>
      <w:r>
        <w:rPr>
          <w:i/>
          <w:iCs/>
        </w:rPr>
        <w:t>Rättslig grund</w:t>
      </w:r>
    </w:p>
    <w:p w:rsidR="00F85C6A" w:rsidRDefault="00F85C6A" w:rsidP="00D8554E">
      <w:pPr>
        <w:pStyle w:val="RKnormal"/>
        <w:rPr>
          <w:i/>
          <w:iCs/>
        </w:rPr>
      </w:pPr>
      <w:r w:rsidRPr="00E555AC">
        <w:t xml:space="preserve">Artikel 43.3 i </w:t>
      </w:r>
      <w:r>
        <w:t xml:space="preserve">Fördraget om Europeiska unionens funktionssätt, </w:t>
      </w:r>
      <w:r w:rsidRPr="00E555AC">
        <w:t>EUF-fördra</w:t>
      </w:r>
      <w:r>
        <w:t xml:space="preserve">get, och i enlighet med artikel </w:t>
      </w:r>
      <w:r w:rsidRPr="00E555AC">
        <w:t xml:space="preserve">20 i rådets förordning (EG) nr 2371/2002. Beslut fattas av rådet med kvalificerad majoritet på förslag </w:t>
      </w:r>
      <w:r>
        <w:t>av kommissionen.</w:t>
      </w:r>
    </w:p>
    <w:p w:rsidR="00F85C6A" w:rsidRDefault="00F85C6A" w:rsidP="00D8554E">
      <w:pPr>
        <w:pStyle w:val="RKnormal"/>
        <w:rPr>
          <w:i/>
          <w:iCs/>
        </w:rPr>
      </w:pPr>
    </w:p>
    <w:p w:rsidR="00F85C6A" w:rsidRDefault="00F85C6A" w:rsidP="00D8554E">
      <w:pPr>
        <w:pStyle w:val="RKnormal"/>
        <w:rPr>
          <w:i/>
          <w:iCs/>
        </w:rPr>
      </w:pPr>
      <w:r>
        <w:rPr>
          <w:i/>
          <w:iCs/>
        </w:rPr>
        <w:t>Bakgrund</w:t>
      </w:r>
    </w:p>
    <w:p w:rsidR="00F85C6A" w:rsidRDefault="00F85C6A" w:rsidP="00D8554E">
      <w:pPr>
        <w:pStyle w:val="RKnormal"/>
        <w:rPr>
          <w:color w:val="000000"/>
        </w:rPr>
      </w:pPr>
      <w:r w:rsidRPr="009C2725">
        <w:t>Med utgångspunkt från den vetenskapliga rådgivningen lämnar kommissionen årligen förslag till reglering av maximal tillåten fångst (Total Allowable Catch</w:t>
      </w:r>
      <w:r>
        <w:t>, TAC) och kvoter för Östersjön</w:t>
      </w:r>
      <w:r w:rsidRPr="009C2725">
        <w:t>.</w:t>
      </w:r>
      <w:r>
        <w:t xml:space="preserve"> Ambitionen är att rådet som brukligt ska </w:t>
      </w:r>
      <w:r>
        <w:rPr>
          <w:color w:val="000000"/>
        </w:rPr>
        <w:t>nå en politisk överenskommelse om kvoterna i Östersjön för 2014 vid mötet i oktober.</w:t>
      </w:r>
    </w:p>
    <w:p w:rsidR="00F85C6A" w:rsidRDefault="00F85C6A" w:rsidP="00D8554E">
      <w:pPr>
        <w:pStyle w:val="RKnormal"/>
        <w:rPr>
          <w:color w:val="000000"/>
        </w:rPr>
      </w:pPr>
    </w:p>
    <w:p w:rsidR="00F85C6A" w:rsidRPr="009C2725" w:rsidRDefault="00F85C6A" w:rsidP="00D8554E">
      <w:r>
        <w:t>Kommissionens förslag</w:t>
      </w:r>
      <w:r w:rsidRPr="009C2725">
        <w:t xml:space="preserve"> innebär en minskning av kvoten för torsk i det västra beståndet, medan kvoten i det östra beståndet ökar. För övriga arter innebär förslaget följande:</w:t>
      </w:r>
    </w:p>
    <w:p w:rsidR="00F85C6A" w:rsidRPr="009C2725" w:rsidRDefault="00F85C6A" w:rsidP="00D8554E">
      <w:pPr>
        <w:pStyle w:val="ListParagraph"/>
        <w:numPr>
          <w:ilvl w:val="0"/>
          <w:numId w:val="2"/>
        </w:numPr>
        <w:rPr>
          <w:rFonts w:ascii="OrigGarmnd BT" w:hAnsi="OrigGarmnd BT"/>
          <w:sz w:val="24"/>
          <w:lang w:eastAsia="en-US"/>
        </w:rPr>
      </w:pPr>
      <w:r w:rsidRPr="009C2725">
        <w:rPr>
          <w:rFonts w:ascii="OrigGarmnd BT" w:hAnsi="OrigGarmnd BT"/>
          <w:sz w:val="24"/>
          <w:lang w:eastAsia="en-US"/>
        </w:rPr>
        <w:t xml:space="preserve">Ökningar eller bibehållen nivå avseende kvoterna för sill, med undantag för sill i det västra beståndet, </w:t>
      </w:r>
    </w:p>
    <w:p w:rsidR="00F85C6A" w:rsidRPr="009C2725" w:rsidRDefault="00F85C6A" w:rsidP="00D8554E">
      <w:pPr>
        <w:pStyle w:val="ListParagraph"/>
        <w:numPr>
          <w:ilvl w:val="0"/>
          <w:numId w:val="2"/>
        </w:numPr>
        <w:rPr>
          <w:rFonts w:ascii="OrigGarmnd BT" w:hAnsi="OrigGarmnd BT"/>
          <w:sz w:val="24"/>
          <w:lang w:eastAsia="en-US"/>
        </w:rPr>
      </w:pPr>
      <w:r w:rsidRPr="009C2725">
        <w:rPr>
          <w:rFonts w:ascii="OrigGarmnd BT" w:hAnsi="OrigGarmnd BT"/>
          <w:sz w:val="24"/>
          <w:lang w:eastAsia="en-US"/>
        </w:rPr>
        <w:t>en mindre minskning av kvoten för skarpsill,samt</w:t>
      </w:r>
    </w:p>
    <w:p w:rsidR="00F85C6A" w:rsidRPr="009C2725" w:rsidRDefault="00F85C6A" w:rsidP="00D8554E">
      <w:pPr>
        <w:pStyle w:val="ListParagraph"/>
        <w:numPr>
          <w:ilvl w:val="0"/>
          <w:numId w:val="2"/>
        </w:numPr>
        <w:rPr>
          <w:rFonts w:ascii="OrigGarmnd BT" w:hAnsi="OrigGarmnd BT"/>
          <w:sz w:val="24"/>
          <w:lang w:eastAsia="en-US"/>
        </w:rPr>
      </w:pPr>
      <w:r w:rsidRPr="009C2725">
        <w:rPr>
          <w:rFonts w:ascii="OrigGarmnd BT" w:hAnsi="OrigGarmnd BT"/>
          <w:sz w:val="24"/>
          <w:lang w:eastAsia="en-US"/>
        </w:rPr>
        <w:t xml:space="preserve">en i princip oförändrad kvot för lax i egentliga Östersjön. </w:t>
      </w:r>
    </w:p>
    <w:p w:rsidR="00F85C6A" w:rsidRDefault="00F85C6A" w:rsidP="00D8554E"/>
    <w:p w:rsidR="00F85C6A" w:rsidRDefault="00F85C6A" w:rsidP="002246E5">
      <w:r w:rsidRPr="009C2725">
        <w:t xml:space="preserve">Förslaget innebär att flertalet arter kommer att förvaltas i enlighet med principen om maximalt hållbart uttag, MSY utifrån de mål som slagits fast inom ramen för den nyligen reformerade gemensamma fiskeripolitiken. </w:t>
      </w:r>
    </w:p>
    <w:p w:rsidR="00F85C6A" w:rsidRPr="009C2725" w:rsidRDefault="00F85C6A" w:rsidP="00C831FB">
      <w:pPr>
        <w:pStyle w:val="Normal1"/>
        <w:shd w:val="clear" w:color="auto" w:fill="FFFFFF"/>
        <w:spacing w:line="320" w:lineRule="atLeast"/>
        <w:jc w:val="both"/>
        <w:rPr>
          <w:rFonts w:ascii="OrigGarmnd BT" w:hAnsi="OrigGarmnd BT"/>
          <w:szCs w:val="20"/>
          <w:lang w:eastAsia="en-US"/>
        </w:rPr>
      </w:pPr>
      <w:r w:rsidRPr="009C2725">
        <w:rPr>
          <w:rFonts w:ascii="OrigGarmnd BT" w:hAnsi="OrigGarmnd BT"/>
          <w:szCs w:val="20"/>
          <w:lang w:eastAsia="en-US"/>
        </w:rPr>
        <w:t>Kommissionens förslag innebär att den långsiktiga planen för torsk följs. Förslaget innebär en ökning med +7% när det gäller torskfiskekvoten för östra beståndet och en minskning med -15 % i västra beståndet. Förordningsförslaget reglerar också fiskeriansträngningen, som mäts i antalet fiskedagar eller antalet dagar ute ur hamn, s.k. effortreglering. I torskplanen för Östersjön anges att fiskeriansträngningen ska minskas successivt. Beträffande antalet tillåtna fiskedagar med redskap som fångar torsk föreslår kommissionen en minskning med 10 % (från 163 till 146 dagar) i det västra området medan de föreslår en minskning med 8 % (från 160 till 147 dagar) i det östra området i enlighet med reglerna i torskplanen.</w:t>
      </w:r>
    </w:p>
    <w:p w:rsidR="00F85C6A" w:rsidRPr="009C2725" w:rsidRDefault="00F85C6A" w:rsidP="00C831FB">
      <w:pPr>
        <w:pStyle w:val="Normal1"/>
        <w:shd w:val="clear" w:color="auto" w:fill="FFFFFF"/>
        <w:spacing w:line="320" w:lineRule="atLeast"/>
        <w:jc w:val="both"/>
        <w:rPr>
          <w:rFonts w:ascii="OrigGarmnd BT" w:hAnsi="OrigGarmnd BT"/>
          <w:szCs w:val="20"/>
          <w:lang w:eastAsia="en-US"/>
        </w:rPr>
      </w:pPr>
      <w:r w:rsidRPr="009C2725">
        <w:rPr>
          <w:rFonts w:ascii="OrigGarmnd BT" w:hAnsi="OrigGarmnd BT"/>
          <w:szCs w:val="20"/>
          <w:lang w:eastAsia="en-US"/>
        </w:rPr>
        <w:t xml:space="preserve">I fråga om östersjölax (omr. 22-31) föreslår kommissionen en i princip oförändrad kvot. Förslaget </w:t>
      </w:r>
      <w:r>
        <w:rPr>
          <w:rFonts w:ascii="OrigGarmnd BT" w:hAnsi="OrigGarmnd BT"/>
          <w:szCs w:val="20"/>
          <w:lang w:eastAsia="en-US"/>
        </w:rPr>
        <w:t xml:space="preserve">grundar sig på </w:t>
      </w:r>
      <w:r w:rsidRPr="009C2725">
        <w:rPr>
          <w:rFonts w:ascii="OrigGarmnd BT" w:hAnsi="OrigGarmnd BT"/>
          <w:szCs w:val="20"/>
          <w:lang w:eastAsia="en-US"/>
        </w:rPr>
        <w:t>ICES rådgivning. Kommissionen gör dock en annan bedömning av det orapporterade fisket och fiskeridödligheten än ICES.Vidare innebär förslaget jämfört med 2013:</w:t>
      </w:r>
    </w:p>
    <w:p w:rsidR="00F85C6A" w:rsidRPr="009C2725" w:rsidRDefault="00F85C6A" w:rsidP="00C831FB">
      <w:pPr>
        <w:pStyle w:val="Lista1"/>
        <w:numPr>
          <w:ilvl w:val="0"/>
          <w:numId w:val="3"/>
        </w:numPr>
        <w:shd w:val="clear" w:color="auto" w:fill="FFFFFF"/>
        <w:ind w:left="714" w:hanging="357"/>
        <w:jc w:val="both"/>
        <w:rPr>
          <w:rFonts w:ascii="OrigGarmnd BT" w:hAnsi="OrigGarmnd BT"/>
          <w:szCs w:val="20"/>
          <w:lang w:eastAsia="en-US"/>
        </w:rPr>
      </w:pPr>
      <w:r w:rsidRPr="009C2725">
        <w:rPr>
          <w:rFonts w:ascii="OrigGarmnd BT" w:hAnsi="OrigGarmnd BT"/>
          <w:szCs w:val="20"/>
          <w:lang w:eastAsia="en-US"/>
        </w:rPr>
        <w:t>en reduktion av TAC för sill i västra området (område 22-24) med -23%,</w:t>
      </w:r>
    </w:p>
    <w:p w:rsidR="00F85C6A" w:rsidRPr="009C2725" w:rsidRDefault="00F85C6A" w:rsidP="00C831FB">
      <w:pPr>
        <w:pStyle w:val="Lista1"/>
        <w:numPr>
          <w:ilvl w:val="0"/>
          <w:numId w:val="3"/>
        </w:numPr>
        <w:shd w:val="clear" w:color="auto" w:fill="FFFFFF"/>
        <w:ind w:left="714" w:hanging="357"/>
        <w:jc w:val="both"/>
        <w:rPr>
          <w:rFonts w:ascii="OrigGarmnd BT" w:hAnsi="OrigGarmnd BT"/>
          <w:szCs w:val="20"/>
          <w:lang w:eastAsia="en-US"/>
        </w:rPr>
      </w:pPr>
      <w:r w:rsidRPr="009C2725">
        <w:rPr>
          <w:rFonts w:ascii="OrigGarmnd BT" w:hAnsi="OrigGarmnd BT"/>
          <w:szCs w:val="20"/>
          <w:lang w:eastAsia="en-US"/>
        </w:rPr>
        <w:t xml:space="preserve">en ökning av TAC för sill i egentliga Östersjön (område 25-29, 32) med </w:t>
      </w:r>
      <w:r>
        <w:rPr>
          <w:rFonts w:ascii="OrigGarmnd BT" w:hAnsi="OrigGarmnd BT"/>
          <w:szCs w:val="20"/>
          <w:lang w:eastAsia="en-US"/>
        </w:rPr>
        <w:t>+</w:t>
      </w:r>
      <w:r w:rsidRPr="009C2725">
        <w:rPr>
          <w:rFonts w:ascii="OrigGarmnd BT" w:hAnsi="OrigGarmnd BT"/>
          <w:szCs w:val="20"/>
          <w:lang w:eastAsia="en-US"/>
        </w:rPr>
        <w:t xml:space="preserve">59%, </w:t>
      </w:r>
    </w:p>
    <w:p w:rsidR="00F85C6A" w:rsidRPr="009C2725" w:rsidRDefault="00F85C6A" w:rsidP="00C831FB">
      <w:pPr>
        <w:pStyle w:val="Lista1"/>
        <w:numPr>
          <w:ilvl w:val="0"/>
          <w:numId w:val="3"/>
        </w:numPr>
        <w:shd w:val="clear" w:color="auto" w:fill="FFFFFF"/>
        <w:ind w:left="714" w:hanging="357"/>
        <w:jc w:val="both"/>
        <w:rPr>
          <w:rFonts w:ascii="OrigGarmnd BT" w:hAnsi="OrigGarmnd BT"/>
          <w:szCs w:val="20"/>
          <w:lang w:eastAsia="en-US"/>
        </w:rPr>
      </w:pPr>
      <w:r w:rsidRPr="009C2725">
        <w:rPr>
          <w:rFonts w:ascii="OrigGarmnd BT" w:hAnsi="OrigGarmnd BT"/>
          <w:szCs w:val="20"/>
          <w:lang w:eastAsia="en-US"/>
        </w:rPr>
        <w:t>en oförändrad TAC för sill i Rigabukten (område 28.1),</w:t>
      </w:r>
    </w:p>
    <w:p w:rsidR="00F85C6A" w:rsidRPr="009C2725" w:rsidRDefault="00F85C6A" w:rsidP="00C831FB">
      <w:pPr>
        <w:pStyle w:val="Lista1"/>
        <w:numPr>
          <w:ilvl w:val="0"/>
          <w:numId w:val="3"/>
        </w:numPr>
        <w:shd w:val="clear" w:color="auto" w:fill="FFFFFF"/>
        <w:ind w:left="714" w:hanging="357"/>
        <w:jc w:val="both"/>
        <w:rPr>
          <w:rFonts w:ascii="OrigGarmnd BT" w:hAnsi="OrigGarmnd BT"/>
          <w:szCs w:val="20"/>
          <w:lang w:eastAsia="en-US"/>
        </w:rPr>
      </w:pPr>
      <w:r w:rsidRPr="009C2725">
        <w:rPr>
          <w:rFonts w:ascii="OrigGarmnd BT" w:hAnsi="OrigGarmnd BT"/>
          <w:szCs w:val="20"/>
          <w:lang w:eastAsia="en-US"/>
        </w:rPr>
        <w:t>en ökning av TAC för sill i Bottenhavet och Bottenviken (område 30-31) med 35%,</w:t>
      </w:r>
    </w:p>
    <w:p w:rsidR="00F85C6A" w:rsidRPr="009C2725" w:rsidRDefault="00F85C6A" w:rsidP="00C831FB">
      <w:pPr>
        <w:pStyle w:val="Lista1"/>
        <w:numPr>
          <w:ilvl w:val="0"/>
          <w:numId w:val="3"/>
        </w:numPr>
        <w:shd w:val="clear" w:color="auto" w:fill="FFFFFF"/>
        <w:ind w:left="714" w:hanging="357"/>
        <w:jc w:val="both"/>
        <w:rPr>
          <w:rFonts w:ascii="OrigGarmnd BT" w:hAnsi="OrigGarmnd BT"/>
          <w:szCs w:val="20"/>
          <w:lang w:eastAsia="en-US"/>
        </w:rPr>
      </w:pPr>
      <w:r w:rsidRPr="009C2725">
        <w:rPr>
          <w:rFonts w:ascii="OrigGarmnd BT" w:hAnsi="OrigGarmnd BT"/>
          <w:szCs w:val="20"/>
          <w:lang w:eastAsia="en-US"/>
        </w:rPr>
        <w:t xml:space="preserve">en reduktion av TAC för skarpsill (område 22-32) med - 11 %, </w:t>
      </w:r>
    </w:p>
    <w:p w:rsidR="00F85C6A" w:rsidRPr="009C2725" w:rsidRDefault="00F85C6A" w:rsidP="00C831FB">
      <w:pPr>
        <w:pStyle w:val="Lista1"/>
        <w:numPr>
          <w:ilvl w:val="0"/>
          <w:numId w:val="3"/>
        </w:numPr>
        <w:shd w:val="clear" w:color="auto" w:fill="FFFFFF"/>
        <w:ind w:left="714" w:hanging="357"/>
        <w:jc w:val="both"/>
        <w:rPr>
          <w:rFonts w:ascii="OrigGarmnd BT" w:hAnsi="OrigGarmnd BT"/>
          <w:szCs w:val="20"/>
          <w:lang w:eastAsia="en-US"/>
        </w:rPr>
      </w:pPr>
      <w:r w:rsidRPr="009C2725">
        <w:rPr>
          <w:rFonts w:ascii="OrigGarmnd BT" w:hAnsi="OrigGarmnd BT"/>
          <w:szCs w:val="20"/>
          <w:lang w:eastAsia="en-US"/>
        </w:rPr>
        <w:t xml:space="preserve">en reduktion av TAC för lax i Finskaviken med -53%, samt </w:t>
      </w:r>
    </w:p>
    <w:p w:rsidR="00F85C6A" w:rsidRPr="009C2725" w:rsidRDefault="00F85C6A" w:rsidP="00C831FB">
      <w:pPr>
        <w:pStyle w:val="Lista1"/>
        <w:numPr>
          <w:ilvl w:val="0"/>
          <w:numId w:val="3"/>
        </w:numPr>
        <w:shd w:val="clear" w:color="auto" w:fill="FFFFFF"/>
        <w:ind w:left="714" w:hanging="357"/>
        <w:jc w:val="both"/>
        <w:rPr>
          <w:rFonts w:ascii="OrigGarmnd BT" w:hAnsi="OrigGarmnd BT"/>
          <w:szCs w:val="20"/>
          <w:lang w:eastAsia="en-US"/>
        </w:rPr>
      </w:pPr>
      <w:r w:rsidRPr="009C2725">
        <w:rPr>
          <w:rFonts w:ascii="OrigGarmnd BT" w:hAnsi="OrigGarmnd BT"/>
          <w:szCs w:val="20"/>
          <w:lang w:eastAsia="en-US"/>
        </w:rPr>
        <w:t xml:space="preserve">en </w:t>
      </w:r>
      <w:r>
        <w:rPr>
          <w:rFonts w:ascii="OrigGarmnd BT" w:hAnsi="OrigGarmnd BT"/>
          <w:szCs w:val="20"/>
          <w:lang w:eastAsia="en-US"/>
        </w:rPr>
        <w:t xml:space="preserve">reduktion av </w:t>
      </w:r>
      <w:r w:rsidRPr="009C2725">
        <w:rPr>
          <w:rFonts w:ascii="OrigGarmnd BT" w:hAnsi="OrigGarmnd BT"/>
          <w:szCs w:val="20"/>
          <w:lang w:eastAsia="en-US"/>
        </w:rPr>
        <w:t xml:space="preserve"> TAC för rödspätta med -12%.</w:t>
      </w:r>
    </w:p>
    <w:p w:rsidR="00F85C6A" w:rsidRDefault="00F85C6A" w:rsidP="002246E5">
      <w:pPr>
        <w:rPr>
          <w:color w:val="000000"/>
        </w:rPr>
      </w:pPr>
    </w:p>
    <w:p w:rsidR="00F85C6A" w:rsidRDefault="00F85C6A" w:rsidP="00D8554E">
      <w:pPr>
        <w:pStyle w:val="RKnormal"/>
        <w:rPr>
          <w:i/>
          <w:iCs/>
        </w:rPr>
      </w:pPr>
      <w:r>
        <w:rPr>
          <w:i/>
          <w:iCs/>
        </w:rPr>
        <w:t>Förslag till svensk ståndpunkt</w:t>
      </w:r>
    </w:p>
    <w:p w:rsidR="00F85C6A" w:rsidRDefault="00F85C6A" w:rsidP="00D8554E">
      <w:r w:rsidRPr="00A22D2A">
        <w:t>Regeringens grundinställning är att fiskeriförvaltningen ska verka för ett långsikti</w:t>
      </w:r>
      <w:r>
        <w:t xml:space="preserve">gt hållbart resursutnyttjande. Regeringen anser vidare att det är angeläget att nå de mål om MSY som sätts upp inom ramen för den reformerade gemensamma fiskeripolitiken, vilket innebär att bestånden ska </w:t>
      </w:r>
      <w:r w:rsidRPr="002E3BD7">
        <w:t>åter</w:t>
      </w:r>
      <w:r>
        <w:t>ställas</w:t>
      </w:r>
      <w:r w:rsidRPr="002E3BD7">
        <w:t xml:space="preserve"> till och </w:t>
      </w:r>
      <w:r>
        <w:t>bevaras</w:t>
      </w:r>
      <w:r w:rsidRPr="002E3BD7">
        <w:t xml:space="preserve"> över nivåer som säkerställer </w:t>
      </w:r>
      <w:r>
        <w:t xml:space="preserve">ett maximalt hållbart uttag till år 2015 där så är möjligt, och senast till år 2020. Utifrån detta kan regeringen stödja ansatsen i kommissionens förslag. Regeringenanser dock att alltför stora svängningar i kvoterna mellan åren bör undvikas. </w:t>
      </w:r>
    </w:p>
    <w:p w:rsidR="00F85C6A" w:rsidRDefault="00F85C6A" w:rsidP="00D8554E"/>
    <w:p w:rsidR="00F85C6A" w:rsidRPr="00A22D2A" w:rsidRDefault="00F85C6A" w:rsidP="00D8554E">
      <w:r w:rsidRPr="00A22D2A">
        <w:t xml:space="preserve">Regeringen vill </w:t>
      </w:r>
      <w:r>
        <w:t xml:space="preserve">samtidigt understryka </w:t>
      </w:r>
      <w:r w:rsidRPr="00A22D2A">
        <w:t>vikten av att förslag till långsiktiga planer för de arter som ännu inte har någon plan presenteras</w:t>
      </w:r>
      <w:r>
        <w:t>,</w:t>
      </w:r>
      <w:r w:rsidRPr="00A22D2A">
        <w:t xml:space="preserve"> och att detta arbete prioriteras.</w:t>
      </w:r>
      <w:r>
        <w:t xml:space="preserve"> Detta i syfte att skapa förutsättningar för en långsiktig och stabil förvaltning, till förmån både för fiskbestånd och fisket i sig. </w:t>
      </w:r>
    </w:p>
    <w:p w:rsidR="00F85C6A" w:rsidRPr="00B946C4" w:rsidRDefault="00F85C6A" w:rsidP="00D8554E">
      <w:pPr>
        <w:pStyle w:val="RKnormal"/>
        <w:rPr>
          <w:iCs/>
        </w:rPr>
      </w:pPr>
    </w:p>
    <w:p w:rsidR="00F85C6A" w:rsidRDefault="00F85C6A" w:rsidP="00D8554E">
      <w:pPr>
        <w:pStyle w:val="RKnormal"/>
        <w:rPr>
          <w:i/>
          <w:iCs/>
        </w:rPr>
      </w:pPr>
      <w:r>
        <w:rPr>
          <w:i/>
          <w:iCs/>
        </w:rPr>
        <w:t>EU-nämnden och MJU</w:t>
      </w:r>
    </w:p>
    <w:p w:rsidR="00F85C6A" w:rsidRDefault="00F85C6A" w:rsidP="00C831FB">
      <w:r>
        <w:t xml:space="preserve">Frågan var föremål för överläggning i MJU den 3 oktober 2013. </w:t>
      </w:r>
    </w:p>
    <w:p w:rsidR="00F85C6A" w:rsidRDefault="00F85C6A" w:rsidP="00A33AC0">
      <w:pPr>
        <w:pStyle w:val="RKrubrik"/>
      </w:pPr>
    </w:p>
    <w:p w:rsidR="00F85C6A" w:rsidRDefault="00F85C6A" w:rsidP="00A33AC0">
      <w:pPr>
        <w:pStyle w:val="RKrubrik"/>
      </w:pPr>
      <w:r>
        <w:t>4. EU/Norge: årliga konsultationer för 2014</w:t>
      </w:r>
    </w:p>
    <w:p w:rsidR="00F85C6A" w:rsidRDefault="00F85C6A" w:rsidP="00A33AC0">
      <w:pPr>
        <w:pStyle w:val="RKnormal"/>
      </w:pPr>
    </w:p>
    <w:p w:rsidR="00F85C6A" w:rsidRDefault="00F85C6A" w:rsidP="00A33AC0">
      <w:pPr>
        <w:pStyle w:val="RKnormal"/>
        <w:rPr>
          <w:b/>
          <w:bCs/>
          <w:i/>
          <w:iCs/>
        </w:rPr>
      </w:pPr>
      <w:r>
        <w:rPr>
          <w:b/>
          <w:bCs/>
          <w:i/>
          <w:iCs/>
        </w:rPr>
        <w:t>-Diskussion</w:t>
      </w:r>
    </w:p>
    <w:p w:rsidR="00F85C6A" w:rsidRDefault="00F85C6A" w:rsidP="00A33AC0">
      <w:pPr>
        <w:pStyle w:val="RKnormal"/>
        <w:rPr>
          <w:i/>
          <w:iCs/>
        </w:rPr>
      </w:pPr>
    </w:p>
    <w:p w:rsidR="00F85C6A" w:rsidRDefault="00F85C6A" w:rsidP="00A33AC0">
      <w:pPr>
        <w:pStyle w:val="RKnormal"/>
        <w:rPr>
          <w:i/>
          <w:iCs/>
        </w:rPr>
      </w:pPr>
      <w:r>
        <w:rPr>
          <w:i/>
          <w:iCs/>
        </w:rPr>
        <w:t>Dokumentbeteckning</w:t>
      </w:r>
    </w:p>
    <w:p w:rsidR="00F85C6A" w:rsidRPr="004C4597" w:rsidRDefault="00F85C6A" w:rsidP="00A33AC0">
      <w:pPr>
        <w:pStyle w:val="RKnormal"/>
        <w:rPr>
          <w:iCs/>
        </w:rPr>
      </w:pPr>
      <w:r w:rsidRPr="004C4597">
        <w:rPr>
          <w:iCs/>
        </w:rPr>
        <w:t xml:space="preserve">Inget dokument </w:t>
      </w:r>
      <w:r>
        <w:rPr>
          <w:iCs/>
        </w:rPr>
        <w:t>har distribuerats.</w:t>
      </w:r>
    </w:p>
    <w:p w:rsidR="00F85C6A" w:rsidRDefault="00F85C6A" w:rsidP="00A33AC0">
      <w:pPr>
        <w:pStyle w:val="RKnormal"/>
        <w:rPr>
          <w:i/>
          <w:iCs/>
        </w:rPr>
      </w:pPr>
    </w:p>
    <w:p w:rsidR="00F85C6A" w:rsidRDefault="00F85C6A" w:rsidP="00A33AC0">
      <w:pPr>
        <w:pStyle w:val="RKnormal"/>
        <w:rPr>
          <w:i/>
          <w:iCs/>
        </w:rPr>
      </w:pPr>
      <w:r>
        <w:rPr>
          <w:i/>
          <w:iCs/>
        </w:rPr>
        <w:t>Rättslig grund</w:t>
      </w:r>
    </w:p>
    <w:p w:rsidR="00F85C6A" w:rsidRDefault="00F85C6A" w:rsidP="00A33AC0">
      <w:pPr>
        <w:pStyle w:val="RKnormal"/>
        <w:rPr>
          <w:i/>
          <w:iCs/>
        </w:rPr>
      </w:pPr>
      <w:r>
        <w:rPr>
          <w:bCs/>
          <w:noProof/>
          <w:szCs w:val="24"/>
        </w:rPr>
        <w:t>Avseende förhandlingsresultatet med Norge: artikel 218 i EUF. Beslut fattas av rådet med kvalificerad majoritet efter Europaparlamentets godkännande. Vad gäller fastställandet av fiskemöjligheter: artikel 43.3 i EUF. B</w:t>
      </w:r>
      <w:r>
        <w:rPr>
          <w:szCs w:val="24"/>
        </w:rPr>
        <w:t>eslut</w:t>
      </w:r>
      <w:r w:rsidRPr="00953100">
        <w:rPr>
          <w:szCs w:val="24"/>
        </w:rPr>
        <w:t>fattas av rådet med kvalificerad majoritet på förslag av kommissionen.</w:t>
      </w:r>
      <w:r>
        <w:rPr>
          <w:szCs w:val="24"/>
        </w:rPr>
        <w:t xml:space="preserve"> Vad gäller kontroll och tekniska regleringar: artikel 43.2 i EUF, ordinarie beslutsförfarande.</w:t>
      </w:r>
    </w:p>
    <w:p w:rsidR="00F85C6A" w:rsidRDefault="00F85C6A" w:rsidP="00A33AC0">
      <w:pPr>
        <w:pStyle w:val="RKnormal"/>
        <w:rPr>
          <w:i/>
          <w:iCs/>
        </w:rPr>
      </w:pPr>
    </w:p>
    <w:p w:rsidR="00F85C6A" w:rsidRDefault="00F85C6A" w:rsidP="00A33AC0">
      <w:pPr>
        <w:pStyle w:val="RKnormal"/>
        <w:rPr>
          <w:i/>
          <w:iCs/>
        </w:rPr>
      </w:pPr>
      <w:r>
        <w:rPr>
          <w:i/>
          <w:iCs/>
        </w:rPr>
        <w:t>Bakgrund</w:t>
      </w:r>
    </w:p>
    <w:p w:rsidR="00F85C6A" w:rsidRDefault="00F85C6A" w:rsidP="00FD016A">
      <w:pPr>
        <w:pStyle w:val="RKnormal"/>
      </w:pPr>
      <w:r>
        <w:rPr>
          <w:lang w:eastAsia="sv-SE"/>
        </w:rPr>
        <w:t>EUförhandlar årligen</w:t>
      </w:r>
      <w:r w:rsidRPr="00953100">
        <w:rPr>
          <w:lang w:eastAsia="sv-SE"/>
        </w:rPr>
        <w:t xml:space="preserve"> med Norge om fiskekvoter och övriga regler för fisket för kommande år på gemensamma och gemensam</w:t>
      </w:r>
      <w:r>
        <w:rPr>
          <w:lang w:eastAsia="sv-SE"/>
        </w:rPr>
        <w:t>t förvaltade bestånd i Nordsjön och</w:t>
      </w:r>
      <w:r w:rsidRPr="00953100">
        <w:rPr>
          <w:lang w:eastAsia="sv-SE"/>
        </w:rPr>
        <w:t xml:space="preserve"> Skager</w:t>
      </w:r>
      <w:r>
        <w:rPr>
          <w:lang w:eastAsia="sv-SE"/>
        </w:rPr>
        <w:t>r</w:t>
      </w:r>
      <w:r w:rsidRPr="00953100">
        <w:rPr>
          <w:lang w:eastAsia="sv-SE"/>
        </w:rPr>
        <w:t xml:space="preserve">ak. Årsförhandlingarna baseras på </w:t>
      </w:r>
      <w:r>
        <w:rPr>
          <w:lang w:eastAsia="sv-SE"/>
        </w:rPr>
        <w:t xml:space="preserve">långsiktiga fiskeavtal mellan EU och Norge. </w:t>
      </w:r>
      <w:r w:rsidRPr="00953100">
        <w:rPr>
          <w:lang w:eastAsia="sv-SE"/>
        </w:rPr>
        <w:t xml:space="preserve">Förhandlingsresultaten förs in i EU:s kvotförordning som fastställs vid </w:t>
      </w:r>
      <w:r>
        <w:rPr>
          <w:lang w:eastAsia="sv-SE"/>
        </w:rPr>
        <w:t>jordbruks- och fiskerådet i december. D</w:t>
      </w:r>
      <w:r w:rsidRPr="00953100">
        <w:rPr>
          <w:lang w:eastAsia="sv-SE"/>
        </w:rPr>
        <w:t>agord</w:t>
      </w:r>
      <w:r>
        <w:rPr>
          <w:lang w:eastAsia="sv-SE"/>
        </w:rPr>
        <w:t xml:space="preserve">ningspunkten på rådet avser ett meningsutbyte inför årets förhandlingar. </w:t>
      </w:r>
      <w:r w:rsidRPr="00127F1A">
        <w:t>De årliga förhandlingarna är planerade att äga rum vid två</w:t>
      </w:r>
      <w:r>
        <w:t xml:space="preserve"> tillfällen, i Clonakilty (Irland) den 18–22</w:t>
      </w:r>
      <w:r w:rsidRPr="00127F1A">
        <w:t xml:space="preserve"> november samt i Bergen </w:t>
      </w:r>
      <w:r>
        <w:t>den 2–6</w:t>
      </w:r>
      <w:r w:rsidRPr="00127F1A">
        <w:t xml:space="preserve"> december.</w:t>
      </w:r>
    </w:p>
    <w:p w:rsidR="00F85C6A" w:rsidRDefault="00F85C6A" w:rsidP="00A33AC0">
      <w:pPr>
        <w:pStyle w:val="RKnormal"/>
        <w:rPr>
          <w:i/>
          <w:iCs/>
        </w:rPr>
      </w:pPr>
    </w:p>
    <w:p w:rsidR="00F85C6A" w:rsidRDefault="00F85C6A" w:rsidP="00A33AC0">
      <w:pPr>
        <w:pStyle w:val="RKnormal"/>
        <w:rPr>
          <w:i/>
          <w:iCs/>
        </w:rPr>
      </w:pPr>
      <w:r>
        <w:rPr>
          <w:i/>
          <w:iCs/>
        </w:rPr>
        <w:t>Förslag till svensk ståndpunkt</w:t>
      </w:r>
    </w:p>
    <w:p w:rsidR="00F85C6A" w:rsidRDefault="00F85C6A" w:rsidP="00FD016A">
      <w:pPr>
        <w:pStyle w:val="RKnormal"/>
        <w:tabs>
          <w:tab w:val="clear" w:pos="2835"/>
          <w:tab w:val="left" w:pos="709"/>
        </w:tabs>
      </w:pPr>
      <w:r>
        <w:t>Regeringen anser att i tillägg till förvaltningsplaner bör uttaget</w:t>
      </w:r>
      <w:r w:rsidRPr="00B45E02">
        <w:t xml:space="preserve"> av de marina biolo</w:t>
      </w:r>
      <w:r>
        <w:t>giska resurserna återställa och bevara bestånden</w:t>
      </w:r>
      <w:r w:rsidRPr="00B45E02">
        <w:t xml:space="preserve"> över </w:t>
      </w:r>
      <w:r>
        <w:t>nivåer som kan producera maximalt hållbart uttag, vilket bör vara de övergripande prioriteringarna för fastställandet av nästa års fiskemöjligheter mellan EU och Norge</w:t>
      </w:r>
      <w:r w:rsidRPr="00E347AC">
        <w:t>.</w:t>
      </w:r>
    </w:p>
    <w:p w:rsidR="00F85C6A" w:rsidRDefault="00F85C6A" w:rsidP="00FD016A">
      <w:pPr>
        <w:pStyle w:val="RKnormal"/>
        <w:tabs>
          <w:tab w:val="clear" w:pos="2835"/>
          <w:tab w:val="left" w:pos="709"/>
        </w:tabs>
      </w:pPr>
    </w:p>
    <w:p w:rsidR="00F85C6A" w:rsidRDefault="00F85C6A" w:rsidP="00FD016A">
      <w:pPr>
        <w:pStyle w:val="RKnormal"/>
        <w:rPr>
          <w:color w:val="000000"/>
        </w:rPr>
      </w:pPr>
      <w:r>
        <w:rPr>
          <w:u w:val="single"/>
        </w:rPr>
        <w:t>-</w:t>
      </w:r>
      <w:r w:rsidRPr="007418A7">
        <w:rPr>
          <w:u w:val="single"/>
        </w:rPr>
        <w:t>beträffande kvotnivåer och associerad</w:t>
      </w:r>
      <w:r>
        <w:rPr>
          <w:u w:val="single"/>
        </w:rPr>
        <w:t>e</w:t>
      </w:r>
      <w:r w:rsidRPr="007418A7">
        <w:rPr>
          <w:u w:val="single"/>
        </w:rPr>
        <w:t xml:space="preserve"> åtgärder</w:t>
      </w:r>
      <w:r>
        <w:t>anser regeringen att förvaltningsplaner ska</w:t>
      </w:r>
      <w:r w:rsidRPr="00E37AD8">
        <w:t xml:space="preserve"> följas</w:t>
      </w:r>
      <w:r>
        <w:t xml:space="preserve"> alternativt revideras och att den vetenskapliga rådgivningen ska utgöra grunden för besluten om kvoter</w:t>
      </w:r>
      <w:r w:rsidRPr="00E37AD8">
        <w:t>.</w:t>
      </w:r>
      <w:r>
        <w:t xml:space="preserve"> Regeringen vill även lyfta fram att</w:t>
      </w:r>
      <w:r w:rsidRPr="005F7A08">
        <w:rPr>
          <w:color w:val="000000"/>
        </w:rPr>
        <w:t xml:space="preserve"> sillen i Skagerrak/Kattegatt</w:t>
      </w:r>
      <w:r>
        <w:rPr>
          <w:color w:val="000000"/>
        </w:rPr>
        <w:t>, som är av centralt svenskt intresse,bör få en kvot som inte avviker väsentligt från ICES rådgivning för de två ingående bestånden (vårlekande Östersjösill och höstlekande Nordsjösill).</w:t>
      </w:r>
    </w:p>
    <w:p w:rsidR="00F85C6A" w:rsidRPr="00E37AD8" w:rsidRDefault="00F85C6A" w:rsidP="00FD016A"/>
    <w:p w:rsidR="00F85C6A" w:rsidRDefault="00F85C6A" w:rsidP="004C4597">
      <w:r>
        <w:rPr>
          <w:u w:val="single"/>
        </w:rPr>
        <w:t>- beträffande</w:t>
      </w:r>
      <w:r w:rsidRPr="007418A7">
        <w:rPr>
          <w:u w:val="single"/>
        </w:rPr>
        <w:t xml:space="preserve"> utbyte av fiskemöjligheter</w:t>
      </w:r>
      <w:r>
        <w:t xml:space="preserve">villregeringen </w:t>
      </w:r>
      <w:r w:rsidRPr="00E37AD8">
        <w:t>liksom tidigare år understryka att EU inte bör acceptera mer arktisk torsk än man kan kompensera för utan att det blir orimliga bördor för de</w:t>
      </w:r>
      <w:r>
        <w:t xml:space="preserve"> medlemsstater</w:t>
      </w:r>
      <w:r w:rsidRPr="00E37AD8">
        <w:t xml:space="preserve"> som inte får del av den värdefulla torsken. </w:t>
      </w:r>
      <w:r>
        <w:t>Regeringen vill</w:t>
      </w:r>
      <w:r w:rsidRPr="00E37AD8">
        <w:t xml:space="preserve"> också understryka att enligt EES-avtalet ska huvuddelen av kvoterna sökas ut</w:t>
      </w:r>
      <w:r>
        <w:t>anför Nordsjön. Regeringen menar att EU</w:t>
      </w:r>
      <w:r w:rsidRPr="00E37AD8">
        <w:t xml:space="preserve"> bör </w:t>
      </w:r>
      <w:r>
        <w:t>för</w:t>
      </w:r>
      <w:r w:rsidRPr="00E37AD8">
        <w:t>söka lösa balansen vid förhandlingarna i höst och inte ta upp diskussionerna igen under våren</w:t>
      </w:r>
      <w:r>
        <w:t xml:space="preserve">, </w:t>
      </w:r>
      <w:r w:rsidRPr="00E37AD8">
        <w:t xml:space="preserve">då det är viktigt för </w:t>
      </w:r>
      <w:r>
        <w:t xml:space="preserve">medlemsstaterna </w:t>
      </w:r>
      <w:r w:rsidRPr="00E37AD8">
        <w:t xml:space="preserve">och </w:t>
      </w:r>
      <w:r>
        <w:t>deras</w:t>
      </w:r>
      <w:r w:rsidRPr="00E37AD8">
        <w:t xml:space="preserve"> fiskare att kunna planera fiskeåret enligtklara förutsättningar.</w:t>
      </w:r>
    </w:p>
    <w:p w:rsidR="00F85C6A" w:rsidRDefault="00F85C6A" w:rsidP="004C4597">
      <w:pPr>
        <w:rPr>
          <w:i/>
          <w:iCs/>
        </w:rPr>
      </w:pPr>
    </w:p>
    <w:p w:rsidR="00F85C6A" w:rsidRDefault="00F85C6A" w:rsidP="00A33AC0">
      <w:pPr>
        <w:pStyle w:val="RKnormal"/>
        <w:rPr>
          <w:i/>
          <w:iCs/>
        </w:rPr>
      </w:pPr>
      <w:r>
        <w:rPr>
          <w:i/>
          <w:iCs/>
        </w:rPr>
        <w:t>EU-nämndenoch MJU</w:t>
      </w:r>
    </w:p>
    <w:p w:rsidR="00F85C6A" w:rsidRDefault="00F85C6A" w:rsidP="00A33AC0">
      <w:pPr>
        <w:pStyle w:val="RKnormal"/>
      </w:pPr>
      <w:r>
        <w:t>Frågan har inte tidigare varit föremål för samråd med EU-nämnden eller information i MJU.</w:t>
      </w:r>
    </w:p>
    <w:p w:rsidR="00F85C6A" w:rsidRDefault="00F85C6A"/>
    <w:p w:rsidR="00F85C6A" w:rsidRDefault="00F85C6A" w:rsidP="0072565F">
      <w:pPr>
        <w:pStyle w:val="PointManual"/>
        <w:rPr>
          <w:rFonts w:ascii="TradeGothic" w:hAnsi="TradeGothic"/>
          <w:b/>
          <w:sz w:val="22"/>
          <w:szCs w:val="20"/>
          <w:lang w:eastAsia="en-US"/>
        </w:rPr>
      </w:pPr>
    </w:p>
    <w:p w:rsidR="00F85C6A" w:rsidRDefault="00F85C6A" w:rsidP="0072565F">
      <w:pPr>
        <w:pStyle w:val="PointManual"/>
        <w:rPr>
          <w:rFonts w:ascii="TradeGothic" w:hAnsi="TradeGothic"/>
          <w:b/>
          <w:sz w:val="22"/>
          <w:szCs w:val="20"/>
          <w:lang w:eastAsia="en-US"/>
        </w:rPr>
      </w:pPr>
      <w:r w:rsidRPr="00F21BCA">
        <w:rPr>
          <w:rFonts w:ascii="TradeGothic" w:hAnsi="TradeGothic"/>
          <w:b/>
          <w:sz w:val="22"/>
          <w:szCs w:val="20"/>
          <w:lang w:eastAsia="en-US"/>
        </w:rPr>
        <w:t>5.</w:t>
      </w:r>
      <w:r w:rsidRPr="00F21BCA">
        <w:rPr>
          <w:rFonts w:ascii="TradeGothic" w:hAnsi="TradeGothic"/>
          <w:b/>
          <w:sz w:val="22"/>
          <w:szCs w:val="20"/>
          <w:lang w:eastAsia="en-US"/>
        </w:rPr>
        <w:tab/>
        <w:t>(ev.) ICCAT:s årsmöte</w:t>
      </w:r>
    </w:p>
    <w:p w:rsidR="00F85C6A" w:rsidRPr="00F21BCA" w:rsidRDefault="00F85C6A" w:rsidP="0072565F">
      <w:pPr>
        <w:pStyle w:val="PointManual"/>
        <w:rPr>
          <w:rFonts w:ascii="TradeGothic" w:hAnsi="TradeGothic"/>
          <w:b/>
          <w:sz w:val="22"/>
          <w:szCs w:val="20"/>
          <w:lang w:eastAsia="en-US"/>
        </w:rPr>
      </w:pPr>
    </w:p>
    <w:p w:rsidR="00F85C6A" w:rsidRPr="00F21BCA" w:rsidRDefault="00F85C6A" w:rsidP="0072565F">
      <w:pPr>
        <w:pStyle w:val="Dash1"/>
        <w:rPr>
          <w:rFonts w:ascii="OrigGarmnd BT" w:hAnsi="OrigGarmnd BT"/>
          <w:b/>
          <w:bCs/>
          <w:i/>
          <w:iCs/>
          <w:szCs w:val="20"/>
          <w:lang w:eastAsia="en-US"/>
        </w:rPr>
      </w:pPr>
      <w:r w:rsidRPr="00F21BCA">
        <w:rPr>
          <w:rFonts w:ascii="OrigGarmnd BT" w:hAnsi="OrigGarmnd BT"/>
          <w:b/>
          <w:bCs/>
          <w:i/>
          <w:iCs/>
          <w:szCs w:val="20"/>
          <w:lang w:eastAsia="en-US"/>
        </w:rPr>
        <w:t>Diskussion</w:t>
      </w:r>
    </w:p>
    <w:p w:rsidR="00F85C6A" w:rsidRDefault="00F85C6A"/>
    <w:p w:rsidR="00F85C6A" w:rsidRDefault="00F85C6A" w:rsidP="00F21BCA">
      <w:pPr>
        <w:pStyle w:val="RKnormal"/>
        <w:rPr>
          <w:rFonts w:ascii="Arial" w:hAnsi="Arial" w:cs="Arial"/>
          <w:sz w:val="20"/>
        </w:rPr>
      </w:pPr>
    </w:p>
    <w:p w:rsidR="00F85C6A" w:rsidRDefault="00F85C6A" w:rsidP="00C831FB">
      <w:pPr>
        <w:pStyle w:val="RKnormal"/>
        <w:rPr>
          <w:i/>
          <w:iCs/>
        </w:rPr>
      </w:pPr>
      <w:r>
        <w:rPr>
          <w:i/>
          <w:iCs/>
        </w:rPr>
        <w:t>Dokumentbeteckning</w:t>
      </w:r>
    </w:p>
    <w:p w:rsidR="00F85C6A" w:rsidRPr="004C4597" w:rsidRDefault="00F85C6A" w:rsidP="00C831FB">
      <w:pPr>
        <w:pStyle w:val="RKnormal"/>
        <w:rPr>
          <w:iCs/>
        </w:rPr>
      </w:pPr>
      <w:r w:rsidRPr="004C4597">
        <w:rPr>
          <w:iCs/>
        </w:rPr>
        <w:t xml:space="preserve">Inget dokument </w:t>
      </w:r>
      <w:r>
        <w:rPr>
          <w:iCs/>
        </w:rPr>
        <w:t>har distribuerats.</w:t>
      </w:r>
    </w:p>
    <w:p w:rsidR="00F85C6A" w:rsidRDefault="00F85C6A" w:rsidP="00C831FB">
      <w:pPr>
        <w:pStyle w:val="RKnormal"/>
        <w:rPr>
          <w:i/>
          <w:iCs/>
        </w:rPr>
      </w:pPr>
    </w:p>
    <w:p w:rsidR="00F85C6A" w:rsidRDefault="00F85C6A" w:rsidP="00C831FB">
      <w:pPr>
        <w:pStyle w:val="RKnormal"/>
        <w:rPr>
          <w:i/>
          <w:iCs/>
        </w:rPr>
      </w:pPr>
      <w:r>
        <w:rPr>
          <w:i/>
          <w:iCs/>
        </w:rPr>
        <w:t>Rättslig grund</w:t>
      </w:r>
    </w:p>
    <w:p w:rsidR="00F85C6A" w:rsidRDefault="00F85C6A" w:rsidP="00C831FB">
      <w:pPr>
        <w:pStyle w:val="RKnormal"/>
        <w:rPr>
          <w:bCs/>
          <w:noProof/>
          <w:szCs w:val="24"/>
        </w:rPr>
      </w:pPr>
      <w:r>
        <w:rPr>
          <w:bCs/>
          <w:noProof/>
          <w:szCs w:val="24"/>
        </w:rPr>
        <w:t>Avseende resultatet av årsmötet: artikel 218 i EUF-fördraget. Beslut fattas av rådet med kvalificerad majoritet efter Europaparlamentets godkännande.Vad gäller fastställandet av fiskemöjligheter: artikel 43.3 i EUF. B</w:t>
      </w:r>
      <w:r>
        <w:rPr>
          <w:szCs w:val="24"/>
        </w:rPr>
        <w:t>eslut</w:t>
      </w:r>
      <w:r w:rsidRPr="00953100">
        <w:rPr>
          <w:szCs w:val="24"/>
        </w:rPr>
        <w:t>fattas av rådet med kvalificerad majoritet på förslag av kommissionen.</w:t>
      </w:r>
    </w:p>
    <w:p w:rsidR="00F85C6A" w:rsidRDefault="00F85C6A" w:rsidP="00F21BCA">
      <w:pPr>
        <w:pStyle w:val="RKnormal"/>
        <w:rPr>
          <w:i/>
          <w:iCs/>
        </w:rPr>
      </w:pPr>
    </w:p>
    <w:p w:rsidR="00F85C6A" w:rsidRDefault="00F85C6A" w:rsidP="00F21BCA">
      <w:pPr>
        <w:pStyle w:val="RKnormal"/>
        <w:rPr>
          <w:i/>
          <w:iCs/>
        </w:rPr>
      </w:pPr>
      <w:r>
        <w:rPr>
          <w:i/>
          <w:iCs/>
        </w:rPr>
        <w:t>Bakgrund</w:t>
      </w:r>
    </w:p>
    <w:p w:rsidR="00F85C6A" w:rsidRPr="00F21BCA" w:rsidRDefault="00F85C6A" w:rsidP="00F21BCA">
      <w:pPr>
        <w:pStyle w:val="RKnormal"/>
        <w:rPr>
          <w:rFonts w:cs="Arial"/>
          <w:szCs w:val="24"/>
        </w:rPr>
      </w:pPr>
      <w:r>
        <w:rPr>
          <w:rFonts w:cs="Arial"/>
          <w:szCs w:val="24"/>
        </w:rPr>
        <w:t>D</w:t>
      </w:r>
      <w:r w:rsidRPr="00F21BCA">
        <w:rPr>
          <w:rFonts w:cs="Arial"/>
          <w:szCs w:val="24"/>
        </w:rPr>
        <w:t>en internationella k</w:t>
      </w:r>
      <w:r>
        <w:rPr>
          <w:rFonts w:cs="Arial"/>
          <w:szCs w:val="24"/>
        </w:rPr>
        <w:t xml:space="preserve">ommissionen </w:t>
      </w:r>
      <w:r w:rsidRPr="00A431C3">
        <w:t>för</w:t>
      </w:r>
      <w:r>
        <w:t xml:space="preserve"> bevarande av atlantisk tonfisk, ICCAT, </w:t>
      </w:r>
      <w:r w:rsidRPr="00A431C3">
        <w:t xml:space="preserve">är en av de viktigaste regionala fiskeriorganisationerna avseende fångstvärde och medlemskap. </w:t>
      </w:r>
      <w:r>
        <w:rPr>
          <w:rFonts w:cs="Arial"/>
          <w:szCs w:val="24"/>
        </w:rPr>
        <w:t>Ca 30 arter hanteras av organisationen</w:t>
      </w:r>
      <w:r w:rsidRPr="00F21BCA">
        <w:rPr>
          <w:rFonts w:cs="Arial"/>
          <w:szCs w:val="24"/>
        </w:rPr>
        <w:t xml:space="preserve">; tonfiskar (t.ex. blåfenad, gulfenad, storögd mfl), spjutfiskar (svärdfisk, marlin-arter mfl), makrillarter och vissa hajarter, t.ex. blåhaj och makrillhaj. </w:t>
      </w:r>
      <w:r w:rsidRPr="00A431C3">
        <w:t>Det årliga mötet besluta</w:t>
      </w:r>
      <w:r>
        <w:t>r dels om administra</w:t>
      </w:r>
      <w:r w:rsidRPr="00A431C3">
        <w:t>tiva och finansiella angelägenheter, dels o</w:t>
      </w:r>
      <w:r>
        <w:t>m kvoter och andra förvaltnings</w:t>
      </w:r>
      <w:r w:rsidRPr="00A431C3">
        <w:t>åtgärder för kommande år för de fiskbestånd som omfattas av kommission</w:t>
      </w:r>
      <w:r>
        <w:t>en</w:t>
      </w:r>
      <w:r w:rsidRPr="00A431C3">
        <w:t>s verksamhet</w:t>
      </w:r>
      <w:r>
        <w:t xml:space="preserve">. </w:t>
      </w:r>
      <w:r>
        <w:rPr>
          <w:rFonts w:cs="Arial"/>
          <w:szCs w:val="24"/>
        </w:rPr>
        <w:t xml:space="preserve">ICCAT:s årsmöte hålls </w:t>
      </w:r>
      <w:r w:rsidRPr="00F21BCA">
        <w:rPr>
          <w:rFonts w:cs="Arial"/>
          <w:szCs w:val="24"/>
        </w:rPr>
        <w:t>18-25 november i Kapstaden, Sydafrika.</w:t>
      </w:r>
    </w:p>
    <w:p w:rsidR="00F85C6A" w:rsidRPr="00F21BCA" w:rsidRDefault="00F85C6A" w:rsidP="00F21BCA">
      <w:pPr>
        <w:rPr>
          <w:rFonts w:cs="Arial"/>
          <w:szCs w:val="24"/>
        </w:rPr>
      </w:pPr>
    </w:p>
    <w:p w:rsidR="00F85C6A" w:rsidRPr="00F21BCA" w:rsidRDefault="00F85C6A" w:rsidP="00D8554E">
      <w:pPr>
        <w:rPr>
          <w:rFonts w:cs="Arial"/>
          <w:szCs w:val="24"/>
        </w:rPr>
      </w:pPr>
      <w:r w:rsidRPr="00F21BCA">
        <w:rPr>
          <w:rFonts w:cs="Arial"/>
          <w:szCs w:val="24"/>
        </w:rPr>
        <w:t xml:space="preserve">De tonfiskarter som är hårdast belastade </w:t>
      </w:r>
      <w:r>
        <w:rPr>
          <w:rFonts w:cs="Arial"/>
          <w:szCs w:val="24"/>
        </w:rPr>
        <w:t>inom ramen för ICCAT:s förvaltning ä</w:t>
      </w:r>
      <w:r w:rsidRPr="00F21BCA">
        <w:rPr>
          <w:rFonts w:cs="Arial"/>
          <w:szCs w:val="24"/>
        </w:rPr>
        <w:t>r blåfenad, storögd respektive gulfenad tonfisk. För blåfenad tonfisk har sedan ett tiotal år funnits en särskild återhämt</w:t>
      </w:r>
      <w:r>
        <w:rPr>
          <w:rFonts w:cs="Arial"/>
          <w:szCs w:val="24"/>
        </w:rPr>
        <w:t xml:space="preserve">ningsplan som revideras årligen, eftersom beståndet </w:t>
      </w:r>
      <w:r w:rsidRPr="00F21BCA">
        <w:rPr>
          <w:rFonts w:cs="Arial"/>
          <w:szCs w:val="24"/>
        </w:rPr>
        <w:t>länge varit överutnyttjad. Återuppbyggnadsplanens mål är att med 60</w:t>
      </w:r>
      <w:r>
        <w:rPr>
          <w:rFonts w:cs="Arial"/>
          <w:szCs w:val="24"/>
        </w:rPr>
        <w:t xml:space="preserve"> procents </w:t>
      </w:r>
      <w:r w:rsidRPr="00F21BCA">
        <w:rPr>
          <w:rFonts w:cs="Arial"/>
          <w:szCs w:val="24"/>
        </w:rPr>
        <w:t>sannolikhet återuppbygga beståndet till en nivå som kan producera</w:t>
      </w:r>
      <w:r>
        <w:rPr>
          <w:rFonts w:cs="Arial"/>
          <w:szCs w:val="24"/>
        </w:rPr>
        <w:t xml:space="preserve"> MSY till 2020. </w:t>
      </w:r>
      <w:r w:rsidRPr="00F21BCA">
        <w:rPr>
          <w:rFonts w:cs="Arial"/>
          <w:szCs w:val="24"/>
        </w:rPr>
        <w:t>Den senaste beståndsuppskattningen indikerar att utvecklingen följer 2020-målet, eller nås något senare om fångsterna inte begränsas enligt målet.</w:t>
      </w:r>
    </w:p>
    <w:p w:rsidR="00F85C6A" w:rsidRDefault="00F85C6A" w:rsidP="00D8554E">
      <w:pPr>
        <w:rPr>
          <w:rFonts w:cs="Arial"/>
          <w:szCs w:val="24"/>
        </w:rPr>
      </w:pPr>
    </w:p>
    <w:p w:rsidR="00F85C6A" w:rsidRDefault="00F85C6A" w:rsidP="00D8554E">
      <w:pPr>
        <w:rPr>
          <w:rFonts w:cs="Arial"/>
          <w:szCs w:val="24"/>
        </w:rPr>
      </w:pPr>
      <w:r w:rsidRPr="00F21BCA">
        <w:rPr>
          <w:rFonts w:cs="Arial"/>
          <w:szCs w:val="24"/>
        </w:rPr>
        <w:t>Vid ICCAT</w:t>
      </w:r>
      <w:r>
        <w:rPr>
          <w:rFonts w:cs="Arial"/>
          <w:szCs w:val="24"/>
        </w:rPr>
        <w:t>:</w:t>
      </w:r>
      <w:r w:rsidRPr="00F21BCA">
        <w:rPr>
          <w:rFonts w:cs="Arial"/>
          <w:szCs w:val="24"/>
        </w:rPr>
        <w:t xml:space="preserve">s årsmöte 2011 beslutades om striktare förvaltningsåtgärder även för </w:t>
      </w:r>
      <w:r>
        <w:rPr>
          <w:rFonts w:cs="Arial"/>
          <w:szCs w:val="24"/>
        </w:rPr>
        <w:t xml:space="preserve">storögd och </w:t>
      </w:r>
      <w:r w:rsidRPr="00F21BCA">
        <w:rPr>
          <w:rFonts w:cs="Arial"/>
          <w:szCs w:val="24"/>
        </w:rPr>
        <w:t xml:space="preserve">gulfenad tonfisk. Skälen för detta var dels att det atlantiska beståndet av storögd tonfisk bedömdes överbelastat, och dels att de stora fångsterna av ungfisk av båda arterna hade nått sådana proportioner att den vetenskapliga utvärderingen visade på </w:t>
      </w:r>
      <w:r>
        <w:rPr>
          <w:rFonts w:cs="Arial"/>
          <w:szCs w:val="24"/>
        </w:rPr>
        <w:t xml:space="preserve">ett behov </w:t>
      </w:r>
      <w:r w:rsidRPr="00F21BCA">
        <w:rPr>
          <w:rFonts w:cs="Arial"/>
          <w:szCs w:val="24"/>
        </w:rPr>
        <w:t xml:space="preserve">av reduktion av sådana fångster. </w:t>
      </w:r>
    </w:p>
    <w:p w:rsidR="00F85C6A" w:rsidRDefault="00F85C6A" w:rsidP="00D8554E">
      <w:pPr>
        <w:rPr>
          <w:rFonts w:ascii="Arial" w:hAnsi="Arial" w:cs="Arial"/>
          <w:sz w:val="20"/>
        </w:rPr>
      </w:pPr>
    </w:p>
    <w:p w:rsidR="00F85C6A" w:rsidRPr="00F21BCA" w:rsidRDefault="00F85C6A" w:rsidP="00F21BCA">
      <w:pPr>
        <w:rPr>
          <w:rFonts w:cs="Arial"/>
          <w:szCs w:val="24"/>
        </w:rPr>
      </w:pPr>
      <w:r w:rsidRPr="00F21BCA">
        <w:rPr>
          <w:rFonts w:cs="Arial"/>
          <w:szCs w:val="24"/>
        </w:rPr>
        <w:t>Under senare år har ICCAT ökat ansträngningarna för att förbättra kontroll och fångstrapportering. Dessutom har en arbetsgrupp för att modernisera konventionen skapats, med syfte att öka omfattningen av konventionen till flera hajarter och införa ekosystemansatsen. Förutom de</w:t>
      </w:r>
      <w:r>
        <w:rPr>
          <w:rFonts w:cs="Arial"/>
          <w:szCs w:val="24"/>
        </w:rPr>
        <w:t>ssa</w:t>
      </w:r>
      <w:r w:rsidRPr="00F21BCA">
        <w:rPr>
          <w:rFonts w:cs="Arial"/>
          <w:szCs w:val="24"/>
        </w:rPr>
        <w:t xml:space="preserve"> föreslagn</w:t>
      </w:r>
      <w:r>
        <w:rPr>
          <w:rFonts w:cs="Arial"/>
          <w:szCs w:val="24"/>
        </w:rPr>
        <w:t xml:space="preserve">a förändringar var </w:t>
      </w:r>
      <w:r w:rsidRPr="00F21BCA">
        <w:rPr>
          <w:rFonts w:cs="Arial"/>
          <w:szCs w:val="24"/>
        </w:rPr>
        <w:t>EU</w:t>
      </w:r>
      <w:r>
        <w:rPr>
          <w:rFonts w:cs="Arial"/>
          <w:szCs w:val="24"/>
        </w:rPr>
        <w:t>:s ambition vid det förra årsmötet att försöka</w:t>
      </w:r>
      <w:r w:rsidRPr="00F21BCA">
        <w:rPr>
          <w:rFonts w:cs="Arial"/>
          <w:szCs w:val="24"/>
        </w:rPr>
        <w:t xml:space="preserve"> begränsa fångster av</w:t>
      </w:r>
      <w:r>
        <w:rPr>
          <w:rFonts w:cs="Arial"/>
          <w:szCs w:val="24"/>
        </w:rPr>
        <w:t xml:space="preserve"> de hotade arterna</w:t>
      </w:r>
      <w:r w:rsidRPr="00F21BCA">
        <w:rPr>
          <w:rFonts w:cs="Arial"/>
          <w:szCs w:val="24"/>
        </w:rPr>
        <w:t>makrillhaj och sillhaj</w:t>
      </w:r>
      <w:r>
        <w:rPr>
          <w:rFonts w:cs="Arial"/>
          <w:szCs w:val="24"/>
        </w:rPr>
        <w:t>/håbrand. Detta förslag bifölls dock inte.</w:t>
      </w:r>
    </w:p>
    <w:p w:rsidR="00F85C6A" w:rsidRPr="00F21BCA" w:rsidRDefault="00F85C6A" w:rsidP="00F21BCA">
      <w:pPr>
        <w:rPr>
          <w:rFonts w:cs="Arial"/>
          <w:szCs w:val="24"/>
        </w:rPr>
      </w:pPr>
    </w:p>
    <w:p w:rsidR="00F85C6A" w:rsidRDefault="00F85C6A" w:rsidP="00F21BCA">
      <w:pPr>
        <w:pStyle w:val="RKnormal"/>
        <w:rPr>
          <w:i/>
          <w:iCs/>
        </w:rPr>
      </w:pPr>
      <w:r>
        <w:rPr>
          <w:i/>
          <w:iCs/>
        </w:rPr>
        <w:t>Förslag till svensk ståndpunkt</w:t>
      </w:r>
    </w:p>
    <w:p w:rsidR="00F85C6A" w:rsidRPr="00F21BCA" w:rsidRDefault="00F85C6A" w:rsidP="00F21BCA">
      <w:pPr>
        <w:rPr>
          <w:rFonts w:cs="Arial"/>
          <w:szCs w:val="24"/>
        </w:rPr>
      </w:pPr>
      <w:r>
        <w:rPr>
          <w:rFonts w:cs="Arial"/>
          <w:szCs w:val="24"/>
        </w:rPr>
        <w:t>Regeringen anser att förvalt</w:t>
      </w:r>
      <w:r w:rsidRPr="00F21BCA">
        <w:rPr>
          <w:rFonts w:cs="Arial"/>
          <w:szCs w:val="24"/>
        </w:rPr>
        <w:t>ningen av de atlantiska tonfiskarterna är a</w:t>
      </w:r>
      <w:r>
        <w:rPr>
          <w:rFonts w:cs="Arial"/>
          <w:szCs w:val="24"/>
        </w:rPr>
        <w:t xml:space="preserve">v stor betydelse </w:t>
      </w:r>
      <w:r w:rsidRPr="00F21BCA">
        <w:rPr>
          <w:rFonts w:cs="Arial"/>
          <w:szCs w:val="24"/>
        </w:rPr>
        <w:t>eftersom de</w:t>
      </w:r>
      <w:r>
        <w:rPr>
          <w:rFonts w:cs="Arial"/>
          <w:szCs w:val="24"/>
        </w:rPr>
        <w:t xml:space="preserve">t rör sig </w:t>
      </w:r>
      <w:r w:rsidRPr="00F21BCA">
        <w:rPr>
          <w:rFonts w:cs="Arial"/>
          <w:szCs w:val="24"/>
        </w:rPr>
        <w:t xml:space="preserve">om nyckelarter i det oceaniska pelagiska ekosystemet. Det är därför särskilt angeläget för regeringen att försiktighetsansatsen tillämpas för dessa arter. Regeringen stödjer </w:t>
      </w:r>
      <w:r>
        <w:rPr>
          <w:rFonts w:cs="Arial"/>
          <w:szCs w:val="24"/>
        </w:rPr>
        <w:t xml:space="preserve">även </w:t>
      </w:r>
      <w:r w:rsidRPr="00F21BCA">
        <w:rPr>
          <w:rFonts w:cs="Arial"/>
          <w:szCs w:val="24"/>
        </w:rPr>
        <w:t>särskilt förstärkta skyddsåtgärder för hajarter.</w:t>
      </w:r>
    </w:p>
    <w:p w:rsidR="00F85C6A" w:rsidRPr="00F21BCA" w:rsidRDefault="00F85C6A" w:rsidP="00F21BCA">
      <w:pPr>
        <w:pStyle w:val="RKnormal"/>
        <w:rPr>
          <w:rFonts w:cs="Arial"/>
          <w:szCs w:val="24"/>
        </w:rPr>
      </w:pPr>
    </w:p>
    <w:p w:rsidR="00F85C6A" w:rsidRDefault="00F85C6A" w:rsidP="00267B98">
      <w:pPr>
        <w:pStyle w:val="RKnormal"/>
        <w:rPr>
          <w:i/>
          <w:iCs/>
        </w:rPr>
      </w:pPr>
      <w:r>
        <w:rPr>
          <w:i/>
          <w:iCs/>
        </w:rPr>
        <w:t>EU-nämnden och MJU</w:t>
      </w:r>
    </w:p>
    <w:p w:rsidR="00F85C6A" w:rsidRDefault="00F85C6A" w:rsidP="00267B98">
      <w:pPr>
        <w:pStyle w:val="RKnormal"/>
      </w:pPr>
      <w:r>
        <w:t>Frågan har inte tidigare varit föremål för samråd med EU-nämnden eller information i MJU.</w:t>
      </w:r>
    </w:p>
    <w:p w:rsidR="00F85C6A" w:rsidRDefault="00F85C6A" w:rsidP="00267B98"/>
    <w:p w:rsidR="00F85C6A" w:rsidRDefault="00F85C6A">
      <w:bookmarkStart w:id="0" w:name="_GoBack"/>
      <w:bookmarkEnd w:id="0"/>
    </w:p>
    <w:sectPr w:rsidR="00F85C6A" w:rsidSect="00A33AC0">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C6A" w:rsidRDefault="00F85C6A">
      <w:r>
        <w:separator/>
      </w:r>
    </w:p>
  </w:endnote>
  <w:endnote w:type="continuationSeparator" w:id="1">
    <w:p w:rsidR="00F85C6A" w:rsidRDefault="00F85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C6A" w:rsidRDefault="00F85C6A">
      <w:r>
        <w:separator/>
      </w:r>
    </w:p>
  </w:footnote>
  <w:footnote w:type="continuationSeparator" w:id="1">
    <w:p w:rsidR="00F85C6A" w:rsidRDefault="00F85C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6A" w:rsidRDefault="00F85C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85C6A" w:rsidRDefault="00F85C6A">
    <w:pPr>
      <w:pStyle w:val="Header"/>
      <w:ind w:right="360"/>
    </w:pPr>
  </w:p>
  <w:p w:rsidR="00F85C6A" w:rsidRDefault="00F85C6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6A" w:rsidRDefault="00F85C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85C6A" w:rsidRDefault="00F85C6A">
    <w:pPr>
      <w:pStyle w:val="Header"/>
      <w:ind w:right="360"/>
    </w:pPr>
  </w:p>
  <w:p w:rsidR="00F85C6A" w:rsidRDefault="00F85C6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6A" w:rsidRDefault="00F85C6A">
    <w:pPr>
      <w:framePr w:w="2948" w:h="1321" w:hRule="exact" w:wrap="notBeside" w:vAnchor="page" w:hAnchor="page" w:x="1362" w:y="653"/>
    </w:pPr>
    <w:r w:rsidRPr="00A503E7">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F85C6A" w:rsidRDefault="00F85C6A">
    <w:pPr>
      <w:pStyle w:val="RKrubrik"/>
      <w:keepNext w:val="0"/>
      <w:tabs>
        <w:tab w:val="clear" w:pos="1134"/>
        <w:tab w:val="clear" w:pos="2835"/>
      </w:tabs>
      <w:spacing w:before="0" w:after="0" w:line="320" w:lineRule="atLeast"/>
      <w:rPr>
        <w:bCs/>
      </w:rPr>
    </w:pPr>
  </w:p>
  <w:p w:rsidR="00F85C6A" w:rsidRDefault="00F85C6A">
    <w:pPr>
      <w:rPr>
        <w:rFonts w:ascii="TradeGothic" w:hAnsi="TradeGothic"/>
        <w:b/>
        <w:bCs/>
        <w:spacing w:val="12"/>
        <w:sz w:val="22"/>
      </w:rPr>
    </w:pPr>
  </w:p>
  <w:p w:rsidR="00F85C6A" w:rsidRDefault="00F85C6A">
    <w:pPr>
      <w:pStyle w:val="RKrubrik"/>
      <w:keepNext w:val="0"/>
      <w:tabs>
        <w:tab w:val="clear" w:pos="1134"/>
        <w:tab w:val="clear" w:pos="2835"/>
      </w:tabs>
      <w:spacing w:before="0" w:after="0" w:line="320" w:lineRule="atLeast"/>
      <w:rPr>
        <w:bCs/>
      </w:rPr>
    </w:pPr>
  </w:p>
  <w:p w:rsidR="00F85C6A" w:rsidRDefault="00F85C6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B1A88"/>
    <w:multiLevelType w:val="singleLevel"/>
    <w:tmpl w:val="95740902"/>
    <w:name w:val="Dash 1"/>
    <w:lvl w:ilvl="0">
      <w:start w:val="1"/>
      <w:numFmt w:val="bullet"/>
      <w:lvlRestart w:val="0"/>
      <w:pStyle w:val="Dash1"/>
      <w:lvlText w:val="–"/>
      <w:lvlJc w:val="left"/>
      <w:pPr>
        <w:tabs>
          <w:tab w:val="num" w:pos="1134"/>
        </w:tabs>
        <w:ind w:left="1134" w:hanging="567"/>
      </w:pPr>
    </w:lvl>
  </w:abstractNum>
  <w:abstractNum w:abstractNumId="1">
    <w:nsid w:val="52012C72"/>
    <w:multiLevelType w:val="hybridMultilevel"/>
    <w:tmpl w:val="7B26E39E"/>
    <w:lvl w:ilvl="0" w:tplc="0B3422F6">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E184E16"/>
    <w:multiLevelType w:val="multilevel"/>
    <w:tmpl w:val="AE4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AC0"/>
    <w:rsid w:val="00060D9F"/>
    <w:rsid w:val="000F2662"/>
    <w:rsid w:val="0012599B"/>
    <w:rsid w:val="00127F1A"/>
    <w:rsid w:val="001A5329"/>
    <w:rsid w:val="002246E5"/>
    <w:rsid w:val="00267B98"/>
    <w:rsid w:val="002E3BD7"/>
    <w:rsid w:val="00334CB9"/>
    <w:rsid w:val="004C4597"/>
    <w:rsid w:val="00561F72"/>
    <w:rsid w:val="005F7A08"/>
    <w:rsid w:val="006557CC"/>
    <w:rsid w:val="0072565F"/>
    <w:rsid w:val="007418A7"/>
    <w:rsid w:val="007C0CCA"/>
    <w:rsid w:val="00944A60"/>
    <w:rsid w:val="00953100"/>
    <w:rsid w:val="009C2725"/>
    <w:rsid w:val="00A22D2A"/>
    <w:rsid w:val="00A33AC0"/>
    <w:rsid w:val="00A33D8E"/>
    <w:rsid w:val="00A431C3"/>
    <w:rsid w:val="00A503E7"/>
    <w:rsid w:val="00A866B8"/>
    <w:rsid w:val="00AC2BAF"/>
    <w:rsid w:val="00AE106C"/>
    <w:rsid w:val="00B45E02"/>
    <w:rsid w:val="00B719BC"/>
    <w:rsid w:val="00B946C4"/>
    <w:rsid w:val="00BE74D9"/>
    <w:rsid w:val="00C211E4"/>
    <w:rsid w:val="00C831FB"/>
    <w:rsid w:val="00D804C4"/>
    <w:rsid w:val="00D8554E"/>
    <w:rsid w:val="00DB1E1C"/>
    <w:rsid w:val="00E347AC"/>
    <w:rsid w:val="00E37AD8"/>
    <w:rsid w:val="00E555AC"/>
    <w:rsid w:val="00EE4FBF"/>
    <w:rsid w:val="00F21BCA"/>
    <w:rsid w:val="00F50EDD"/>
    <w:rsid w:val="00F70B0D"/>
    <w:rsid w:val="00F85C6A"/>
    <w:rsid w:val="00FD016A"/>
    <w:rsid w:val="00FF4B4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C0"/>
    <w:pPr>
      <w:overflowPunct w:val="0"/>
      <w:autoSpaceDE w:val="0"/>
      <w:autoSpaceDN w:val="0"/>
      <w:adjustRightInd w:val="0"/>
      <w:spacing w:line="320" w:lineRule="atLeast"/>
      <w:textAlignment w:val="baseline"/>
    </w:pPr>
    <w:rPr>
      <w:rFonts w:ascii="OrigGarmnd BT"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A33AC0"/>
    <w:pPr>
      <w:tabs>
        <w:tab w:val="center" w:pos="4153"/>
        <w:tab w:val="right" w:pos="8306"/>
      </w:tabs>
    </w:pPr>
  </w:style>
  <w:style w:type="character" w:customStyle="1" w:styleId="HeaderChar">
    <w:name w:val="Header Char"/>
    <w:basedOn w:val="DefaultParagraphFont"/>
    <w:link w:val="Header"/>
    <w:uiPriority w:val="99"/>
    <w:semiHidden/>
    <w:rsid w:val="003B4FD2"/>
    <w:rPr>
      <w:rFonts w:ascii="OrigGarmnd BT" w:hAnsi="OrigGarmnd BT"/>
      <w:sz w:val="24"/>
      <w:szCs w:val="20"/>
      <w:lang w:eastAsia="en-US"/>
    </w:rPr>
  </w:style>
  <w:style w:type="paragraph" w:customStyle="1" w:styleId="RKnormal">
    <w:name w:val="RKnormal"/>
    <w:basedOn w:val="Normal"/>
    <w:link w:val="RKnormalChar"/>
    <w:uiPriority w:val="99"/>
    <w:rsid w:val="00A33AC0"/>
    <w:pPr>
      <w:tabs>
        <w:tab w:val="left" w:pos="2835"/>
      </w:tabs>
      <w:spacing w:line="240" w:lineRule="atLeast"/>
    </w:pPr>
  </w:style>
  <w:style w:type="paragraph" w:customStyle="1" w:styleId="RKrubrik">
    <w:name w:val="RKrubrik"/>
    <w:basedOn w:val="RKnormal"/>
    <w:next w:val="RKnormal"/>
    <w:uiPriority w:val="99"/>
    <w:rsid w:val="00A33AC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33AC0"/>
    <w:rPr>
      <w:rFonts w:cs="Times New Roman"/>
    </w:rPr>
  </w:style>
  <w:style w:type="character" w:customStyle="1" w:styleId="RKnormalChar">
    <w:name w:val="RKnormal Char"/>
    <w:link w:val="RKnormal"/>
    <w:uiPriority w:val="99"/>
    <w:locked/>
    <w:rsid w:val="00FD016A"/>
    <w:rPr>
      <w:rFonts w:ascii="OrigGarmnd BT" w:hAnsi="OrigGarmnd BT"/>
      <w:sz w:val="24"/>
      <w:lang w:eastAsia="en-US"/>
    </w:rPr>
  </w:style>
  <w:style w:type="paragraph" w:customStyle="1" w:styleId="PointManual">
    <w:name w:val="Point Manual"/>
    <w:basedOn w:val="Normal"/>
    <w:uiPriority w:val="99"/>
    <w:rsid w:val="00F70B0D"/>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Dash1">
    <w:name w:val="Dash 1"/>
    <w:basedOn w:val="Normal"/>
    <w:uiPriority w:val="99"/>
    <w:rsid w:val="00F70B0D"/>
    <w:pPr>
      <w:numPr>
        <w:numId w:val="1"/>
      </w:numPr>
      <w:overflowPunct/>
      <w:autoSpaceDE/>
      <w:autoSpaceDN/>
      <w:adjustRightInd/>
      <w:spacing w:line="240" w:lineRule="auto"/>
      <w:textAlignment w:val="auto"/>
      <w:outlineLvl w:val="0"/>
    </w:pPr>
    <w:rPr>
      <w:rFonts w:ascii="Times New Roman" w:hAnsi="Times New Roman"/>
      <w:szCs w:val="24"/>
      <w:lang w:eastAsia="fr-BE"/>
    </w:rPr>
  </w:style>
  <w:style w:type="paragraph" w:styleId="ListParagraph">
    <w:name w:val="List Paragraph"/>
    <w:basedOn w:val="Normal"/>
    <w:uiPriority w:val="99"/>
    <w:qFormat/>
    <w:rsid w:val="00D8554E"/>
    <w:pPr>
      <w:overflowPunct/>
      <w:autoSpaceDE/>
      <w:autoSpaceDN/>
      <w:adjustRightInd/>
      <w:spacing w:before="122" w:line="245" w:lineRule="exact"/>
      <w:ind w:left="720"/>
      <w:contextualSpacing/>
      <w:jc w:val="both"/>
      <w:textAlignment w:val="auto"/>
    </w:pPr>
    <w:rPr>
      <w:rFonts w:ascii="Times New Roman" w:hAnsi="Times New Roman"/>
      <w:sz w:val="19"/>
      <w:lang w:eastAsia="sv-SE"/>
    </w:rPr>
  </w:style>
  <w:style w:type="paragraph" w:customStyle="1" w:styleId="Normal1">
    <w:name w:val="Normal1"/>
    <w:basedOn w:val="Normal"/>
    <w:uiPriority w:val="99"/>
    <w:rsid w:val="00D8554E"/>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Lista1">
    <w:name w:val="Lista1"/>
    <w:basedOn w:val="Normal"/>
    <w:uiPriority w:val="99"/>
    <w:rsid w:val="00D8554E"/>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CharZchnZchn">
    <w:name w:val="Char Zchn Zchn"/>
    <w:basedOn w:val="Normal"/>
    <w:uiPriority w:val="99"/>
    <w:rsid w:val="00A866B8"/>
    <w:pPr>
      <w:overflowPunct/>
      <w:autoSpaceDE/>
      <w:autoSpaceDN/>
      <w:adjustRightInd/>
      <w:spacing w:line="240" w:lineRule="auto"/>
      <w:textAlignment w:val="auto"/>
    </w:pPr>
    <w:rPr>
      <w:rFonts w:ascii="Times New Roman" w:hAnsi="Times New Roman"/>
      <w:szCs w:val="24"/>
      <w:lang w:val="pl-PL" w:eastAsia="pl-PL"/>
    </w:rPr>
  </w:style>
  <w:style w:type="paragraph" w:styleId="BalloonText">
    <w:name w:val="Balloon Text"/>
    <w:basedOn w:val="Normal"/>
    <w:link w:val="BalloonTextChar"/>
    <w:uiPriority w:val="99"/>
    <w:rsid w:val="00944A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44A6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88499290">
      <w:marLeft w:val="0"/>
      <w:marRight w:val="0"/>
      <w:marTop w:val="0"/>
      <w:marBottom w:val="0"/>
      <w:divBdr>
        <w:top w:val="none" w:sz="0" w:space="0" w:color="auto"/>
        <w:left w:val="none" w:sz="0" w:space="0" w:color="auto"/>
        <w:bottom w:val="none" w:sz="0" w:space="0" w:color="auto"/>
        <w:right w:val="none" w:sz="0" w:space="0" w:color="auto"/>
      </w:divBdr>
    </w:div>
    <w:div w:id="17884992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1347</Words>
  <Characters>8222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Johanna Jansson</dc:creator>
  <cp:keywords/>
  <dc:description/>
  <cp:lastModifiedBy>jb0525aa</cp:lastModifiedBy>
  <cp:revision>2</cp:revision>
  <cp:lastPrinted>2013-10-07T10:40:00Z</cp:lastPrinted>
  <dcterms:created xsi:type="dcterms:W3CDTF">2013-10-07T10:40:00Z</dcterms:created>
  <dcterms:modified xsi:type="dcterms:W3CDTF">2013-10-07T10:40:00Z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Jordbruksdepartementet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Id">
    <vt:lpwstr>0x01010053E1D612BA3F4E21AA250ECD751942B3006C12ABF61EB7E3419B49272BBB4E37FE</vt:lpwstr>
  </property>
  <property fmtid="{D5CDD505-2E9C-101B-9397-08002B2CF9AE}" pid="9" name="_dlc_DocId">
    <vt:lpwstr>J4ACQ3WQMRDN-3-24705</vt:lpwstr>
  </property>
  <property fmtid="{D5CDD505-2E9C-101B-9397-08002B2CF9AE}" pid="10" name="_dlc_DocIdItemGuid">
    <vt:lpwstr>106780a0-6661-4662-b2a0-7ac6ba5652f2</vt:lpwstr>
  </property>
  <property fmtid="{D5CDD505-2E9C-101B-9397-08002B2CF9AE}" pid="11" name="_dlc_DocIdUrl">
    <vt:lpwstr>http://rkdhs-l/enhet/eui/_layouts/DocIdRedir.aspx?ID=J4ACQ3WQMRDN-3-24705, J4ACQ3WQMRDN-3-24705</vt:lpwstr>
  </property>
  <property fmtid="{D5CDD505-2E9C-101B-9397-08002B2CF9AE}" pid="12" name="Nyckelord">
    <vt:lpwstr/>
  </property>
  <property fmtid="{D5CDD505-2E9C-101B-9397-08002B2CF9AE}" pid="13" name="k46d94c0acf84ab9a79866a9d8b1905f">
    <vt:lpwstr/>
  </property>
  <property fmtid="{D5CDD505-2E9C-101B-9397-08002B2CF9AE}" pid="14" name="QFMSP source name">
    <vt:lpwstr/>
  </property>
  <property fmtid="{D5CDD505-2E9C-101B-9397-08002B2CF9AE}" pid="15" name="TaxCatchAll">
    <vt:lpwstr/>
  </property>
  <property fmtid="{D5CDD505-2E9C-101B-9397-08002B2CF9AE}" pid="16" name="c9cd366cc722410295b9eacffbd73909">
    <vt:lpwstr/>
  </property>
  <property fmtid="{D5CDD505-2E9C-101B-9397-08002B2CF9AE}" pid="17" name="RKOrdnaClass">
    <vt:lpwstr/>
  </property>
  <property fmtid="{D5CDD505-2E9C-101B-9397-08002B2CF9AE}" pid="18" name="RKOrdnaCheckInComment">
    <vt:lpwstr/>
  </property>
  <property fmtid="{D5CDD505-2E9C-101B-9397-08002B2CF9AE}" pid="19" name="Sekretess m.m.">
    <vt:lpwstr/>
  </property>
  <property fmtid="{D5CDD505-2E9C-101B-9397-08002B2CF9AE}" pid="20" name="Diarienummer">
    <vt:lpwstr/>
  </property>
</Properties>
</file>