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21 oktober 2020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moderniserad radio- och tv-lag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sekretessfrågor på finansmarknadsområdet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Riksrevisorns årliga rapport 2020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Tillfällig ändring i Första–Fjärde AP-fondens placeringsregler med anledning av covid-19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frågor om clearing av OTC-derivat och om transaktioner för värdepappersfinansiering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Medgivande för Riksbanken att ge kredit till IMF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effektivare kommunal räddningstjänst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effektiviteten i förmedlingsverksamheten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ILO:s hundraårsdeklaration för framtidens arbetsliv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vitbok om utländska subventioner på den inre marknaden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Delegationsbestämmelser för Skatterättsnämnden och Forskarskattenämnden och några ändringar i fråga om informationsutbyte på skatteområdet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RUT-avdraget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Skattereduktion för boende i vissa glest befolkade områden – regional skattereduktion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Schulte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oktober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2020-10-21</SAFIR_Sammantradesdatum_Doc>
    <SAFIR_SammantradeID xmlns="C07A1A6C-0B19-41D9-BDF8-F523BA3921EB">7b3d35a8-1992-4964-9046-476e5b47723c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DD6E32B6-14AC-493B-97C2-DF437EB947B3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oktober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